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太康县</w:t>
      </w:r>
      <w:r>
        <w:rPr>
          <w:rFonts w:hint="eastAsia" w:ascii="方正小标宋简体" w:hAnsi="方正小标宋简体" w:eastAsia="方正小标宋简体" w:cs="方正小标宋简体"/>
          <w:sz w:val="44"/>
          <w:szCs w:val="44"/>
          <w:lang w:val="en-US" w:eastAsia="zh-CN"/>
        </w:rPr>
        <w:t>退役军人事务局</w:t>
      </w:r>
      <w:r>
        <w:rPr>
          <w:rFonts w:hint="eastAsia" w:ascii="方正小标宋简体" w:hAnsi="方正小标宋简体" w:eastAsia="方正小标宋简体" w:cs="方正小标宋简体"/>
          <w:sz w:val="44"/>
          <w:szCs w:val="44"/>
          <w:lang w:val="zh-CN"/>
        </w:rPr>
        <w:t>责任清单（共</w:t>
      </w:r>
      <w:r>
        <w:rPr>
          <w:rFonts w:hint="eastAsia" w:ascii="方正小标宋简体" w:hAnsi="方正小标宋简体" w:eastAsia="方正小标宋简体" w:cs="方正小标宋简体"/>
          <w:sz w:val="44"/>
          <w:szCs w:val="44"/>
          <w:lang w:val="en-US" w:eastAsia="zh-CN"/>
        </w:rPr>
        <w:t>13项</w:t>
      </w:r>
      <w:r>
        <w:rPr>
          <w:rFonts w:hint="eastAsia" w:ascii="方正小标宋简体" w:hAnsi="方正小标宋简体" w:eastAsia="方正小标宋简体" w:cs="方正小标宋简体"/>
          <w:sz w:val="44"/>
          <w:szCs w:val="44"/>
          <w:lang w:val="zh-CN"/>
        </w:rPr>
        <w:t>）</w:t>
      </w:r>
    </w:p>
    <w:p>
      <w:pPr>
        <w:spacing w:line="560" w:lineRule="exact"/>
        <w:rPr>
          <w:rFonts w:hint="eastAsia" w:ascii="仿宋_GB2312" w:hAnsi="黑体" w:eastAsia="仿宋_GB2312" w:cs="宋体"/>
          <w:sz w:val="22"/>
          <w:lang w:val="en-US" w:eastAsia="zh-CN"/>
        </w:rPr>
      </w:pPr>
      <w:r>
        <w:rPr>
          <w:rFonts w:hint="eastAsia" w:ascii="仿宋_GB2312" w:hAnsi="黑体" w:eastAsia="仿宋_GB2312" w:cs="宋体"/>
          <w:sz w:val="22"/>
        </w:rPr>
        <w:t>职权类别：行政给付</w:t>
      </w:r>
      <w:r>
        <w:rPr>
          <w:rFonts w:hint="eastAsia" w:ascii="仿宋_GB2312" w:hAnsi="黑体" w:eastAsia="仿宋_GB2312" w:cs="宋体"/>
          <w:sz w:val="22"/>
          <w:lang w:val="en-US" w:eastAsia="zh-CN"/>
        </w:rPr>
        <w:t>(10项）</w:t>
      </w:r>
    </w:p>
    <w:tbl>
      <w:tblPr>
        <w:tblStyle w:val="4"/>
        <w:tblW w:w="959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4"/>
        <w:gridCol w:w="1072"/>
        <w:gridCol w:w="558"/>
        <w:gridCol w:w="1612"/>
        <w:gridCol w:w="1104"/>
        <w:gridCol w:w="1104"/>
        <w:gridCol w:w="788"/>
        <w:gridCol w:w="788"/>
        <w:gridCol w:w="788"/>
        <w:gridCol w:w="106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79" w:hRule="atLeast"/>
          <w:jc w:val="center"/>
        </w:trPr>
        <w:tc>
          <w:tcPr>
            <w:tcW w:w="71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序号</w:t>
            </w:r>
          </w:p>
        </w:tc>
        <w:tc>
          <w:tcPr>
            <w:tcW w:w="1072"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职权名称</w:t>
            </w:r>
          </w:p>
        </w:tc>
        <w:tc>
          <w:tcPr>
            <w:tcW w:w="55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子项</w:t>
            </w:r>
          </w:p>
        </w:tc>
        <w:tc>
          <w:tcPr>
            <w:tcW w:w="1612"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实施</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依据</w:t>
            </w:r>
          </w:p>
        </w:tc>
        <w:tc>
          <w:tcPr>
            <w:tcW w:w="110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办理</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环节</w:t>
            </w:r>
          </w:p>
        </w:tc>
        <w:tc>
          <w:tcPr>
            <w:tcW w:w="110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事项</w:t>
            </w:r>
          </w:p>
        </w:tc>
        <w:tc>
          <w:tcPr>
            <w:tcW w:w="78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责任股室</w:t>
            </w:r>
          </w:p>
        </w:tc>
        <w:tc>
          <w:tcPr>
            <w:tcW w:w="78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承诺时限</w:t>
            </w:r>
          </w:p>
        </w:tc>
        <w:tc>
          <w:tcPr>
            <w:tcW w:w="78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法定时限</w:t>
            </w:r>
          </w:p>
        </w:tc>
        <w:tc>
          <w:tcPr>
            <w:tcW w:w="1067"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35" w:hRule="atLeast"/>
          <w:jc w:val="center"/>
        </w:trPr>
        <w:tc>
          <w:tcPr>
            <w:tcW w:w="714" w:type="dxa"/>
            <w:vMerge w:val="restart"/>
            <w:noWrap w:val="0"/>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1</w:t>
            </w:r>
          </w:p>
        </w:tc>
        <w:tc>
          <w:tcPr>
            <w:tcW w:w="1072" w:type="dxa"/>
            <w:vMerge w:val="restart"/>
            <w:noWrap w:val="0"/>
            <w:vAlign w:val="center"/>
          </w:tcPr>
          <w:p>
            <w:pPr>
              <w:spacing w:line="560" w:lineRule="exact"/>
              <w:rPr>
                <w:rFonts w:hint="eastAsia" w:ascii="仿宋_GB2312" w:hAnsi="黑体" w:eastAsia="仿宋_GB2312" w:cs="宋体"/>
                <w:sz w:val="22"/>
              </w:rPr>
            </w:pPr>
            <w:r>
              <w:rPr>
                <w:rFonts w:hint="eastAsia" w:ascii="仿宋_GB2312" w:hAnsi="宋体" w:eastAsia="仿宋_GB2312" w:cs="宋体"/>
                <w:color w:val="000000"/>
                <w:kern w:val="0"/>
                <w:szCs w:val="21"/>
              </w:rPr>
              <w:t>现役军人家属优待金发放</w:t>
            </w:r>
          </w:p>
        </w:tc>
        <w:tc>
          <w:tcPr>
            <w:tcW w:w="558" w:type="dxa"/>
            <w:vMerge w:val="restart"/>
            <w:noWrap w:val="0"/>
            <w:vAlign w:val="center"/>
          </w:tcPr>
          <w:p>
            <w:pPr>
              <w:spacing w:line="560" w:lineRule="exact"/>
              <w:jc w:val="center"/>
              <w:rPr>
                <w:rFonts w:hint="eastAsia" w:ascii="仿宋_GB2312" w:hAnsi="黑体" w:eastAsia="仿宋_GB2312" w:cs="宋体"/>
                <w:sz w:val="22"/>
              </w:rPr>
            </w:pPr>
          </w:p>
        </w:tc>
        <w:tc>
          <w:tcPr>
            <w:tcW w:w="1612" w:type="dxa"/>
            <w:vMerge w:val="restart"/>
            <w:noWrap w:val="0"/>
            <w:vAlign w:val="center"/>
          </w:tcPr>
          <w:p>
            <w:pPr>
              <w:spacing w:line="240" w:lineRule="exact"/>
              <w:rPr>
                <w:rFonts w:hint="eastAsia" w:ascii="仿宋_GB2312" w:hAnsi="黑体" w:eastAsia="仿宋_GB2312" w:cs="宋体"/>
                <w:sz w:val="22"/>
              </w:rPr>
            </w:pPr>
            <w:r>
              <w:rPr>
                <w:rFonts w:hint="eastAsia" w:ascii="仿宋_GB2312" w:hAnsi="宋体" w:eastAsia="仿宋_GB2312" w:cs="宋体"/>
                <w:color w:val="000000"/>
                <w:kern w:val="0"/>
                <w:szCs w:val="21"/>
              </w:rPr>
              <w:t>《军人抚恤优待条例》（2004年8月1日国务院、中央军事委员会令第413号公布，2011年7月29日修订，国务院、中央军事委员会令第602号,自2011年8月1日起施行）第三十三条 第一款 　义务兵服现役期间，其家庭由当地人民政府发给优待金或者给予其他优待，优待标准不低于当地平均生活水平。</w:t>
            </w:r>
          </w:p>
        </w:tc>
        <w:tc>
          <w:tcPr>
            <w:tcW w:w="1104"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受理</w:t>
            </w:r>
          </w:p>
        </w:tc>
        <w:tc>
          <w:tcPr>
            <w:tcW w:w="1104" w:type="dxa"/>
            <w:noWrap w:val="0"/>
            <w:vAlign w:val="center"/>
          </w:tcPr>
          <w:p>
            <w:pPr>
              <w:spacing w:line="240" w:lineRule="exact"/>
              <w:jc w:val="left"/>
              <w:rPr>
                <w:rFonts w:hint="eastAsia" w:ascii="宋体" w:hAnsi="宋体"/>
                <w:kern w:val="0"/>
                <w:szCs w:val="21"/>
              </w:rPr>
            </w:pPr>
            <w:r>
              <w:rPr>
                <w:rFonts w:hint="eastAsia" w:ascii="仿宋_GB2312" w:hAnsi="宋体" w:eastAsia="仿宋_GB2312" w:cs="仿宋_GB2312"/>
                <w:color w:val="000000"/>
                <w:kern w:val="0"/>
                <w:sz w:val="22"/>
                <w:lang w:bidi="ar"/>
              </w:rPr>
              <w:t>公示依法应当提交的材料；一次性告知补证材料；依法受理或不予受理（不予受理的依法告知理由）。</w:t>
            </w:r>
          </w:p>
        </w:tc>
        <w:tc>
          <w:tcPr>
            <w:tcW w:w="78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8" w:type="dxa"/>
            <w:noWrap w:val="0"/>
            <w:vAlign w:val="center"/>
          </w:tcPr>
          <w:p>
            <w:pPr>
              <w:spacing w:line="240" w:lineRule="exact"/>
              <w:rPr>
                <w:rFonts w:hint="eastAsia" w:ascii="仿宋_GB2312" w:hAnsi="黑体" w:eastAsia="仿宋_GB2312" w:cs="宋体"/>
                <w:sz w:val="22"/>
              </w:rPr>
            </w:pPr>
            <w:r>
              <w:rPr>
                <w:rFonts w:hint="eastAsia" w:ascii="仿宋_GB2312" w:hAnsi="黑体" w:eastAsia="仿宋_GB2312" w:cs="宋体"/>
                <w:sz w:val="22"/>
              </w:rPr>
              <w:t>按政策时限发放</w:t>
            </w:r>
          </w:p>
        </w:tc>
        <w:tc>
          <w:tcPr>
            <w:tcW w:w="788" w:type="dxa"/>
            <w:vMerge w:val="restart"/>
            <w:noWrap w:val="0"/>
            <w:vAlign w:val="center"/>
          </w:tcPr>
          <w:p>
            <w:pPr>
              <w:spacing w:line="560" w:lineRule="exact"/>
              <w:jc w:val="center"/>
              <w:rPr>
                <w:rFonts w:hint="eastAsia" w:ascii="仿宋_GB2312" w:hAnsi="黑体" w:eastAsia="仿宋_GB2312" w:cs="宋体"/>
                <w:sz w:val="22"/>
              </w:rPr>
            </w:pPr>
          </w:p>
        </w:tc>
        <w:tc>
          <w:tcPr>
            <w:tcW w:w="1067" w:type="dxa"/>
            <w:vMerge w:val="restart"/>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79" w:hRule="atLeast"/>
          <w:jc w:val="center"/>
        </w:trPr>
        <w:tc>
          <w:tcPr>
            <w:tcW w:w="714" w:type="dxa"/>
            <w:vMerge w:val="continue"/>
            <w:noWrap w:val="0"/>
            <w:vAlign w:val="center"/>
          </w:tcPr>
          <w:p>
            <w:pPr>
              <w:spacing w:line="560" w:lineRule="exact"/>
              <w:jc w:val="center"/>
              <w:rPr>
                <w:rFonts w:hint="eastAsia" w:ascii="仿宋_GB2312" w:hAnsi="黑体" w:eastAsia="仿宋_GB2312" w:cs="宋体"/>
                <w:sz w:val="22"/>
              </w:rPr>
            </w:pPr>
          </w:p>
        </w:tc>
        <w:tc>
          <w:tcPr>
            <w:tcW w:w="1072" w:type="dxa"/>
            <w:vMerge w:val="continue"/>
            <w:noWrap w:val="0"/>
            <w:vAlign w:val="center"/>
          </w:tcPr>
          <w:p>
            <w:pPr>
              <w:spacing w:line="560" w:lineRule="exact"/>
              <w:jc w:val="center"/>
              <w:rPr>
                <w:rFonts w:hint="eastAsia" w:ascii="仿宋_GB2312" w:hAnsi="黑体" w:eastAsia="仿宋_GB2312" w:cs="宋体"/>
                <w:sz w:val="22"/>
              </w:rPr>
            </w:pPr>
          </w:p>
        </w:tc>
        <w:tc>
          <w:tcPr>
            <w:tcW w:w="558" w:type="dxa"/>
            <w:vMerge w:val="continue"/>
            <w:noWrap w:val="0"/>
            <w:vAlign w:val="center"/>
          </w:tcPr>
          <w:p>
            <w:pPr>
              <w:spacing w:line="560" w:lineRule="exact"/>
              <w:jc w:val="center"/>
              <w:rPr>
                <w:rFonts w:hint="eastAsia" w:ascii="仿宋_GB2312" w:hAnsi="黑体" w:eastAsia="仿宋_GB2312" w:cs="宋体"/>
                <w:sz w:val="22"/>
              </w:rPr>
            </w:pPr>
          </w:p>
        </w:tc>
        <w:tc>
          <w:tcPr>
            <w:tcW w:w="1612" w:type="dxa"/>
            <w:vMerge w:val="continue"/>
            <w:noWrap w:val="0"/>
            <w:vAlign w:val="center"/>
          </w:tcPr>
          <w:p>
            <w:pPr>
              <w:spacing w:line="560" w:lineRule="exact"/>
              <w:jc w:val="center"/>
              <w:rPr>
                <w:rFonts w:hint="eastAsia" w:ascii="仿宋_GB2312" w:hAnsi="黑体" w:eastAsia="仿宋_GB2312" w:cs="宋体"/>
                <w:sz w:val="22"/>
              </w:rPr>
            </w:pPr>
          </w:p>
        </w:tc>
        <w:tc>
          <w:tcPr>
            <w:tcW w:w="1104"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审查</w:t>
            </w:r>
          </w:p>
        </w:tc>
        <w:tc>
          <w:tcPr>
            <w:tcW w:w="1104" w:type="dxa"/>
            <w:noWrap w:val="0"/>
            <w:vAlign w:val="center"/>
          </w:tcPr>
          <w:p>
            <w:pPr>
              <w:spacing w:line="240" w:lineRule="exact"/>
              <w:jc w:val="center"/>
              <w:rPr>
                <w:rFonts w:hint="eastAsia" w:ascii="宋体" w:hAnsi="宋体"/>
                <w:kern w:val="0"/>
                <w:szCs w:val="21"/>
              </w:rPr>
            </w:pPr>
            <w:r>
              <w:rPr>
                <w:rFonts w:hint="eastAsia" w:ascii="仿宋_GB2312" w:hAnsi="宋体" w:eastAsia="仿宋_GB2312" w:cs="仿宋_GB2312"/>
                <w:color w:val="000000"/>
                <w:kern w:val="0"/>
                <w:sz w:val="22"/>
                <w:lang w:bidi="ar"/>
              </w:rPr>
              <w:t>根据文件规定对所提供的全部材料进行审核。</w:t>
            </w:r>
          </w:p>
        </w:tc>
        <w:tc>
          <w:tcPr>
            <w:tcW w:w="78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8"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88" w:type="dxa"/>
            <w:vMerge w:val="continue"/>
            <w:noWrap w:val="0"/>
            <w:vAlign w:val="center"/>
          </w:tcPr>
          <w:p>
            <w:pPr>
              <w:spacing w:line="560" w:lineRule="exact"/>
              <w:jc w:val="center"/>
              <w:rPr>
                <w:rFonts w:hint="eastAsia" w:ascii="仿宋_GB2312" w:hAnsi="黑体" w:eastAsia="仿宋_GB2312" w:cs="宋体"/>
                <w:sz w:val="22"/>
              </w:rPr>
            </w:pPr>
          </w:p>
        </w:tc>
        <w:tc>
          <w:tcPr>
            <w:tcW w:w="1067"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79" w:hRule="atLeast"/>
          <w:jc w:val="center"/>
        </w:trPr>
        <w:tc>
          <w:tcPr>
            <w:tcW w:w="714" w:type="dxa"/>
            <w:vMerge w:val="continue"/>
            <w:noWrap w:val="0"/>
            <w:vAlign w:val="center"/>
          </w:tcPr>
          <w:p>
            <w:pPr>
              <w:spacing w:line="560" w:lineRule="exact"/>
              <w:jc w:val="center"/>
              <w:rPr>
                <w:rFonts w:hint="eastAsia" w:ascii="仿宋_GB2312" w:hAnsi="黑体" w:eastAsia="仿宋_GB2312" w:cs="宋体"/>
                <w:sz w:val="22"/>
              </w:rPr>
            </w:pPr>
          </w:p>
        </w:tc>
        <w:tc>
          <w:tcPr>
            <w:tcW w:w="1072" w:type="dxa"/>
            <w:vMerge w:val="continue"/>
            <w:noWrap w:val="0"/>
            <w:vAlign w:val="center"/>
          </w:tcPr>
          <w:p>
            <w:pPr>
              <w:spacing w:line="560" w:lineRule="exact"/>
              <w:jc w:val="center"/>
              <w:rPr>
                <w:rFonts w:hint="eastAsia" w:ascii="仿宋_GB2312" w:hAnsi="黑体" w:eastAsia="仿宋_GB2312" w:cs="宋体"/>
                <w:sz w:val="22"/>
              </w:rPr>
            </w:pPr>
          </w:p>
        </w:tc>
        <w:tc>
          <w:tcPr>
            <w:tcW w:w="558" w:type="dxa"/>
            <w:vMerge w:val="continue"/>
            <w:noWrap w:val="0"/>
            <w:vAlign w:val="center"/>
          </w:tcPr>
          <w:p>
            <w:pPr>
              <w:spacing w:line="560" w:lineRule="exact"/>
              <w:jc w:val="center"/>
              <w:rPr>
                <w:rFonts w:hint="eastAsia" w:ascii="仿宋_GB2312" w:hAnsi="黑体" w:eastAsia="仿宋_GB2312" w:cs="宋体"/>
                <w:sz w:val="22"/>
              </w:rPr>
            </w:pPr>
          </w:p>
        </w:tc>
        <w:tc>
          <w:tcPr>
            <w:tcW w:w="1612" w:type="dxa"/>
            <w:vMerge w:val="continue"/>
            <w:noWrap w:val="0"/>
            <w:vAlign w:val="center"/>
          </w:tcPr>
          <w:p>
            <w:pPr>
              <w:spacing w:line="560" w:lineRule="exact"/>
              <w:jc w:val="center"/>
              <w:rPr>
                <w:rFonts w:hint="eastAsia" w:ascii="仿宋_GB2312" w:hAnsi="黑体" w:eastAsia="仿宋_GB2312" w:cs="宋体"/>
                <w:sz w:val="22"/>
              </w:rPr>
            </w:pPr>
          </w:p>
        </w:tc>
        <w:tc>
          <w:tcPr>
            <w:tcW w:w="1104"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发放</w:t>
            </w:r>
          </w:p>
        </w:tc>
        <w:tc>
          <w:tcPr>
            <w:tcW w:w="1104" w:type="dxa"/>
            <w:noWrap w:val="0"/>
            <w:vAlign w:val="center"/>
          </w:tcPr>
          <w:p>
            <w:pPr>
              <w:spacing w:line="240" w:lineRule="exact"/>
              <w:rPr>
                <w:rFonts w:hint="eastAsia" w:ascii="宋体" w:hAnsi="宋体"/>
                <w:kern w:val="0"/>
                <w:szCs w:val="21"/>
              </w:rPr>
            </w:pPr>
            <w:r>
              <w:rPr>
                <w:rFonts w:hint="eastAsia" w:ascii="仿宋_GB2312" w:hAnsi="宋体" w:eastAsia="仿宋_GB2312" w:cs="仿宋_GB2312"/>
                <w:color w:val="000000"/>
                <w:kern w:val="0"/>
                <w:sz w:val="22"/>
                <w:lang w:bidi="ar"/>
              </w:rPr>
              <w:t>根据申请人提供的有关材料，决定是否呈报。</w:t>
            </w:r>
          </w:p>
        </w:tc>
        <w:tc>
          <w:tcPr>
            <w:tcW w:w="788" w:type="dxa"/>
            <w:noWrap w:val="0"/>
            <w:vAlign w:val="center"/>
          </w:tcPr>
          <w:p>
            <w:pPr>
              <w:spacing w:line="560" w:lineRule="exact"/>
              <w:jc w:val="distribute"/>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8"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88" w:type="dxa"/>
            <w:vMerge w:val="continue"/>
            <w:noWrap w:val="0"/>
            <w:vAlign w:val="center"/>
          </w:tcPr>
          <w:p>
            <w:pPr>
              <w:spacing w:line="560" w:lineRule="exact"/>
              <w:jc w:val="center"/>
              <w:rPr>
                <w:rFonts w:hint="eastAsia" w:ascii="仿宋_GB2312" w:hAnsi="黑体" w:eastAsia="仿宋_GB2312" w:cs="宋体"/>
                <w:sz w:val="22"/>
              </w:rPr>
            </w:pPr>
          </w:p>
        </w:tc>
        <w:tc>
          <w:tcPr>
            <w:tcW w:w="1067"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5" w:hRule="atLeast"/>
          <w:jc w:val="center"/>
        </w:trPr>
        <w:tc>
          <w:tcPr>
            <w:tcW w:w="9595" w:type="dxa"/>
            <w:gridSpan w:val="10"/>
            <w:noWrap w:val="0"/>
            <w:vAlign w:val="center"/>
          </w:tcPr>
          <w:p>
            <w:pPr>
              <w:spacing w:line="560" w:lineRule="exact"/>
              <w:rPr>
                <w:rFonts w:hint="default" w:ascii="仿宋_GB2312" w:hAnsi="黑体" w:eastAsia="仿宋_GB2312" w:cs="宋体"/>
                <w:sz w:val="22"/>
                <w:lang w:val="en-US" w:eastAsia="zh-CN"/>
              </w:rPr>
            </w:pPr>
            <w:r>
              <w:rPr>
                <w:rFonts w:hint="eastAsia" w:ascii="仿宋_GB2312" w:hAnsi="黑体" w:eastAsia="仿宋_GB2312" w:cs="宋体"/>
                <w:sz w:val="22"/>
              </w:rPr>
              <w:t>服务电话：0394-</w:t>
            </w:r>
            <w:r>
              <w:rPr>
                <w:rFonts w:hint="eastAsia" w:ascii="仿宋_GB2312" w:hAnsi="黑体" w:eastAsia="仿宋_GB2312" w:cs="宋体"/>
                <w:sz w:val="22"/>
                <w:lang w:val="en-US" w:eastAsia="zh-CN"/>
              </w:rPr>
              <w:t>6865199</w:t>
            </w:r>
            <w:r>
              <w:rPr>
                <w:rFonts w:hint="eastAsia" w:ascii="仿宋_GB2312" w:hAnsi="黑体" w:eastAsia="仿宋_GB2312" w:cs="宋体"/>
                <w:sz w:val="22"/>
              </w:rPr>
              <w:t>投诉机构：太康县</w:t>
            </w:r>
            <w:r>
              <w:rPr>
                <w:rFonts w:hint="eastAsia" w:ascii="仿宋_GB2312" w:hAnsi="黑体" w:eastAsia="仿宋_GB2312" w:cs="宋体"/>
                <w:sz w:val="22"/>
                <w:lang w:val="en-US" w:eastAsia="zh-CN"/>
              </w:rPr>
              <w:t>退役军人事务局</w:t>
            </w:r>
            <w:r>
              <w:rPr>
                <w:rFonts w:hint="eastAsia" w:ascii="仿宋_GB2312" w:hAnsi="黑体" w:eastAsia="仿宋_GB2312" w:cs="宋体"/>
                <w:sz w:val="22"/>
              </w:rPr>
              <w:t xml:space="preserve">       投诉电话：0394-68</w:t>
            </w:r>
            <w:r>
              <w:rPr>
                <w:rFonts w:hint="eastAsia" w:ascii="仿宋_GB2312" w:hAnsi="黑体" w:eastAsia="仿宋_GB2312" w:cs="宋体"/>
                <w:sz w:val="22"/>
                <w:lang w:val="en-US" w:eastAsia="zh-CN"/>
              </w:rPr>
              <w:t>67567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9" w:hRule="atLeast"/>
          <w:jc w:val="center"/>
        </w:trPr>
        <w:tc>
          <w:tcPr>
            <w:tcW w:w="9595" w:type="dxa"/>
            <w:gridSpan w:val="10"/>
            <w:noWrap w:val="0"/>
            <w:vAlign w:val="center"/>
          </w:tcPr>
          <w:p>
            <w:pPr>
              <w:spacing w:line="560" w:lineRule="exact"/>
              <w:rPr>
                <w:rFonts w:hint="default" w:ascii="仿宋_GB2312" w:hAnsi="黑体" w:eastAsia="仿宋_GB2312" w:cs="宋体"/>
                <w:sz w:val="22"/>
                <w:lang w:val="en-US" w:eastAsia="zh-CN"/>
              </w:rPr>
            </w:pPr>
            <w:r>
              <w:rPr>
                <w:rFonts w:hint="eastAsia" w:ascii="仿宋_GB2312" w:hAnsi="黑体" w:eastAsia="仿宋_GB2312" w:cs="宋体"/>
                <w:sz w:val="22"/>
              </w:rPr>
              <w:t>受理地点：太康县城关镇</w:t>
            </w:r>
            <w:r>
              <w:rPr>
                <w:rFonts w:hint="eastAsia" w:ascii="仿宋_GB2312" w:hAnsi="黑体" w:eastAsia="仿宋_GB2312" w:cs="宋体"/>
                <w:sz w:val="22"/>
                <w:lang w:val="en-US" w:eastAsia="zh-CN"/>
              </w:rPr>
              <w:t>谢安中段退役军人事务局</w:t>
            </w:r>
          </w:p>
        </w:tc>
      </w:tr>
    </w:tbl>
    <w:p>
      <w:pPr>
        <w:spacing w:line="560" w:lineRule="exact"/>
        <w:rPr>
          <w:rFonts w:hint="eastAsia"/>
        </w:rPr>
      </w:pPr>
    </w:p>
    <w:p>
      <w:pPr>
        <w:spacing w:line="560" w:lineRule="exact"/>
        <w:rPr>
          <w:rFonts w:hint="eastAsia" w:ascii="仿宋_GB2312" w:hAnsi="黑体" w:eastAsia="仿宋_GB2312" w:cs="宋体"/>
          <w:sz w:val="22"/>
        </w:rPr>
      </w:pPr>
    </w:p>
    <w:p>
      <w:pPr>
        <w:spacing w:line="560" w:lineRule="exact"/>
        <w:rPr>
          <w:rFonts w:hint="eastAsia" w:ascii="仿宋_GB2312" w:hAnsi="黑体" w:eastAsia="仿宋_GB2312" w:cs="宋体"/>
          <w:sz w:val="22"/>
        </w:rPr>
      </w:pPr>
      <w:r>
        <w:rPr>
          <w:rFonts w:hint="eastAsia" w:ascii="仿宋_GB2312" w:hAnsi="黑体" w:eastAsia="仿宋_GB2312" w:cs="宋体"/>
          <w:sz w:val="22"/>
        </w:rPr>
        <w:t>职权类别：行政给付</w:t>
      </w:r>
    </w:p>
    <w:tbl>
      <w:tblPr>
        <w:tblStyle w:val="4"/>
        <w:tblW w:w="953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09"/>
        <w:gridCol w:w="1065"/>
        <w:gridCol w:w="554"/>
        <w:gridCol w:w="1602"/>
        <w:gridCol w:w="1097"/>
        <w:gridCol w:w="1097"/>
        <w:gridCol w:w="783"/>
        <w:gridCol w:w="783"/>
        <w:gridCol w:w="783"/>
        <w:gridCol w:w="10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67" w:hRule="atLeast"/>
          <w:jc w:val="center"/>
        </w:trPr>
        <w:tc>
          <w:tcPr>
            <w:tcW w:w="709"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序号</w:t>
            </w:r>
          </w:p>
        </w:tc>
        <w:tc>
          <w:tcPr>
            <w:tcW w:w="1065"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职权名称</w:t>
            </w:r>
          </w:p>
        </w:tc>
        <w:tc>
          <w:tcPr>
            <w:tcW w:w="55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子项</w:t>
            </w:r>
          </w:p>
        </w:tc>
        <w:tc>
          <w:tcPr>
            <w:tcW w:w="1602"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实施</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依据</w:t>
            </w:r>
          </w:p>
        </w:tc>
        <w:tc>
          <w:tcPr>
            <w:tcW w:w="1097"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办理</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环节</w:t>
            </w:r>
          </w:p>
        </w:tc>
        <w:tc>
          <w:tcPr>
            <w:tcW w:w="1097"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事项</w:t>
            </w:r>
          </w:p>
        </w:tc>
        <w:tc>
          <w:tcPr>
            <w:tcW w:w="78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责任股室</w:t>
            </w:r>
          </w:p>
        </w:tc>
        <w:tc>
          <w:tcPr>
            <w:tcW w:w="78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承诺时限</w:t>
            </w:r>
          </w:p>
        </w:tc>
        <w:tc>
          <w:tcPr>
            <w:tcW w:w="78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法定时限</w:t>
            </w:r>
          </w:p>
        </w:tc>
        <w:tc>
          <w:tcPr>
            <w:tcW w:w="1061"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09" w:hRule="atLeast"/>
          <w:jc w:val="center"/>
        </w:trPr>
        <w:tc>
          <w:tcPr>
            <w:tcW w:w="709" w:type="dxa"/>
            <w:vMerge w:val="restart"/>
            <w:noWrap w:val="0"/>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2</w:t>
            </w:r>
          </w:p>
        </w:tc>
        <w:tc>
          <w:tcPr>
            <w:tcW w:w="1065" w:type="dxa"/>
            <w:vMerge w:val="restart"/>
            <w:noWrap w:val="0"/>
            <w:vAlign w:val="center"/>
          </w:tcPr>
          <w:p>
            <w:pPr>
              <w:spacing w:line="560" w:lineRule="exact"/>
              <w:rPr>
                <w:rFonts w:hint="eastAsia" w:ascii="仿宋_GB2312" w:hAnsi="黑体" w:eastAsia="仿宋_GB2312" w:cs="宋体"/>
                <w:sz w:val="22"/>
              </w:rPr>
            </w:pPr>
            <w:r>
              <w:rPr>
                <w:rFonts w:hint="eastAsia" w:ascii="仿宋_GB2312" w:hAnsi="宋体" w:eastAsia="仿宋_GB2312" w:cs="宋体"/>
                <w:color w:val="000000"/>
                <w:kern w:val="0"/>
                <w:szCs w:val="21"/>
              </w:rPr>
              <w:t>在乡老复员军人定期定量补助发放</w:t>
            </w:r>
          </w:p>
        </w:tc>
        <w:tc>
          <w:tcPr>
            <w:tcW w:w="554" w:type="dxa"/>
            <w:vMerge w:val="restart"/>
            <w:noWrap w:val="0"/>
            <w:vAlign w:val="center"/>
          </w:tcPr>
          <w:p>
            <w:pPr>
              <w:spacing w:line="560" w:lineRule="exact"/>
              <w:jc w:val="center"/>
              <w:rPr>
                <w:rFonts w:hint="eastAsia" w:ascii="仿宋_GB2312" w:hAnsi="黑体" w:eastAsia="仿宋_GB2312" w:cs="宋体"/>
                <w:sz w:val="22"/>
              </w:rPr>
            </w:pPr>
          </w:p>
        </w:tc>
        <w:tc>
          <w:tcPr>
            <w:tcW w:w="1602" w:type="dxa"/>
            <w:vMerge w:val="restart"/>
            <w:noWrap w:val="0"/>
            <w:vAlign w:val="center"/>
          </w:tcPr>
          <w:p>
            <w:pPr>
              <w:spacing w:line="240" w:lineRule="exact"/>
              <w:rPr>
                <w:rFonts w:hint="eastAsia" w:ascii="仿宋_GB2312" w:hAnsi="黑体" w:eastAsia="仿宋_GB2312" w:cs="宋体"/>
                <w:sz w:val="22"/>
              </w:rPr>
            </w:pPr>
            <w:r>
              <w:rPr>
                <w:rFonts w:hint="eastAsia" w:ascii="仿宋_GB2312" w:hAnsi="宋体" w:eastAsia="仿宋_GB2312" w:cs="宋体"/>
                <w:color w:val="000000"/>
                <w:kern w:val="0"/>
                <w:szCs w:val="21"/>
              </w:rPr>
              <w:t>《军人抚恤优待条例》（2004年8月1日国务院、中央军事委员会令第413号公布，2011年7月29日修订，国务院、中央军事委员会令第602号,自2011年8月1日起施行）第四十四条　复员军人生活困难的，按照规定的条件，由当地人民政府民政部门给予定期定量补助，逐步改善其生活条件。</w:t>
            </w:r>
          </w:p>
        </w:tc>
        <w:tc>
          <w:tcPr>
            <w:tcW w:w="1097"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受理</w:t>
            </w:r>
          </w:p>
        </w:tc>
        <w:tc>
          <w:tcPr>
            <w:tcW w:w="1097" w:type="dxa"/>
            <w:noWrap w:val="0"/>
            <w:vAlign w:val="center"/>
          </w:tcPr>
          <w:p>
            <w:pPr>
              <w:spacing w:line="240" w:lineRule="exact"/>
              <w:jc w:val="left"/>
              <w:rPr>
                <w:rFonts w:hint="eastAsia" w:ascii="宋体" w:hAnsi="宋体"/>
                <w:kern w:val="0"/>
                <w:szCs w:val="21"/>
              </w:rPr>
            </w:pPr>
            <w:r>
              <w:rPr>
                <w:rFonts w:hint="eastAsia" w:ascii="仿宋_GB2312" w:hAnsi="宋体" w:eastAsia="仿宋_GB2312" w:cs="仿宋_GB2312"/>
                <w:color w:val="000000"/>
                <w:kern w:val="0"/>
                <w:sz w:val="22"/>
                <w:lang w:bidi="ar"/>
              </w:rPr>
              <w:t>公示依法应当提交的材料；一次性告知补证材料；依法受理或不予受理（不予受理的依法告知理由）。</w:t>
            </w:r>
          </w:p>
        </w:tc>
        <w:tc>
          <w:tcPr>
            <w:tcW w:w="78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3" w:type="dxa"/>
            <w:noWrap w:val="0"/>
            <w:vAlign w:val="center"/>
          </w:tcPr>
          <w:p>
            <w:pPr>
              <w:spacing w:line="240" w:lineRule="exact"/>
              <w:rPr>
                <w:rFonts w:hint="eastAsia" w:ascii="仿宋_GB2312" w:hAnsi="黑体" w:eastAsia="仿宋_GB2312" w:cs="宋体"/>
                <w:sz w:val="22"/>
              </w:rPr>
            </w:pPr>
            <w:r>
              <w:rPr>
                <w:rFonts w:hint="eastAsia" w:ascii="仿宋_GB2312" w:hAnsi="黑体" w:eastAsia="仿宋_GB2312" w:cs="宋体"/>
                <w:sz w:val="22"/>
              </w:rPr>
              <w:t>按政策时限发放</w:t>
            </w:r>
          </w:p>
        </w:tc>
        <w:tc>
          <w:tcPr>
            <w:tcW w:w="783" w:type="dxa"/>
            <w:vMerge w:val="restart"/>
            <w:noWrap w:val="0"/>
            <w:vAlign w:val="center"/>
          </w:tcPr>
          <w:p>
            <w:pPr>
              <w:spacing w:line="560" w:lineRule="exact"/>
              <w:jc w:val="center"/>
              <w:rPr>
                <w:rFonts w:hint="eastAsia" w:ascii="仿宋_GB2312" w:hAnsi="黑体" w:eastAsia="仿宋_GB2312" w:cs="宋体"/>
                <w:sz w:val="22"/>
              </w:rPr>
            </w:pPr>
          </w:p>
        </w:tc>
        <w:tc>
          <w:tcPr>
            <w:tcW w:w="1061" w:type="dxa"/>
            <w:vMerge w:val="restart"/>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67" w:hRule="atLeast"/>
          <w:jc w:val="center"/>
        </w:trPr>
        <w:tc>
          <w:tcPr>
            <w:tcW w:w="709" w:type="dxa"/>
            <w:vMerge w:val="continue"/>
            <w:noWrap w:val="0"/>
            <w:vAlign w:val="center"/>
          </w:tcPr>
          <w:p>
            <w:pPr>
              <w:spacing w:line="560" w:lineRule="exact"/>
              <w:jc w:val="center"/>
              <w:rPr>
                <w:rFonts w:hint="eastAsia" w:ascii="仿宋_GB2312" w:hAnsi="黑体" w:eastAsia="仿宋_GB2312" w:cs="宋体"/>
                <w:sz w:val="22"/>
              </w:rPr>
            </w:pPr>
          </w:p>
        </w:tc>
        <w:tc>
          <w:tcPr>
            <w:tcW w:w="1065" w:type="dxa"/>
            <w:vMerge w:val="continue"/>
            <w:noWrap w:val="0"/>
            <w:vAlign w:val="center"/>
          </w:tcPr>
          <w:p>
            <w:pPr>
              <w:spacing w:line="560" w:lineRule="exact"/>
              <w:jc w:val="center"/>
              <w:rPr>
                <w:rFonts w:hint="eastAsia" w:ascii="仿宋_GB2312" w:hAnsi="黑体" w:eastAsia="仿宋_GB2312" w:cs="宋体"/>
                <w:sz w:val="22"/>
              </w:rPr>
            </w:pPr>
          </w:p>
        </w:tc>
        <w:tc>
          <w:tcPr>
            <w:tcW w:w="554" w:type="dxa"/>
            <w:vMerge w:val="continue"/>
            <w:noWrap w:val="0"/>
            <w:vAlign w:val="center"/>
          </w:tcPr>
          <w:p>
            <w:pPr>
              <w:spacing w:line="560" w:lineRule="exact"/>
              <w:jc w:val="center"/>
              <w:rPr>
                <w:rFonts w:hint="eastAsia" w:ascii="仿宋_GB2312" w:hAnsi="黑体" w:eastAsia="仿宋_GB2312" w:cs="宋体"/>
                <w:sz w:val="22"/>
              </w:rPr>
            </w:pPr>
          </w:p>
        </w:tc>
        <w:tc>
          <w:tcPr>
            <w:tcW w:w="1602" w:type="dxa"/>
            <w:vMerge w:val="continue"/>
            <w:noWrap w:val="0"/>
            <w:vAlign w:val="center"/>
          </w:tcPr>
          <w:p>
            <w:pPr>
              <w:spacing w:line="560" w:lineRule="exact"/>
              <w:jc w:val="center"/>
              <w:rPr>
                <w:rFonts w:hint="eastAsia" w:ascii="仿宋_GB2312" w:hAnsi="黑体" w:eastAsia="仿宋_GB2312" w:cs="宋体"/>
                <w:sz w:val="22"/>
              </w:rPr>
            </w:pPr>
          </w:p>
        </w:tc>
        <w:tc>
          <w:tcPr>
            <w:tcW w:w="1097"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审查</w:t>
            </w:r>
          </w:p>
        </w:tc>
        <w:tc>
          <w:tcPr>
            <w:tcW w:w="1097" w:type="dxa"/>
            <w:noWrap w:val="0"/>
            <w:vAlign w:val="center"/>
          </w:tcPr>
          <w:p>
            <w:pPr>
              <w:spacing w:line="240" w:lineRule="exact"/>
              <w:jc w:val="center"/>
              <w:rPr>
                <w:rFonts w:hint="eastAsia" w:ascii="宋体" w:hAnsi="宋体"/>
                <w:kern w:val="0"/>
                <w:szCs w:val="21"/>
              </w:rPr>
            </w:pPr>
            <w:r>
              <w:rPr>
                <w:rFonts w:hint="eastAsia" w:ascii="仿宋_GB2312" w:hAnsi="宋体" w:eastAsia="仿宋_GB2312" w:cs="仿宋_GB2312"/>
                <w:color w:val="000000"/>
                <w:kern w:val="0"/>
                <w:sz w:val="22"/>
                <w:lang w:bidi="ar"/>
              </w:rPr>
              <w:t>根据文件规定对所提供的全部材料进行审核。</w:t>
            </w:r>
          </w:p>
        </w:tc>
        <w:tc>
          <w:tcPr>
            <w:tcW w:w="78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3"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83" w:type="dxa"/>
            <w:vMerge w:val="continue"/>
            <w:noWrap w:val="0"/>
            <w:vAlign w:val="center"/>
          </w:tcPr>
          <w:p>
            <w:pPr>
              <w:spacing w:line="560" w:lineRule="exact"/>
              <w:jc w:val="center"/>
              <w:rPr>
                <w:rFonts w:hint="eastAsia" w:ascii="仿宋_GB2312" w:hAnsi="黑体" w:eastAsia="仿宋_GB2312" w:cs="宋体"/>
                <w:sz w:val="22"/>
              </w:rPr>
            </w:pPr>
          </w:p>
        </w:tc>
        <w:tc>
          <w:tcPr>
            <w:tcW w:w="1061"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67" w:hRule="atLeast"/>
          <w:jc w:val="center"/>
        </w:trPr>
        <w:tc>
          <w:tcPr>
            <w:tcW w:w="709" w:type="dxa"/>
            <w:vMerge w:val="continue"/>
            <w:noWrap w:val="0"/>
            <w:vAlign w:val="center"/>
          </w:tcPr>
          <w:p>
            <w:pPr>
              <w:spacing w:line="560" w:lineRule="exact"/>
              <w:jc w:val="center"/>
              <w:rPr>
                <w:rFonts w:hint="eastAsia" w:ascii="仿宋_GB2312" w:hAnsi="黑体" w:eastAsia="仿宋_GB2312" w:cs="宋体"/>
                <w:sz w:val="22"/>
              </w:rPr>
            </w:pPr>
          </w:p>
        </w:tc>
        <w:tc>
          <w:tcPr>
            <w:tcW w:w="1065" w:type="dxa"/>
            <w:vMerge w:val="continue"/>
            <w:noWrap w:val="0"/>
            <w:vAlign w:val="center"/>
          </w:tcPr>
          <w:p>
            <w:pPr>
              <w:spacing w:line="560" w:lineRule="exact"/>
              <w:jc w:val="center"/>
              <w:rPr>
                <w:rFonts w:hint="eastAsia" w:ascii="仿宋_GB2312" w:hAnsi="黑体" w:eastAsia="仿宋_GB2312" w:cs="宋体"/>
                <w:sz w:val="22"/>
              </w:rPr>
            </w:pPr>
          </w:p>
        </w:tc>
        <w:tc>
          <w:tcPr>
            <w:tcW w:w="554" w:type="dxa"/>
            <w:vMerge w:val="continue"/>
            <w:noWrap w:val="0"/>
            <w:vAlign w:val="center"/>
          </w:tcPr>
          <w:p>
            <w:pPr>
              <w:spacing w:line="560" w:lineRule="exact"/>
              <w:jc w:val="center"/>
              <w:rPr>
                <w:rFonts w:hint="eastAsia" w:ascii="仿宋_GB2312" w:hAnsi="黑体" w:eastAsia="仿宋_GB2312" w:cs="宋体"/>
                <w:sz w:val="22"/>
              </w:rPr>
            </w:pPr>
          </w:p>
        </w:tc>
        <w:tc>
          <w:tcPr>
            <w:tcW w:w="1602" w:type="dxa"/>
            <w:vMerge w:val="continue"/>
            <w:noWrap w:val="0"/>
            <w:vAlign w:val="center"/>
          </w:tcPr>
          <w:p>
            <w:pPr>
              <w:spacing w:line="560" w:lineRule="exact"/>
              <w:jc w:val="center"/>
              <w:rPr>
                <w:rFonts w:hint="eastAsia" w:ascii="仿宋_GB2312" w:hAnsi="黑体" w:eastAsia="仿宋_GB2312" w:cs="宋体"/>
                <w:sz w:val="22"/>
              </w:rPr>
            </w:pPr>
          </w:p>
        </w:tc>
        <w:tc>
          <w:tcPr>
            <w:tcW w:w="1097"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发放</w:t>
            </w:r>
          </w:p>
        </w:tc>
        <w:tc>
          <w:tcPr>
            <w:tcW w:w="1097" w:type="dxa"/>
            <w:noWrap w:val="0"/>
            <w:vAlign w:val="center"/>
          </w:tcPr>
          <w:p>
            <w:pPr>
              <w:spacing w:line="240" w:lineRule="exact"/>
              <w:rPr>
                <w:rFonts w:hint="eastAsia" w:ascii="宋体" w:hAnsi="宋体"/>
                <w:kern w:val="0"/>
                <w:szCs w:val="21"/>
              </w:rPr>
            </w:pPr>
            <w:r>
              <w:rPr>
                <w:rFonts w:hint="eastAsia" w:ascii="仿宋_GB2312" w:hAnsi="宋体" w:eastAsia="仿宋_GB2312" w:cs="仿宋_GB2312"/>
                <w:color w:val="000000"/>
                <w:kern w:val="0"/>
                <w:sz w:val="22"/>
                <w:lang w:bidi="ar"/>
              </w:rPr>
              <w:t>根据申请人提供的有关材料，决定是否呈报。</w:t>
            </w:r>
          </w:p>
        </w:tc>
        <w:tc>
          <w:tcPr>
            <w:tcW w:w="78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3"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83" w:type="dxa"/>
            <w:vMerge w:val="continue"/>
            <w:noWrap w:val="0"/>
            <w:vAlign w:val="center"/>
          </w:tcPr>
          <w:p>
            <w:pPr>
              <w:spacing w:line="560" w:lineRule="exact"/>
              <w:jc w:val="center"/>
              <w:rPr>
                <w:rFonts w:hint="eastAsia" w:ascii="仿宋_GB2312" w:hAnsi="黑体" w:eastAsia="仿宋_GB2312" w:cs="宋体"/>
                <w:sz w:val="22"/>
              </w:rPr>
            </w:pPr>
          </w:p>
        </w:tc>
        <w:tc>
          <w:tcPr>
            <w:tcW w:w="1061"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5" w:hRule="atLeast"/>
          <w:jc w:val="center"/>
        </w:trPr>
        <w:tc>
          <w:tcPr>
            <w:tcW w:w="9534"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服务电话：0394-</w:t>
            </w:r>
            <w:r>
              <w:rPr>
                <w:rFonts w:hint="eastAsia" w:ascii="仿宋_GB2312" w:hAnsi="黑体" w:eastAsia="仿宋_GB2312" w:cs="宋体"/>
                <w:sz w:val="22"/>
                <w:lang w:val="en-US" w:eastAsia="zh-CN"/>
              </w:rPr>
              <w:t>6865199</w:t>
            </w:r>
            <w:r>
              <w:rPr>
                <w:rFonts w:hint="eastAsia" w:ascii="仿宋_GB2312" w:hAnsi="黑体" w:eastAsia="仿宋_GB2312" w:cs="宋体"/>
                <w:sz w:val="22"/>
              </w:rPr>
              <w:t>投诉机构：太康县</w:t>
            </w:r>
            <w:r>
              <w:rPr>
                <w:rFonts w:hint="eastAsia" w:ascii="仿宋_GB2312" w:hAnsi="黑体" w:eastAsia="仿宋_GB2312" w:cs="宋体"/>
                <w:sz w:val="22"/>
                <w:lang w:val="en-US" w:eastAsia="zh-CN"/>
              </w:rPr>
              <w:t>退役军人事务局</w:t>
            </w:r>
            <w:r>
              <w:rPr>
                <w:rFonts w:hint="eastAsia" w:ascii="仿宋_GB2312" w:hAnsi="黑体" w:eastAsia="仿宋_GB2312" w:cs="宋体"/>
                <w:sz w:val="22"/>
              </w:rPr>
              <w:t xml:space="preserve">       投诉电话：0394-68</w:t>
            </w:r>
            <w:r>
              <w:rPr>
                <w:rFonts w:hint="eastAsia" w:ascii="仿宋_GB2312" w:hAnsi="黑体" w:eastAsia="仿宋_GB2312" w:cs="宋体"/>
                <w:sz w:val="22"/>
                <w:lang w:val="en-US" w:eastAsia="zh-CN"/>
              </w:rPr>
              <w:t>67567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1" w:hRule="atLeast"/>
          <w:jc w:val="center"/>
        </w:trPr>
        <w:tc>
          <w:tcPr>
            <w:tcW w:w="9534"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受理地点：太康县城关镇</w:t>
            </w:r>
            <w:r>
              <w:rPr>
                <w:rFonts w:hint="eastAsia" w:ascii="仿宋_GB2312" w:hAnsi="黑体" w:eastAsia="仿宋_GB2312" w:cs="宋体"/>
                <w:sz w:val="22"/>
                <w:lang w:val="en-US" w:eastAsia="zh-CN"/>
              </w:rPr>
              <w:t>谢安中段退役军人事务局</w:t>
            </w:r>
          </w:p>
        </w:tc>
      </w:tr>
    </w:tbl>
    <w:p/>
    <w:p>
      <w:pPr>
        <w:spacing w:line="560" w:lineRule="exact"/>
        <w:rPr>
          <w:rFonts w:hint="eastAsia" w:ascii="仿宋_GB2312" w:hAnsi="黑体" w:eastAsia="仿宋_GB2312" w:cs="宋体"/>
          <w:sz w:val="22"/>
        </w:rPr>
      </w:pPr>
      <w:r>
        <w:rPr>
          <w:rFonts w:hint="eastAsia" w:ascii="仿宋_GB2312" w:hAnsi="黑体" w:eastAsia="仿宋_GB2312" w:cs="宋体"/>
          <w:sz w:val="22"/>
        </w:rPr>
        <w:t>职权类别：行政给付</w:t>
      </w:r>
    </w:p>
    <w:tbl>
      <w:tblPr>
        <w:tblStyle w:val="4"/>
        <w:tblW w:w="947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05"/>
        <w:gridCol w:w="1058"/>
        <w:gridCol w:w="551"/>
        <w:gridCol w:w="1592"/>
        <w:gridCol w:w="1090"/>
        <w:gridCol w:w="1090"/>
        <w:gridCol w:w="778"/>
        <w:gridCol w:w="778"/>
        <w:gridCol w:w="778"/>
        <w:gridCol w:w="105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70" w:hRule="atLeast"/>
          <w:jc w:val="center"/>
        </w:trPr>
        <w:tc>
          <w:tcPr>
            <w:tcW w:w="705"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序号</w:t>
            </w:r>
          </w:p>
        </w:tc>
        <w:tc>
          <w:tcPr>
            <w:tcW w:w="105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职权名称</w:t>
            </w:r>
          </w:p>
        </w:tc>
        <w:tc>
          <w:tcPr>
            <w:tcW w:w="551"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子项</w:t>
            </w:r>
          </w:p>
        </w:tc>
        <w:tc>
          <w:tcPr>
            <w:tcW w:w="1592"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实施</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依据</w:t>
            </w:r>
          </w:p>
        </w:tc>
        <w:tc>
          <w:tcPr>
            <w:tcW w:w="1090"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办理</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环节</w:t>
            </w:r>
          </w:p>
        </w:tc>
        <w:tc>
          <w:tcPr>
            <w:tcW w:w="1090"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事项</w:t>
            </w:r>
          </w:p>
        </w:tc>
        <w:tc>
          <w:tcPr>
            <w:tcW w:w="77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责任股室</w:t>
            </w:r>
          </w:p>
        </w:tc>
        <w:tc>
          <w:tcPr>
            <w:tcW w:w="77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承诺时限</w:t>
            </w:r>
          </w:p>
        </w:tc>
        <w:tc>
          <w:tcPr>
            <w:tcW w:w="77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法定时限</w:t>
            </w:r>
          </w:p>
        </w:tc>
        <w:tc>
          <w:tcPr>
            <w:tcW w:w="105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14" w:hRule="atLeast"/>
          <w:jc w:val="center"/>
        </w:trPr>
        <w:tc>
          <w:tcPr>
            <w:tcW w:w="705" w:type="dxa"/>
            <w:vMerge w:val="restart"/>
            <w:noWrap w:val="0"/>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3</w:t>
            </w:r>
          </w:p>
        </w:tc>
        <w:tc>
          <w:tcPr>
            <w:tcW w:w="1058" w:type="dxa"/>
            <w:vMerge w:val="restart"/>
            <w:noWrap w:val="0"/>
            <w:vAlign w:val="center"/>
          </w:tcPr>
          <w:p>
            <w:pPr>
              <w:spacing w:line="560" w:lineRule="exact"/>
              <w:rPr>
                <w:rFonts w:hint="eastAsia" w:ascii="仿宋_GB2312" w:hAnsi="黑体" w:eastAsia="仿宋_GB2312" w:cs="宋体"/>
                <w:sz w:val="22"/>
              </w:rPr>
            </w:pPr>
            <w:r>
              <w:rPr>
                <w:rFonts w:hint="eastAsia" w:ascii="仿宋_GB2312" w:hAnsi="宋体" w:eastAsia="仿宋_GB2312" w:cs="宋体"/>
                <w:color w:val="000000"/>
                <w:kern w:val="0"/>
                <w:szCs w:val="21"/>
              </w:rPr>
              <w:t>60周岁以上农村籍退役士兵老年生活补助金发放</w:t>
            </w:r>
          </w:p>
        </w:tc>
        <w:tc>
          <w:tcPr>
            <w:tcW w:w="551" w:type="dxa"/>
            <w:vMerge w:val="restart"/>
            <w:noWrap w:val="0"/>
            <w:vAlign w:val="center"/>
          </w:tcPr>
          <w:p>
            <w:pPr>
              <w:spacing w:line="560" w:lineRule="exact"/>
              <w:jc w:val="center"/>
              <w:rPr>
                <w:rFonts w:hint="eastAsia" w:ascii="仿宋_GB2312" w:hAnsi="黑体" w:eastAsia="仿宋_GB2312" w:cs="宋体"/>
                <w:sz w:val="22"/>
              </w:rPr>
            </w:pPr>
          </w:p>
        </w:tc>
        <w:tc>
          <w:tcPr>
            <w:tcW w:w="1592" w:type="dxa"/>
            <w:vMerge w:val="restart"/>
            <w:noWrap w:val="0"/>
            <w:vAlign w:val="center"/>
          </w:tcPr>
          <w:p>
            <w:pPr>
              <w:spacing w:line="240" w:lineRule="exact"/>
              <w:rPr>
                <w:rFonts w:hint="eastAsia" w:ascii="仿宋_GB2312" w:hAnsi="黑体" w:eastAsia="仿宋_GB2312" w:cs="宋体"/>
                <w:sz w:val="22"/>
              </w:rPr>
            </w:pPr>
            <w:r>
              <w:rPr>
                <w:rFonts w:hint="eastAsia" w:ascii="仿宋_GB2312" w:hAnsi="宋体" w:eastAsia="仿宋_GB2312" w:cs="宋体"/>
                <w:color w:val="000000"/>
                <w:kern w:val="0"/>
                <w:szCs w:val="21"/>
              </w:rPr>
              <w:t>《关于给部分农村籍退役士兵发放老年生活补助的通知》（民发〔2011〕110号）四、各级民政、财政部门要按照统一部署和要求，结合本地实际，周密制定实施方案，切实加大工作力度，保障工作经费，确保政策及时落实到位。对享受老年生活补助后生活仍有特殊困难的，各地要加大救助力度，帮助解决实际困难。</w:t>
            </w:r>
          </w:p>
        </w:tc>
        <w:tc>
          <w:tcPr>
            <w:tcW w:w="1090"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受理</w:t>
            </w:r>
          </w:p>
        </w:tc>
        <w:tc>
          <w:tcPr>
            <w:tcW w:w="1090" w:type="dxa"/>
            <w:noWrap w:val="0"/>
            <w:vAlign w:val="center"/>
          </w:tcPr>
          <w:p>
            <w:pPr>
              <w:spacing w:line="240" w:lineRule="exact"/>
              <w:jc w:val="left"/>
              <w:rPr>
                <w:rFonts w:hint="eastAsia" w:ascii="宋体" w:hAnsi="宋体"/>
                <w:kern w:val="0"/>
                <w:szCs w:val="21"/>
              </w:rPr>
            </w:pPr>
            <w:r>
              <w:rPr>
                <w:rFonts w:hint="eastAsia" w:ascii="仿宋_GB2312" w:hAnsi="宋体" w:eastAsia="仿宋_GB2312" w:cs="仿宋_GB2312"/>
                <w:color w:val="000000"/>
                <w:kern w:val="0"/>
                <w:sz w:val="22"/>
                <w:lang w:bidi="ar"/>
              </w:rPr>
              <w:t>公示依法应当提交的材料；一次性告知补证材料；依法受理或不予受理（不予受理的依法告知理由）。</w:t>
            </w:r>
          </w:p>
        </w:tc>
        <w:tc>
          <w:tcPr>
            <w:tcW w:w="77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78" w:type="dxa"/>
            <w:noWrap w:val="0"/>
            <w:vAlign w:val="center"/>
          </w:tcPr>
          <w:p>
            <w:pPr>
              <w:spacing w:line="240" w:lineRule="exact"/>
              <w:rPr>
                <w:rFonts w:hint="eastAsia" w:ascii="仿宋_GB2312" w:hAnsi="黑体" w:eastAsia="仿宋_GB2312" w:cs="宋体"/>
                <w:sz w:val="22"/>
              </w:rPr>
            </w:pPr>
            <w:r>
              <w:rPr>
                <w:rFonts w:hint="eastAsia" w:ascii="仿宋_GB2312" w:hAnsi="黑体" w:eastAsia="仿宋_GB2312" w:cs="宋体"/>
                <w:sz w:val="22"/>
              </w:rPr>
              <w:t>按政策时限发放</w:t>
            </w:r>
          </w:p>
        </w:tc>
        <w:tc>
          <w:tcPr>
            <w:tcW w:w="778" w:type="dxa"/>
            <w:vMerge w:val="restart"/>
            <w:noWrap w:val="0"/>
            <w:vAlign w:val="center"/>
          </w:tcPr>
          <w:p>
            <w:pPr>
              <w:spacing w:line="560" w:lineRule="exact"/>
              <w:jc w:val="center"/>
              <w:rPr>
                <w:rFonts w:hint="eastAsia" w:ascii="仿宋_GB2312" w:hAnsi="黑体" w:eastAsia="仿宋_GB2312" w:cs="宋体"/>
                <w:sz w:val="22"/>
              </w:rPr>
            </w:pPr>
          </w:p>
        </w:tc>
        <w:tc>
          <w:tcPr>
            <w:tcW w:w="1054" w:type="dxa"/>
            <w:vMerge w:val="restart"/>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70" w:hRule="atLeast"/>
          <w:jc w:val="center"/>
        </w:trPr>
        <w:tc>
          <w:tcPr>
            <w:tcW w:w="705" w:type="dxa"/>
            <w:vMerge w:val="continue"/>
            <w:noWrap w:val="0"/>
            <w:vAlign w:val="center"/>
          </w:tcPr>
          <w:p>
            <w:pPr>
              <w:spacing w:line="560" w:lineRule="exact"/>
              <w:jc w:val="center"/>
              <w:rPr>
                <w:rFonts w:hint="eastAsia" w:ascii="仿宋_GB2312" w:hAnsi="黑体" w:eastAsia="仿宋_GB2312" w:cs="宋体"/>
                <w:sz w:val="22"/>
              </w:rPr>
            </w:pPr>
          </w:p>
        </w:tc>
        <w:tc>
          <w:tcPr>
            <w:tcW w:w="1058" w:type="dxa"/>
            <w:vMerge w:val="continue"/>
            <w:noWrap w:val="0"/>
            <w:vAlign w:val="center"/>
          </w:tcPr>
          <w:p>
            <w:pPr>
              <w:spacing w:line="560" w:lineRule="exact"/>
              <w:jc w:val="center"/>
              <w:rPr>
                <w:rFonts w:hint="eastAsia" w:ascii="仿宋_GB2312" w:hAnsi="黑体" w:eastAsia="仿宋_GB2312" w:cs="宋体"/>
                <w:sz w:val="22"/>
              </w:rPr>
            </w:pPr>
          </w:p>
        </w:tc>
        <w:tc>
          <w:tcPr>
            <w:tcW w:w="551" w:type="dxa"/>
            <w:vMerge w:val="continue"/>
            <w:noWrap w:val="0"/>
            <w:vAlign w:val="center"/>
          </w:tcPr>
          <w:p>
            <w:pPr>
              <w:spacing w:line="560" w:lineRule="exact"/>
              <w:jc w:val="center"/>
              <w:rPr>
                <w:rFonts w:hint="eastAsia" w:ascii="仿宋_GB2312" w:hAnsi="黑体" w:eastAsia="仿宋_GB2312" w:cs="宋体"/>
                <w:sz w:val="22"/>
              </w:rPr>
            </w:pPr>
          </w:p>
        </w:tc>
        <w:tc>
          <w:tcPr>
            <w:tcW w:w="1592" w:type="dxa"/>
            <w:vMerge w:val="continue"/>
            <w:noWrap w:val="0"/>
            <w:vAlign w:val="center"/>
          </w:tcPr>
          <w:p>
            <w:pPr>
              <w:spacing w:line="560" w:lineRule="exact"/>
              <w:jc w:val="center"/>
              <w:rPr>
                <w:rFonts w:hint="eastAsia" w:ascii="仿宋_GB2312" w:hAnsi="黑体" w:eastAsia="仿宋_GB2312" w:cs="宋体"/>
                <w:sz w:val="22"/>
              </w:rPr>
            </w:pPr>
          </w:p>
        </w:tc>
        <w:tc>
          <w:tcPr>
            <w:tcW w:w="1090"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审查</w:t>
            </w:r>
          </w:p>
        </w:tc>
        <w:tc>
          <w:tcPr>
            <w:tcW w:w="1090" w:type="dxa"/>
            <w:noWrap w:val="0"/>
            <w:vAlign w:val="center"/>
          </w:tcPr>
          <w:p>
            <w:pPr>
              <w:spacing w:line="240" w:lineRule="exact"/>
              <w:jc w:val="center"/>
              <w:rPr>
                <w:rFonts w:hint="eastAsia" w:ascii="宋体" w:hAnsi="宋体"/>
                <w:kern w:val="0"/>
                <w:szCs w:val="21"/>
              </w:rPr>
            </w:pPr>
            <w:r>
              <w:rPr>
                <w:rFonts w:hint="eastAsia" w:ascii="仿宋_GB2312" w:hAnsi="宋体" w:eastAsia="仿宋_GB2312" w:cs="仿宋_GB2312"/>
                <w:color w:val="000000"/>
                <w:kern w:val="0"/>
                <w:sz w:val="22"/>
                <w:lang w:bidi="ar"/>
              </w:rPr>
              <w:t>根据文件规定对所提供的全部材料进行审核。</w:t>
            </w:r>
          </w:p>
        </w:tc>
        <w:tc>
          <w:tcPr>
            <w:tcW w:w="77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78"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78" w:type="dxa"/>
            <w:vMerge w:val="continue"/>
            <w:noWrap w:val="0"/>
            <w:vAlign w:val="center"/>
          </w:tcPr>
          <w:p>
            <w:pPr>
              <w:spacing w:line="560" w:lineRule="exact"/>
              <w:jc w:val="center"/>
              <w:rPr>
                <w:rFonts w:hint="eastAsia" w:ascii="仿宋_GB2312" w:hAnsi="黑体" w:eastAsia="仿宋_GB2312" w:cs="宋体"/>
                <w:sz w:val="22"/>
              </w:rPr>
            </w:pPr>
          </w:p>
        </w:tc>
        <w:tc>
          <w:tcPr>
            <w:tcW w:w="1054"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70" w:hRule="atLeast"/>
          <w:jc w:val="center"/>
        </w:trPr>
        <w:tc>
          <w:tcPr>
            <w:tcW w:w="705" w:type="dxa"/>
            <w:vMerge w:val="continue"/>
            <w:noWrap w:val="0"/>
            <w:vAlign w:val="center"/>
          </w:tcPr>
          <w:p>
            <w:pPr>
              <w:spacing w:line="560" w:lineRule="exact"/>
              <w:jc w:val="center"/>
              <w:rPr>
                <w:rFonts w:hint="eastAsia" w:ascii="仿宋_GB2312" w:hAnsi="黑体" w:eastAsia="仿宋_GB2312" w:cs="宋体"/>
                <w:sz w:val="22"/>
              </w:rPr>
            </w:pPr>
          </w:p>
        </w:tc>
        <w:tc>
          <w:tcPr>
            <w:tcW w:w="1058" w:type="dxa"/>
            <w:vMerge w:val="continue"/>
            <w:noWrap w:val="0"/>
            <w:vAlign w:val="center"/>
          </w:tcPr>
          <w:p>
            <w:pPr>
              <w:spacing w:line="560" w:lineRule="exact"/>
              <w:jc w:val="center"/>
              <w:rPr>
                <w:rFonts w:hint="eastAsia" w:ascii="仿宋_GB2312" w:hAnsi="黑体" w:eastAsia="仿宋_GB2312" w:cs="宋体"/>
                <w:sz w:val="22"/>
              </w:rPr>
            </w:pPr>
          </w:p>
        </w:tc>
        <w:tc>
          <w:tcPr>
            <w:tcW w:w="551" w:type="dxa"/>
            <w:vMerge w:val="continue"/>
            <w:noWrap w:val="0"/>
            <w:vAlign w:val="center"/>
          </w:tcPr>
          <w:p>
            <w:pPr>
              <w:spacing w:line="560" w:lineRule="exact"/>
              <w:jc w:val="center"/>
              <w:rPr>
                <w:rFonts w:hint="eastAsia" w:ascii="仿宋_GB2312" w:hAnsi="黑体" w:eastAsia="仿宋_GB2312" w:cs="宋体"/>
                <w:sz w:val="22"/>
              </w:rPr>
            </w:pPr>
          </w:p>
        </w:tc>
        <w:tc>
          <w:tcPr>
            <w:tcW w:w="1592" w:type="dxa"/>
            <w:vMerge w:val="continue"/>
            <w:noWrap w:val="0"/>
            <w:vAlign w:val="center"/>
          </w:tcPr>
          <w:p>
            <w:pPr>
              <w:spacing w:line="560" w:lineRule="exact"/>
              <w:jc w:val="center"/>
              <w:rPr>
                <w:rFonts w:hint="eastAsia" w:ascii="仿宋_GB2312" w:hAnsi="黑体" w:eastAsia="仿宋_GB2312" w:cs="宋体"/>
                <w:sz w:val="22"/>
              </w:rPr>
            </w:pPr>
          </w:p>
        </w:tc>
        <w:tc>
          <w:tcPr>
            <w:tcW w:w="1090"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发放</w:t>
            </w:r>
          </w:p>
        </w:tc>
        <w:tc>
          <w:tcPr>
            <w:tcW w:w="1090" w:type="dxa"/>
            <w:noWrap w:val="0"/>
            <w:vAlign w:val="center"/>
          </w:tcPr>
          <w:p>
            <w:pPr>
              <w:spacing w:line="240" w:lineRule="exact"/>
              <w:rPr>
                <w:rFonts w:hint="eastAsia" w:ascii="宋体" w:hAnsi="宋体"/>
                <w:kern w:val="0"/>
                <w:szCs w:val="21"/>
              </w:rPr>
            </w:pPr>
            <w:r>
              <w:rPr>
                <w:rFonts w:hint="eastAsia" w:ascii="仿宋_GB2312" w:hAnsi="宋体" w:eastAsia="仿宋_GB2312" w:cs="仿宋_GB2312"/>
                <w:color w:val="000000"/>
                <w:kern w:val="0"/>
                <w:sz w:val="22"/>
                <w:lang w:bidi="ar"/>
              </w:rPr>
              <w:t>根据申请人提供的有关材料，决定是否呈报。</w:t>
            </w:r>
          </w:p>
        </w:tc>
        <w:tc>
          <w:tcPr>
            <w:tcW w:w="77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78"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78" w:type="dxa"/>
            <w:vMerge w:val="continue"/>
            <w:noWrap w:val="0"/>
            <w:vAlign w:val="center"/>
          </w:tcPr>
          <w:p>
            <w:pPr>
              <w:spacing w:line="560" w:lineRule="exact"/>
              <w:jc w:val="center"/>
              <w:rPr>
                <w:rFonts w:hint="eastAsia" w:ascii="仿宋_GB2312" w:hAnsi="黑体" w:eastAsia="仿宋_GB2312" w:cs="宋体"/>
                <w:sz w:val="22"/>
              </w:rPr>
            </w:pPr>
          </w:p>
        </w:tc>
        <w:tc>
          <w:tcPr>
            <w:tcW w:w="1054"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9474"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服务电话：0394-</w:t>
            </w:r>
            <w:r>
              <w:rPr>
                <w:rFonts w:hint="eastAsia" w:ascii="仿宋_GB2312" w:hAnsi="黑体" w:eastAsia="仿宋_GB2312" w:cs="宋体"/>
                <w:sz w:val="22"/>
                <w:lang w:val="en-US" w:eastAsia="zh-CN"/>
              </w:rPr>
              <w:t>6865199</w:t>
            </w:r>
            <w:r>
              <w:rPr>
                <w:rFonts w:hint="eastAsia" w:ascii="仿宋_GB2312" w:hAnsi="黑体" w:eastAsia="仿宋_GB2312" w:cs="宋体"/>
                <w:sz w:val="22"/>
              </w:rPr>
              <w:t>投诉机构：太康县</w:t>
            </w:r>
            <w:r>
              <w:rPr>
                <w:rFonts w:hint="eastAsia" w:ascii="仿宋_GB2312" w:hAnsi="黑体" w:eastAsia="仿宋_GB2312" w:cs="宋体"/>
                <w:sz w:val="22"/>
                <w:lang w:val="en-US" w:eastAsia="zh-CN"/>
              </w:rPr>
              <w:t>退役军人事务局</w:t>
            </w:r>
            <w:r>
              <w:rPr>
                <w:rFonts w:hint="eastAsia" w:ascii="仿宋_GB2312" w:hAnsi="黑体" w:eastAsia="仿宋_GB2312" w:cs="宋体"/>
                <w:sz w:val="22"/>
              </w:rPr>
              <w:t xml:space="preserve">       投诉电话：0394-68</w:t>
            </w:r>
            <w:r>
              <w:rPr>
                <w:rFonts w:hint="eastAsia" w:ascii="仿宋_GB2312" w:hAnsi="黑体" w:eastAsia="仿宋_GB2312" w:cs="宋体"/>
                <w:sz w:val="22"/>
                <w:lang w:val="en-US" w:eastAsia="zh-CN"/>
              </w:rPr>
              <w:t>67567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2" w:hRule="atLeast"/>
          <w:jc w:val="center"/>
        </w:trPr>
        <w:tc>
          <w:tcPr>
            <w:tcW w:w="9474"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受理地点：太康县城关镇</w:t>
            </w:r>
            <w:r>
              <w:rPr>
                <w:rFonts w:hint="eastAsia" w:ascii="仿宋_GB2312" w:hAnsi="黑体" w:eastAsia="仿宋_GB2312" w:cs="宋体"/>
                <w:sz w:val="22"/>
                <w:lang w:val="en-US" w:eastAsia="zh-CN"/>
              </w:rPr>
              <w:t>谢安中段退役军人事务局</w:t>
            </w:r>
          </w:p>
        </w:tc>
      </w:tr>
    </w:tbl>
    <w:p/>
    <w:p>
      <w:pPr>
        <w:spacing w:line="560" w:lineRule="exact"/>
        <w:rPr>
          <w:rFonts w:hint="eastAsia" w:ascii="仿宋_GB2312" w:hAnsi="黑体" w:eastAsia="仿宋_GB2312" w:cs="宋体"/>
          <w:sz w:val="22"/>
        </w:rPr>
      </w:pPr>
      <w:r>
        <w:rPr>
          <w:rFonts w:hint="eastAsia" w:ascii="仿宋_GB2312" w:hAnsi="黑体" w:eastAsia="仿宋_GB2312" w:cs="宋体"/>
          <w:sz w:val="22"/>
        </w:rPr>
        <w:t>职权类别：行政给付</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1"/>
        <w:gridCol w:w="1037"/>
        <w:gridCol w:w="540"/>
        <w:gridCol w:w="1560"/>
        <w:gridCol w:w="1068"/>
        <w:gridCol w:w="1068"/>
        <w:gridCol w:w="763"/>
        <w:gridCol w:w="763"/>
        <w:gridCol w:w="763"/>
        <w:gridCol w:w="103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691"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序号</w:t>
            </w:r>
          </w:p>
        </w:tc>
        <w:tc>
          <w:tcPr>
            <w:tcW w:w="1037"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职权名称</w:t>
            </w:r>
          </w:p>
        </w:tc>
        <w:tc>
          <w:tcPr>
            <w:tcW w:w="540"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子项</w:t>
            </w:r>
          </w:p>
        </w:tc>
        <w:tc>
          <w:tcPr>
            <w:tcW w:w="1560"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实施</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依据</w:t>
            </w:r>
          </w:p>
        </w:tc>
        <w:tc>
          <w:tcPr>
            <w:tcW w:w="106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办理</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环节</w:t>
            </w:r>
          </w:p>
        </w:tc>
        <w:tc>
          <w:tcPr>
            <w:tcW w:w="106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事项</w:t>
            </w:r>
          </w:p>
        </w:tc>
        <w:tc>
          <w:tcPr>
            <w:tcW w:w="76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责任股室</w:t>
            </w:r>
          </w:p>
        </w:tc>
        <w:tc>
          <w:tcPr>
            <w:tcW w:w="76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承诺时限</w:t>
            </w:r>
          </w:p>
        </w:tc>
        <w:tc>
          <w:tcPr>
            <w:tcW w:w="76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法定时限</w:t>
            </w:r>
          </w:p>
        </w:tc>
        <w:tc>
          <w:tcPr>
            <w:tcW w:w="103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4" w:hRule="atLeast"/>
          <w:jc w:val="center"/>
        </w:trPr>
        <w:tc>
          <w:tcPr>
            <w:tcW w:w="691" w:type="dxa"/>
            <w:vMerge w:val="restart"/>
            <w:noWrap w:val="0"/>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4</w:t>
            </w:r>
          </w:p>
        </w:tc>
        <w:tc>
          <w:tcPr>
            <w:tcW w:w="1037" w:type="dxa"/>
            <w:vMerge w:val="restart"/>
            <w:noWrap w:val="0"/>
            <w:vAlign w:val="center"/>
          </w:tcPr>
          <w:p>
            <w:pPr>
              <w:spacing w:line="560" w:lineRule="exact"/>
              <w:rPr>
                <w:rFonts w:hint="eastAsia" w:ascii="仿宋_GB2312" w:hAnsi="黑体" w:eastAsia="仿宋_GB2312" w:cs="宋体"/>
                <w:sz w:val="22"/>
              </w:rPr>
            </w:pPr>
            <w:r>
              <w:rPr>
                <w:rFonts w:hint="eastAsia" w:ascii="仿宋_GB2312" w:hAnsi="宋体" w:eastAsia="仿宋_GB2312" w:cs="宋体"/>
                <w:color w:val="000000"/>
                <w:kern w:val="0"/>
                <w:szCs w:val="21"/>
              </w:rPr>
              <w:t>残疾军人抚恤金发放</w:t>
            </w:r>
          </w:p>
        </w:tc>
        <w:tc>
          <w:tcPr>
            <w:tcW w:w="540" w:type="dxa"/>
            <w:vMerge w:val="restart"/>
            <w:noWrap w:val="0"/>
            <w:vAlign w:val="center"/>
          </w:tcPr>
          <w:p>
            <w:pPr>
              <w:spacing w:line="560" w:lineRule="exact"/>
              <w:jc w:val="center"/>
              <w:rPr>
                <w:rFonts w:hint="eastAsia" w:ascii="仿宋_GB2312" w:hAnsi="黑体" w:eastAsia="仿宋_GB2312" w:cs="宋体"/>
                <w:sz w:val="22"/>
              </w:rPr>
            </w:pPr>
          </w:p>
        </w:tc>
        <w:tc>
          <w:tcPr>
            <w:tcW w:w="1560" w:type="dxa"/>
            <w:vMerge w:val="restart"/>
            <w:noWrap w:val="0"/>
            <w:vAlign w:val="center"/>
          </w:tcPr>
          <w:p>
            <w:pPr>
              <w:spacing w:line="240" w:lineRule="exact"/>
              <w:rPr>
                <w:rFonts w:hint="eastAsia" w:ascii="仿宋_GB2312" w:hAnsi="黑体" w:eastAsia="仿宋_GB2312" w:cs="宋体"/>
                <w:sz w:val="22"/>
              </w:rPr>
            </w:pPr>
            <w:r>
              <w:rPr>
                <w:rFonts w:hint="eastAsia" w:ascii="仿宋_GB2312" w:hAnsi="宋体" w:eastAsia="仿宋_GB2312" w:cs="宋体"/>
                <w:color w:val="000000"/>
                <w:kern w:val="0"/>
                <w:szCs w:val="21"/>
              </w:rPr>
              <w:t>《军人抚恤优待条例》（2004年8月1日国务院、中央军事委员会令第413号公布，2011年7月29日修订，国务院、中央军事委员会令第602号,自2011年8月1日起施行）第二十三条　现役军人因战、因公致残，医疗终结后符合评定残疾等级条件的，应当评定残疾等级。义务兵和初级士官因病致残符合评定残疾等级条件，本人（精神病患者由其利害关系人）提出申请的，也应当评定残疾等级。因战、因公致残，残疾等级被评定为一级至十级的，享受抚恤；因病致残，残疾等级被评定为一级至六级的，享受抚恤。</w:t>
            </w:r>
          </w:p>
        </w:tc>
        <w:tc>
          <w:tcPr>
            <w:tcW w:w="106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受理</w:t>
            </w:r>
          </w:p>
        </w:tc>
        <w:tc>
          <w:tcPr>
            <w:tcW w:w="1068" w:type="dxa"/>
            <w:noWrap w:val="0"/>
            <w:vAlign w:val="center"/>
          </w:tcPr>
          <w:p>
            <w:pPr>
              <w:spacing w:line="240" w:lineRule="exact"/>
              <w:jc w:val="left"/>
              <w:rPr>
                <w:rFonts w:hint="eastAsia" w:ascii="宋体" w:hAnsi="宋体"/>
                <w:kern w:val="0"/>
                <w:szCs w:val="21"/>
              </w:rPr>
            </w:pPr>
            <w:r>
              <w:rPr>
                <w:rFonts w:hint="eastAsia" w:ascii="仿宋_GB2312" w:hAnsi="宋体" w:eastAsia="仿宋_GB2312" w:cs="仿宋_GB2312"/>
                <w:color w:val="000000"/>
                <w:kern w:val="0"/>
                <w:sz w:val="22"/>
                <w:lang w:bidi="ar"/>
              </w:rPr>
              <w:t>公示依法应当提交的材料；一次性告知补证材料；依法受理或不予受理（不予受理的依法告知理由）。</w:t>
            </w:r>
          </w:p>
        </w:tc>
        <w:tc>
          <w:tcPr>
            <w:tcW w:w="76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63" w:type="dxa"/>
            <w:noWrap w:val="0"/>
            <w:vAlign w:val="center"/>
          </w:tcPr>
          <w:p>
            <w:pPr>
              <w:spacing w:line="240" w:lineRule="exact"/>
              <w:rPr>
                <w:rFonts w:hint="eastAsia" w:ascii="仿宋_GB2312" w:hAnsi="黑体" w:eastAsia="仿宋_GB2312" w:cs="宋体"/>
                <w:sz w:val="22"/>
              </w:rPr>
            </w:pPr>
            <w:r>
              <w:rPr>
                <w:rFonts w:hint="eastAsia" w:ascii="仿宋_GB2312" w:hAnsi="黑体" w:eastAsia="仿宋_GB2312" w:cs="宋体"/>
                <w:sz w:val="22"/>
              </w:rPr>
              <w:t>按政策时限发放</w:t>
            </w:r>
          </w:p>
        </w:tc>
        <w:tc>
          <w:tcPr>
            <w:tcW w:w="763" w:type="dxa"/>
            <w:vMerge w:val="restart"/>
            <w:noWrap w:val="0"/>
            <w:vAlign w:val="center"/>
          </w:tcPr>
          <w:p>
            <w:pPr>
              <w:spacing w:line="560" w:lineRule="exact"/>
              <w:jc w:val="center"/>
              <w:rPr>
                <w:rFonts w:hint="eastAsia" w:ascii="仿宋_GB2312" w:hAnsi="黑体" w:eastAsia="仿宋_GB2312" w:cs="宋体"/>
                <w:sz w:val="22"/>
              </w:rPr>
            </w:pPr>
          </w:p>
        </w:tc>
        <w:tc>
          <w:tcPr>
            <w:tcW w:w="1033" w:type="dxa"/>
            <w:vMerge w:val="restart"/>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91" w:type="dxa"/>
            <w:vMerge w:val="continue"/>
            <w:noWrap w:val="0"/>
            <w:vAlign w:val="center"/>
          </w:tcPr>
          <w:p>
            <w:pPr>
              <w:spacing w:line="560" w:lineRule="exact"/>
              <w:jc w:val="center"/>
              <w:rPr>
                <w:rFonts w:hint="eastAsia" w:ascii="仿宋_GB2312" w:hAnsi="黑体" w:eastAsia="仿宋_GB2312" w:cs="宋体"/>
                <w:sz w:val="22"/>
              </w:rPr>
            </w:pPr>
          </w:p>
        </w:tc>
        <w:tc>
          <w:tcPr>
            <w:tcW w:w="1037" w:type="dxa"/>
            <w:vMerge w:val="continue"/>
            <w:noWrap w:val="0"/>
            <w:vAlign w:val="center"/>
          </w:tcPr>
          <w:p>
            <w:pPr>
              <w:spacing w:line="560" w:lineRule="exact"/>
              <w:jc w:val="center"/>
              <w:rPr>
                <w:rFonts w:hint="eastAsia" w:ascii="仿宋_GB2312" w:hAnsi="黑体" w:eastAsia="仿宋_GB2312" w:cs="宋体"/>
                <w:sz w:val="22"/>
              </w:rPr>
            </w:pPr>
          </w:p>
        </w:tc>
        <w:tc>
          <w:tcPr>
            <w:tcW w:w="540" w:type="dxa"/>
            <w:vMerge w:val="continue"/>
            <w:noWrap w:val="0"/>
            <w:vAlign w:val="center"/>
          </w:tcPr>
          <w:p>
            <w:pPr>
              <w:spacing w:line="560" w:lineRule="exact"/>
              <w:jc w:val="center"/>
              <w:rPr>
                <w:rFonts w:hint="eastAsia" w:ascii="仿宋_GB2312" w:hAnsi="黑体" w:eastAsia="仿宋_GB2312" w:cs="宋体"/>
                <w:sz w:val="22"/>
              </w:rPr>
            </w:pPr>
          </w:p>
        </w:tc>
        <w:tc>
          <w:tcPr>
            <w:tcW w:w="1560" w:type="dxa"/>
            <w:vMerge w:val="continue"/>
            <w:noWrap w:val="0"/>
            <w:vAlign w:val="center"/>
          </w:tcPr>
          <w:p>
            <w:pPr>
              <w:spacing w:line="560" w:lineRule="exact"/>
              <w:jc w:val="center"/>
              <w:rPr>
                <w:rFonts w:hint="eastAsia" w:ascii="仿宋_GB2312" w:hAnsi="黑体" w:eastAsia="仿宋_GB2312" w:cs="宋体"/>
                <w:sz w:val="22"/>
              </w:rPr>
            </w:pPr>
          </w:p>
        </w:tc>
        <w:tc>
          <w:tcPr>
            <w:tcW w:w="106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审查</w:t>
            </w:r>
          </w:p>
        </w:tc>
        <w:tc>
          <w:tcPr>
            <w:tcW w:w="1068" w:type="dxa"/>
            <w:noWrap w:val="0"/>
            <w:vAlign w:val="center"/>
          </w:tcPr>
          <w:p>
            <w:pPr>
              <w:spacing w:line="240" w:lineRule="exact"/>
              <w:jc w:val="center"/>
              <w:rPr>
                <w:rFonts w:hint="eastAsia" w:ascii="宋体" w:hAnsi="宋体"/>
                <w:kern w:val="0"/>
                <w:szCs w:val="21"/>
              </w:rPr>
            </w:pPr>
            <w:r>
              <w:rPr>
                <w:rFonts w:hint="eastAsia" w:ascii="仿宋_GB2312" w:hAnsi="宋体" w:eastAsia="仿宋_GB2312" w:cs="仿宋_GB2312"/>
                <w:color w:val="000000"/>
                <w:kern w:val="0"/>
                <w:sz w:val="22"/>
                <w:lang w:bidi="ar"/>
              </w:rPr>
              <w:t>根据文件规定对所提供的全部材料进行审核。</w:t>
            </w:r>
          </w:p>
        </w:tc>
        <w:tc>
          <w:tcPr>
            <w:tcW w:w="76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63"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63" w:type="dxa"/>
            <w:vMerge w:val="continue"/>
            <w:noWrap w:val="0"/>
            <w:vAlign w:val="center"/>
          </w:tcPr>
          <w:p>
            <w:pPr>
              <w:spacing w:line="560" w:lineRule="exact"/>
              <w:jc w:val="center"/>
              <w:rPr>
                <w:rFonts w:hint="eastAsia" w:ascii="仿宋_GB2312" w:hAnsi="黑体" w:eastAsia="仿宋_GB2312" w:cs="宋体"/>
                <w:sz w:val="22"/>
              </w:rPr>
            </w:pPr>
          </w:p>
        </w:tc>
        <w:tc>
          <w:tcPr>
            <w:tcW w:w="1033"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91" w:type="dxa"/>
            <w:vMerge w:val="continue"/>
            <w:noWrap w:val="0"/>
            <w:vAlign w:val="center"/>
          </w:tcPr>
          <w:p>
            <w:pPr>
              <w:spacing w:line="560" w:lineRule="exact"/>
              <w:jc w:val="center"/>
              <w:rPr>
                <w:rFonts w:hint="eastAsia" w:ascii="仿宋_GB2312" w:hAnsi="黑体" w:eastAsia="仿宋_GB2312" w:cs="宋体"/>
                <w:sz w:val="22"/>
              </w:rPr>
            </w:pPr>
          </w:p>
        </w:tc>
        <w:tc>
          <w:tcPr>
            <w:tcW w:w="1037" w:type="dxa"/>
            <w:vMerge w:val="continue"/>
            <w:noWrap w:val="0"/>
            <w:vAlign w:val="center"/>
          </w:tcPr>
          <w:p>
            <w:pPr>
              <w:spacing w:line="560" w:lineRule="exact"/>
              <w:jc w:val="center"/>
              <w:rPr>
                <w:rFonts w:hint="eastAsia" w:ascii="仿宋_GB2312" w:hAnsi="黑体" w:eastAsia="仿宋_GB2312" w:cs="宋体"/>
                <w:sz w:val="22"/>
              </w:rPr>
            </w:pPr>
          </w:p>
        </w:tc>
        <w:tc>
          <w:tcPr>
            <w:tcW w:w="540" w:type="dxa"/>
            <w:vMerge w:val="continue"/>
            <w:noWrap w:val="0"/>
            <w:vAlign w:val="center"/>
          </w:tcPr>
          <w:p>
            <w:pPr>
              <w:spacing w:line="560" w:lineRule="exact"/>
              <w:jc w:val="center"/>
              <w:rPr>
                <w:rFonts w:hint="eastAsia" w:ascii="仿宋_GB2312" w:hAnsi="黑体" w:eastAsia="仿宋_GB2312" w:cs="宋体"/>
                <w:sz w:val="22"/>
              </w:rPr>
            </w:pPr>
          </w:p>
        </w:tc>
        <w:tc>
          <w:tcPr>
            <w:tcW w:w="1560" w:type="dxa"/>
            <w:vMerge w:val="continue"/>
            <w:noWrap w:val="0"/>
            <w:vAlign w:val="center"/>
          </w:tcPr>
          <w:p>
            <w:pPr>
              <w:spacing w:line="560" w:lineRule="exact"/>
              <w:jc w:val="center"/>
              <w:rPr>
                <w:rFonts w:hint="eastAsia" w:ascii="仿宋_GB2312" w:hAnsi="黑体" w:eastAsia="仿宋_GB2312" w:cs="宋体"/>
                <w:sz w:val="22"/>
              </w:rPr>
            </w:pPr>
          </w:p>
        </w:tc>
        <w:tc>
          <w:tcPr>
            <w:tcW w:w="106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发放</w:t>
            </w:r>
          </w:p>
        </w:tc>
        <w:tc>
          <w:tcPr>
            <w:tcW w:w="1068" w:type="dxa"/>
            <w:noWrap w:val="0"/>
            <w:vAlign w:val="center"/>
          </w:tcPr>
          <w:p>
            <w:pPr>
              <w:spacing w:line="240" w:lineRule="exact"/>
              <w:rPr>
                <w:rFonts w:hint="eastAsia" w:ascii="宋体" w:hAnsi="宋体"/>
                <w:kern w:val="0"/>
                <w:szCs w:val="21"/>
              </w:rPr>
            </w:pPr>
            <w:r>
              <w:rPr>
                <w:rFonts w:hint="eastAsia" w:ascii="仿宋_GB2312" w:hAnsi="宋体" w:eastAsia="仿宋_GB2312" w:cs="仿宋_GB2312"/>
                <w:color w:val="000000"/>
                <w:kern w:val="0"/>
                <w:sz w:val="22"/>
                <w:lang w:bidi="ar"/>
              </w:rPr>
              <w:t>根据申请人提供的有关材料，决定是否呈报。</w:t>
            </w:r>
          </w:p>
        </w:tc>
        <w:tc>
          <w:tcPr>
            <w:tcW w:w="763" w:type="dxa"/>
            <w:noWrap w:val="0"/>
            <w:vAlign w:val="center"/>
          </w:tcPr>
          <w:p>
            <w:pPr>
              <w:spacing w:line="560" w:lineRule="exact"/>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63"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63" w:type="dxa"/>
            <w:vMerge w:val="continue"/>
            <w:noWrap w:val="0"/>
            <w:vAlign w:val="center"/>
          </w:tcPr>
          <w:p>
            <w:pPr>
              <w:spacing w:line="560" w:lineRule="exact"/>
              <w:jc w:val="center"/>
              <w:rPr>
                <w:rFonts w:hint="eastAsia" w:ascii="仿宋_GB2312" w:hAnsi="黑体" w:eastAsia="仿宋_GB2312" w:cs="宋体"/>
                <w:sz w:val="22"/>
              </w:rPr>
            </w:pPr>
          </w:p>
        </w:tc>
        <w:tc>
          <w:tcPr>
            <w:tcW w:w="1033"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9286"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服务电话：0394-</w:t>
            </w:r>
            <w:r>
              <w:rPr>
                <w:rFonts w:hint="eastAsia" w:ascii="仿宋_GB2312" w:hAnsi="黑体" w:eastAsia="仿宋_GB2312" w:cs="宋体"/>
                <w:sz w:val="22"/>
                <w:lang w:val="en-US" w:eastAsia="zh-CN"/>
              </w:rPr>
              <w:t>6865199</w:t>
            </w:r>
            <w:r>
              <w:rPr>
                <w:rFonts w:hint="eastAsia" w:ascii="仿宋_GB2312" w:hAnsi="黑体" w:eastAsia="仿宋_GB2312" w:cs="宋体"/>
                <w:sz w:val="22"/>
              </w:rPr>
              <w:t>投诉机构：太康县</w:t>
            </w:r>
            <w:r>
              <w:rPr>
                <w:rFonts w:hint="eastAsia" w:ascii="仿宋_GB2312" w:hAnsi="黑体" w:eastAsia="仿宋_GB2312" w:cs="宋体"/>
                <w:sz w:val="22"/>
                <w:lang w:val="en-US" w:eastAsia="zh-CN"/>
              </w:rPr>
              <w:t>退役军人事务局</w:t>
            </w:r>
            <w:r>
              <w:rPr>
                <w:rFonts w:hint="eastAsia" w:ascii="仿宋_GB2312" w:hAnsi="黑体" w:eastAsia="仿宋_GB2312" w:cs="宋体"/>
                <w:sz w:val="22"/>
              </w:rPr>
              <w:t xml:space="preserve">       投诉电话：0394-68</w:t>
            </w:r>
            <w:r>
              <w:rPr>
                <w:rFonts w:hint="eastAsia" w:ascii="仿宋_GB2312" w:hAnsi="黑体" w:eastAsia="仿宋_GB2312" w:cs="宋体"/>
                <w:sz w:val="22"/>
                <w:lang w:val="en-US" w:eastAsia="zh-CN"/>
              </w:rPr>
              <w:t>67567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9286"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受理地点：太康县城关镇</w:t>
            </w:r>
            <w:r>
              <w:rPr>
                <w:rFonts w:hint="eastAsia" w:ascii="仿宋_GB2312" w:hAnsi="黑体" w:eastAsia="仿宋_GB2312" w:cs="宋体"/>
                <w:sz w:val="22"/>
                <w:lang w:val="en-US" w:eastAsia="zh-CN"/>
              </w:rPr>
              <w:t>谢安中段退役军人事务局</w:t>
            </w:r>
          </w:p>
        </w:tc>
      </w:tr>
    </w:tbl>
    <w:p/>
    <w:p/>
    <w:p>
      <w:pPr>
        <w:spacing w:line="560" w:lineRule="exact"/>
        <w:rPr>
          <w:rFonts w:hint="eastAsia" w:ascii="仿宋_GB2312" w:hAnsi="黑体" w:eastAsia="仿宋_GB2312" w:cs="宋体"/>
          <w:sz w:val="22"/>
        </w:rPr>
      </w:pPr>
    </w:p>
    <w:p>
      <w:pPr>
        <w:spacing w:line="560" w:lineRule="exact"/>
        <w:rPr>
          <w:rFonts w:hint="eastAsia" w:ascii="仿宋_GB2312" w:hAnsi="黑体" w:eastAsia="仿宋_GB2312" w:cs="宋体"/>
          <w:sz w:val="22"/>
        </w:rPr>
      </w:pPr>
      <w:r>
        <w:rPr>
          <w:rFonts w:hint="eastAsia" w:ascii="仿宋_GB2312" w:hAnsi="黑体" w:eastAsia="仿宋_GB2312" w:cs="宋体"/>
          <w:sz w:val="22"/>
        </w:rPr>
        <w:t>职权类别：行政给付</w:t>
      </w:r>
    </w:p>
    <w:tbl>
      <w:tblPr>
        <w:tblStyle w:val="4"/>
        <w:tblW w:w="96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078"/>
        <w:gridCol w:w="561"/>
        <w:gridCol w:w="1622"/>
        <w:gridCol w:w="1111"/>
        <w:gridCol w:w="1111"/>
        <w:gridCol w:w="793"/>
        <w:gridCol w:w="793"/>
        <w:gridCol w:w="793"/>
        <w:gridCol w:w="10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57" w:hRule="atLeast"/>
          <w:jc w:val="center"/>
        </w:trPr>
        <w:tc>
          <w:tcPr>
            <w:tcW w:w="71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序号</w:t>
            </w:r>
          </w:p>
        </w:tc>
        <w:tc>
          <w:tcPr>
            <w:tcW w:w="107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职权名称</w:t>
            </w:r>
          </w:p>
        </w:tc>
        <w:tc>
          <w:tcPr>
            <w:tcW w:w="561"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子项</w:t>
            </w:r>
          </w:p>
        </w:tc>
        <w:tc>
          <w:tcPr>
            <w:tcW w:w="1622"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实施</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依据</w:t>
            </w:r>
          </w:p>
        </w:tc>
        <w:tc>
          <w:tcPr>
            <w:tcW w:w="1111"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办理</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环节</w:t>
            </w:r>
          </w:p>
        </w:tc>
        <w:tc>
          <w:tcPr>
            <w:tcW w:w="1111"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事项</w:t>
            </w:r>
          </w:p>
        </w:tc>
        <w:tc>
          <w:tcPr>
            <w:tcW w:w="79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责任股室</w:t>
            </w:r>
          </w:p>
        </w:tc>
        <w:tc>
          <w:tcPr>
            <w:tcW w:w="79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承诺时限</w:t>
            </w:r>
          </w:p>
        </w:tc>
        <w:tc>
          <w:tcPr>
            <w:tcW w:w="79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法定时限</w:t>
            </w:r>
          </w:p>
        </w:tc>
        <w:tc>
          <w:tcPr>
            <w:tcW w:w="107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8" w:hRule="atLeast"/>
          <w:jc w:val="center"/>
        </w:trPr>
        <w:tc>
          <w:tcPr>
            <w:tcW w:w="718" w:type="dxa"/>
            <w:vMerge w:val="restart"/>
            <w:noWrap w:val="0"/>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w:t>
            </w:r>
          </w:p>
        </w:tc>
        <w:tc>
          <w:tcPr>
            <w:tcW w:w="1078" w:type="dxa"/>
            <w:vMerge w:val="restart"/>
            <w:noWrap w:val="0"/>
            <w:vAlign w:val="center"/>
          </w:tcPr>
          <w:p>
            <w:pPr>
              <w:spacing w:line="560" w:lineRule="exact"/>
              <w:rPr>
                <w:rFonts w:hint="eastAsia" w:ascii="仿宋_GB2312" w:hAnsi="黑体" w:eastAsia="仿宋_GB2312" w:cs="宋体"/>
                <w:sz w:val="22"/>
              </w:rPr>
            </w:pPr>
            <w:r>
              <w:rPr>
                <w:rFonts w:hint="eastAsia" w:ascii="仿宋_GB2312" w:hAnsi="宋体" w:eastAsia="仿宋_GB2312" w:cs="宋体"/>
                <w:color w:val="000000"/>
                <w:kern w:val="0"/>
                <w:szCs w:val="21"/>
              </w:rPr>
              <w:t>参战参试人员生活补助金发放</w:t>
            </w:r>
          </w:p>
        </w:tc>
        <w:tc>
          <w:tcPr>
            <w:tcW w:w="561" w:type="dxa"/>
            <w:vMerge w:val="restart"/>
            <w:noWrap w:val="0"/>
            <w:vAlign w:val="center"/>
          </w:tcPr>
          <w:p>
            <w:pPr>
              <w:spacing w:line="560" w:lineRule="exact"/>
              <w:jc w:val="center"/>
              <w:rPr>
                <w:rFonts w:hint="eastAsia" w:ascii="仿宋_GB2312" w:hAnsi="黑体" w:eastAsia="仿宋_GB2312" w:cs="宋体"/>
                <w:sz w:val="22"/>
              </w:rPr>
            </w:pPr>
          </w:p>
        </w:tc>
        <w:tc>
          <w:tcPr>
            <w:tcW w:w="1622" w:type="dxa"/>
            <w:vMerge w:val="restart"/>
            <w:noWrap w:val="0"/>
            <w:vAlign w:val="center"/>
          </w:tcPr>
          <w:p>
            <w:pPr>
              <w:spacing w:line="240" w:lineRule="exact"/>
              <w:rPr>
                <w:rFonts w:hint="eastAsia" w:ascii="仿宋_GB2312" w:hAnsi="黑体" w:eastAsia="仿宋_GB2312" w:cs="宋体"/>
                <w:sz w:val="22"/>
              </w:rPr>
            </w:pPr>
            <w:r>
              <w:rPr>
                <w:rFonts w:hint="eastAsia" w:ascii="仿宋_GB2312" w:hAnsi="宋体" w:eastAsia="仿宋_GB2312" w:cs="宋体"/>
                <w:color w:val="000000"/>
                <w:kern w:val="0"/>
                <w:szCs w:val="21"/>
              </w:rPr>
              <w:t>《民政部关于落实优抚对象和部分军队退役人员有关政策的实施意见》民发[2007]102号。第二条.对部分参战退役人员进行核查认定、数据统计，做好在农村的和城镇无工作单位且生活困难的参战退役人员生活补助发放工作第三条，第二原8023部队和其他参加核试验军队退役人员。</w:t>
            </w:r>
          </w:p>
        </w:tc>
        <w:tc>
          <w:tcPr>
            <w:tcW w:w="1111"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受理</w:t>
            </w:r>
          </w:p>
        </w:tc>
        <w:tc>
          <w:tcPr>
            <w:tcW w:w="1111" w:type="dxa"/>
            <w:noWrap w:val="0"/>
            <w:vAlign w:val="center"/>
          </w:tcPr>
          <w:p>
            <w:pPr>
              <w:spacing w:line="240" w:lineRule="exact"/>
              <w:jc w:val="left"/>
              <w:rPr>
                <w:rFonts w:hint="eastAsia" w:ascii="宋体" w:hAnsi="宋体"/>
                <w:kern w:val="0"/>
                <w:szCs w:val="21"/>
              </w:rPr>
            </w:pPr>
            <w:r>
              <w:rPr>
                <w:rFonts w:hint="eastAsia" w:ascii="仿宋_GB2312" w:hAnsi="宋体" w:eastAsia="仿宋_GB2312" w:cs="仿宋_GB2312"/>
                <w:color w:val="000000"/>
                <w:kern w:val="0"/>
                <w:sz w:val="22"/>
                <w:lang w:bidi="ar"/>
              </w:rPr>
              <w:t>公示依法应当提交的材料；一次性告知补证材料；依法受理或不予受理（不予受理的依法告知理由）。</w:t>
            </w:r>
          </w:p>
        </w:tc>
        <w:tc>
          <w:tcPr>
            <w:tcW w:w="79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93" w:type="dxa"/>
            <w:noWrap w:val="0"/>
            <w:vAlign w:val="center"/>
          </w:tcPr>
          <w:p>
            <w:pPr>
              <w:spacing w:line="240" w:lineRule="exact"/>
              <w:rPr>
                <w:rFonts w:hint="eastAsia" w:ascii="仿宋_GB2312" w:hAnsi="黑体" w:eastAsia="仿宋_GB2312" w:cs="宋体"/>
                <w:sz w:val="22"/>
              </w:rPr>
            </w:pPr>
            <w:r>
              <w:rPr>
                <w:rFonts w:hint="eastAsia" w:ascii="仿宋_GB2312" w:hAnsi="黑体" w:eastAsia="仿宋_GB2312" w:cs="宋体"/>
                <w:sz w:val="22"/>
              </w:rPr>
              <w:t>按政策时限发放</w:t>
            </w:r>
          </w:p>
        </w:tc>
        <w:tc>
          <w:tcPr>
            <w:tcW w:w="793" w:type="dxa"/>
            <w:vMerge w:val="restart"/>
            <w:noWrap w:val="0"/>
            <w:vAlign w:val="center"/>
          </w:tcPr>
          <w:p>
            <w:pPr>
              <w:spacing w:line="560" w:lineRule="exact"/>
              <w:jc w:val="center"/>
              <w:rPr>
                <w:rFonts w:hint="eastAsia" w:ascii="仿宋_GB2312" w:hAnsi="黑体" w:eastAsia="仿宋_GB2312" w:cs="宋体"/>
                <w:sz w:val="22"/>
              </w:rPr>
            </w:pPr>
          </w:p>
        </w:tc>
        <w:tc>
          <w:tcPr>
            <w:tcW w:w="1074" w:type="dxa"/>
            <w:vMerge w:val="restart"/>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57" w:hRule="atLeast"/>
          <w:jc w:val="center"/>
        </w:trPr>
        <w:tc>
          <w:tcPr>
            <w:tcW w:w="718" w:type="dxa"/>
            <w:vMerge w:val="continue"/>
            <w:noWrap w:val="0"/>
            <w:vAlign w:val="center"/>
          </w:tcPr>
          <w:p>
            <w:pPr>
              <w:spacing w:line="560" w:lineRule="exact"/>
              <w:jc w:val="center"/>
              <w:rPr>
                <w:rFonts w:hint="eastAsia" w:ascii="仿宋_GB2312" w:hAnsi="黑体" w:eastAsia="仿宋_GB2312" w:cs="宋体"/>
                <w:sz w:val="22"/>
              </w:rPr>
            </w:pPr>
          </w:p>
        </w:tc>
        <w:tc>
          <w:tcPr>
            <w:tcW w:w="1078" w:type="dxa"/>
            <w:vMerge w:val="continue"/>
            <w:noWrap w:val="0"/>
            <w:vAlign w:val="center"/>
          </w:tcPr>
          <w:p>
            <w:pPr>
              <w:spacing w:line="560" w:lineRule="exact"/>
              <w:jc w:val="center"/>
              <w:rPr>
                <w:rFonts w:hint="eastAsia" w:ascii="仿宋_GB2312" w:hAnsi="黑体" w:eastAsia="仿宋_GB2312" w:cs="宋体"/>
                <w:sz w:val="22"/>
              </w:rPr>
            </w:pPr>
          </w:p>
        </w:tc>
        <w:tc>
          <w:tcPr>
            <w:tcW w:w="561" w:type="dxa"/>
            <w:vMerge w:val="continue"/>
            <w:noWrap w:val="0"/>
            <w:vAlign w:val="center"/>
          </w:tcPr>
          <w:p>
            <w:pPr>
              <w:spacing w:line="560" w:lineRule="exact"/>
              <w:jc w:val="center"/>
              <w:rPr>
                <w:rFonts w:hint="eastAsia" w:ascii="仿宋_GB2312" w:hAnsi="黑体" w:eastAsia="仿宋_GB2312" w:cs="宋体"/>
                <w:sz w:val="22"/>
              </w:rPr>
            </w:pPr>
          </w:p>
        </w:tc>
        <w:tc>
          <w:tcPr>
            <w:tcW w:w="1622" w:type="dxa"/>
            <w:vMerge w:val="continue"/>
            <w:noWrap w:val="0"/>
            <w:vAlign w:val="center"/>
          </w:tcPr>
          <w:p>
            <w:pPr>
              <w:spacing w:line="560" w:lineRule="exact"/>
              <w:jc w:val="center"/>
              <w:rPr>
                <w:rFonts w:hint="eastAsia" w:ascii="仿宋_GB2312" w:hAnsi="黑体" w:eastAsia="仿宋_GB2312" w:cs="宋体"/>
                <w:sz w:val="22"/>
              </w:rPr>
            </w:pPr>
          </w:p>
        </w:tc>
        <w:tc>
          <w:tcPr>
            <w:tcW w:w="1111"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审查</w:t>
            </w:r>
          </w:p>
        </w:tc>
        <w:tc>
          <w:tcPr>
            <w:tcW w:w="1111" w:type="dxa"/>
            <w:noWrap w:val="0"/>
            <w:vAlign w:val="center"/>
          </w:tcPr>
          <w:p>
            <w:pPr>
              <w:spacing w:line="240" w:lineRule="exact"/>
              <w:jc w:val="center"/>
              <w:rPr>
                <w:rFonts w:hint="eastAsia" w:ascii="宋体" w:hAnsi="宋体"/>
                <w:kern w:val="0"/>
                <w:szCs w:val="21"/>
              </w:rPr>
            </w:pPr>
            <w:r>
              <w:rPr>
                <w:rFonts w:hint="eastAsia" w:ascii="仿宋_GB2312" w:hAnsi="宋体" w:eastAsia="仿宋_GB2312" w:cs="仿宋_GB2312"/>
                <w:color w:val="000000"/>
                <w:kern w:val="0"/>
                <w:sz w:val="22"/>
                <w:lang w:bidi="ar"/>
              </w:rPr>
              <w:t>根据文件规定对所提供的全部材料进行审核。</w:t>
            </w:r>
          </w:p>
        </w:tc>
        <w:tc>
          <w:tcPr>
            <w:tcW w:w="79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93"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93" w:type="dxa"/>
            <w:vMerge w:val="continue"/>
            <w:noWrap w:val="0"/>
            <w:vAlign w:val="center"/>
          </w:tcPr>
          <w:p>
            <w:pPr>
              <w:spacing w:line="560" w:lineRule="exact"/>
              <w:jc w:val="center"/>
              <w:rPr>
                <w:rFonts w:hint="eastAsia" w:ascii="仿宋_GB2312" w:hAnsi="黑体" w:eastAsia="仿宋_GB2312" w:cs="宋体"/>
                <w:sz w:val="22"/>
              </w:rPr>
            </w:pPr>
          </w:p>
        </w:tc>
        <w:tc>
          <w:tcPr>
            <w:tcW w:w="1074"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57" w:hRule="atLeast"/>
          <w:jc w:val="center"/>
        </w:trPr>
        <w:tc>
          <w:tcPr>
            <w:tcW w:w="718" w:type="dxa"/>
            <w:vMerge w:val="continue"/>
            <w:noWrap w:val="0"/>
            <w:vAlign w:val="center"/>
          </w:tcPr>
          <w:p>
            <w:pPr>
              <w:spacing w:line="560" w:lineRule="exact"/>
              <w:jc w:val="center"/>
              <w:rPr>
                <w:rFonts w:hint="eastAsia" w:ascii="仿宋_GB2312" w:hAnsi="黑体" w:eastAsia="仿宋_GB2312" w:cs="宋体"/>
                <w:sz w:val="22"/>
              </w:rPr>
            </w:pPr>
          </w:p>
        </w:tc>
        <w:tc>
          <w:tcPr>
            <w:tcW w:w="1078" w:type="dxa"/>
            <w:vMerge w:val="continue"/>
            <w:noWrap w:val="0"/>
            <w:vAlign w:val="center"/>
          </w:tcPr>
          <w:p>
            <w:pPr>
              <w:spacing w:line="560" w:lineRule="exact"/>
              <w:jc w:val="center"/>
              <w:rPr>
                <w:rFonts w:hint="eastAsia" w:ascii="仿宋_GB2312" w:hAnsi="黑体" w:eastAsia="仿宋_GB2312" w:cs="宋体"/>
                <w:sz w:val="22"/>
              </w:rPr>
            </w:pPr>
          </w:p>
        </w:tc>
        <w:tc>
          <w:tcPr>
            <w:tcW w:w="561" w:type="dxa"/>
            <w:vMerge w:val="continue"/>
            <w:noWrap w:val="0"/>
            <w:vAlign w:val="center"/>
          </w:tcPr>
          <w:p>
            <w:pPr>
              <w:spacing w:line="560" w:lineRule="exact"/>
              <w:jc w:val="center"/>
              <w:rPr>
                <w:rFonts w:hint="eastAsia" w:ascii="仿宋_GB2312" w:hAnsi="黑体" w:eastAsia="仿宋_GB2312" w:cs="宋体"/>
                <w:sz w:val="22"/>
              </w:rPr>
            </w:pPr>
          </w:p>
        </w:tc>
        <w:tc>
          <w:tcPr>
            <w:tcW w:w="1622" w:type="dxa"/>
            <w:vMerge w:val="continue"/>
            <w:noWrap w:val="0"/>
            <w:vAlign w:val="center"/>
          </w:tcPr>
          <w:p>
            <w:pPr>
              <w:spacing w:line="560" w:lineRule="exact"/>
              <w:jc w:val="center"/>
              <w:rPr>
                <w:rFonts w:hint="eastAsia" w:ascii="仿宋_GB2312" w:hAnsi="黑体" w:eastAsia="仿宋_GB2312" w:cs="宋体"/>
                <w:sz w:val="22"/>
              </w:rPr>
            </w:pPr>
          </w:p>
        </w:tc>
        <w:tc>
          <w:tcPr>
            <w:tcW w:w="1111"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发放</w:t>
            </w:r>
          </w:p>
        </w:tc>
        <w:tc>
          <w:tcPr>
            <w:tcW w:w="1111" w:type="dxa"/>
            <w:noWrap w:val="0"/>
            <w:vAlign w:val="center"/>
          </w:tcPr>
          <w:p>
            <w:pPr>
              <w:spacing w:line="240" w:lineRule="exact"/>
              <w:rPr>
                <w:rFonts w:hint="eastAsia" w:ascii="宋体" w:hAnsi="宋体"/>
                <w:kern w:val="0"/>
                <w:szCs w:val="21"/>
              </w:rPr>
            </w:pPr>
            <w:r>
              <w:rPr>
                <w:rFonts w:hint="eastAsia" w:ascii="仿宋_GB2312" w:hAnsi="宋体" w:eastAsia="仿宋_GB2312" w:cs="仿宋_GB2312"/>
                <w:color w:val="000000"/>
                <w:kern w:val="0"/>
                <w:sz w:val="22"/>
                <w:lang w:bidi="ar"/>
              </w:rPr>
              <w:t>根据申请人提供的有关材料，决定是否呈报。</w:t>
            </w:r>
          </w:p>
        </w:tc>
        <w:tc>
          <w:tcPr>
            <w:tcW w:w="793" w:type="dxa"/>
            <w:noWrap w:val="0"/>
            <w:vAlign w:val="center"/>
          </w:tcPr>
          <w:p>
            <w:pPr>
              <w:spacing w:line="560" w:lineRule="exact"/>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93"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93" w:type="dxa"/>
            <w:vMerge w:val="continue"/>
            <w:noWrap w:val="0"/>
            <w:vAlign w:val="center"/>
          </w:tcPr>
          <w:p>
            <w:pPr>
              <w:spacing w:line="560" w:lineRule="exact"/>
              <w:jc w:val="center"/>
              <w:rPr>
                <w:rFonts w:hint="eastAsia" w:ascii="仿宋_GB2312" w:hAnsi="黑体" w:eastAsia="仿宋_GB2312" w:cs="宋体"/>
                <w:sz w:val="22"/>
              </w:rPr>
            </w:pPr>
          </w:p>
        </w:tc>
        <w:tc>
          <w:tcPr>
            <w:tcW w:w="1074"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1" w:hRule="atLeast"/>
          <w:jc w:val="center"/>
        </w:trPr>
        <w:tc>
          <w:tcPr>
            <w:tcW w:w="9654"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服务电话：0394-</w:t>
            </w:r>
            <w:r>
              <w:rPr>
                <w:rFonts w:hint="eastAsia" w:ascii="仿宋_GB2312" w:hAnsi="黑体" w:eastAsia="仿宋_GB2312" w:cs="宋体"/>
                <w:sz w:val="22"/>
                <w:lang w:val="en-US" w:eastAsia="zh-CN"/>
              </w:rPr>
              <w:t>6865199</w:t>
            </w:r>
            <w:r>
              <w:rPr>
                <w:rFonts w:hint="eastAsia" w:ascii="仿宋_GB2312" w:hAnsi="黑体" w:eastAsia="仿宋_GB2312" w:cs="宋体"/>
                <w:sz w:val="22"/>
              </w:rPr>
              <w:t>投诉机构：太康县</w:t>
            </w:r>
            <w:r>
              <w:rPr>
                <w:rFonts w:hint="eastAsia" w:ascii="仿宋_GB2312" w:hAnsi="黑体" w:eastAsia="仿宋_GB2312" w:cs="宋体"/>
                <w:sz w:val="22"/>
                <w:lang w:val="en-US" w:eastAsia="zh-CN"/>
              </w:rPr>
              <w:t>退役军人事务局</w:t>
            </w:r>
            <w:r>
              <w:rPr>
                <w:rFonts w:hint="eastAsia" w:ascii="仿宋_GB2312" w:hAnsi="黑体" w:eastAsia="仿宋_GB2312" w:cs="宋体"/>
                <w:sz w:val="22"/>
              </w:rPr>
              <w:t xml:space="preserve">       投诉电话：0394-68</w:t>
            </w:r>
            <w:r>
              <w:rPr>
                <w:rFonts w:hint="eastAsia" w:ascii="仿宋_GB2312" w:hAnsi="黑体" w:eastAsia="仿宋_GB2312" w:cs="宋体"/>
                <w:sz w:val="22"/>
                <w:lang w:val="en-US" w:eastAsia="zh-CN"/>
              </w:rPr>
              <w:t>67567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7" w:hRule="atLeast"/>
          <w:jc w:val="center"/>
        </w:trPr>
        <w:tc>
          <w:tcPr>
            <w:tcW w:w="9654"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受理地点：太康县城关镇</w:t>
            </w:r>
            <w:r>
              <w:rPr>
                <w:rFonts w:hint="eastAsia" w:ascii="仿宋_GB2312" w:hAnsi="黑体" w:eastAsia="仿宋_GB2312" w:cs="宋体"/>
                <w:sz w:val="22"/>
                <w:lang w:val="en-US" w:eastAsia="zh-CN"/>
              </w:rPr>
              <w:t>谢安中段退役军人事务局</w:t>
            </w:r>
          </w:p>
        </w:tc>
      </w:tr>
    </w:tbl>
    <w:p>
      <w:pPr>
        <w:spacing w:line="560" w:lineRule="exact"/>
        <w:rPr>
          <w:rFonts w:hint="eastAsia" w:ascii="仿宋_GB2312" w:hAnsi="黑体" w:eastAsia="仿宋_GB2312" w:cs="宋体"/>
          <w:sz w:val="22"/>
        </w:rPr>
      </w:pPr>
    </w:p>
    <w:p>
      <w:pPr>
        <w:spacing w:line="560" w:lineRule="exact"/>
        <w:rPr>
          <w:rFonts w:hint="eastAsia" w:ascii="仿宋_GB2312" w:hAnsi="黑体" w:eastAsia="仿宋_GB2312" w:cs="宋体"/>
          <w:sz w:val="22"/>
        </w:rPr>
      </w:pPr>
      <w:r>
        <w:rPr>
          <w:rFonts w:hint="eastAsia" w:ascii="仿宋_GB2312" w:hAnsi="黑体" w:eastAsia="仿宋_GB2312" w:cs="宋体"/>
          <w:sz w:val="22"/>
        </w:rPr>
        <w:t>职权类别：行政给付</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93"/>
        <w:gridCol w:w="1135"/>
        <w:gridCol w:w="540"/>
        <w:gridCol w:w="1560"/>
        <w:gridCol w:w="1068"/>
        <w:gridCol w:w="1068"/>
        <w:gridCol w:w="763"/>
        <w:gridCol w:w="763"/>
        <w:gridCol w:w="763"/>
        <w:gridCol w:w="103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59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序号</w:t>
            </w:r>
          </w:p>
        </w:tc>
        <w:tc>
          <w:tcPr>
            <w:tcW w:w="1135"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职权名称</w:t>
            </w:r>
          </w:p>
        </w:tc>
        <w:tc>
          <w:tcPr>
            <w:tcW w:w="540"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子项</w:t>
            </w:r>
          </w:p>
        </w:tc>
        <w:tc>
          <w:tcPr>
            <w:tcW w:w="1560"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实施</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依据</w:t>
            </w:r>
          </w:p>
        </w:tc>
        <w:tc>
          <w:tcPr>
            <w:tcW w:w="106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办理</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环节</w:t>
            </w:r>
          </w:p>
        </w:tc>
        <w:tc>
          <w:tcPr>
            <w:tcW w:w="1068"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事项</w:t>
            </w:r>
          </w:p>
        </w:tc>
        <w:tc>
          <w:tcPr>
            <w:tcW w:w="76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责任股室</w:t>
            </w:r>
          </w:p>
        </w:tc>
        <w:tc>
          <w:tcPr>
            <w:tcW w:w="76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承诺时限</w:t>
            </w:r>
          </w:p>
        </w:tc>
        <w:tc>
          <w:tcPr>
            <w:tcW w:w="76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法定时限</w:t>
            </w:r>
          </w:p>
        </w:tc>
        <w:tc>
          <w:tcPr>
            <w:tcW w:w="103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4" w:hRule="atLeast"/>
          <w:jc w:val="center"/>
        </w:trPr>
        <w:tc>
          <w:tcPr>
            <w:tcW w:w="593" w:type="dxa"/>
            <w:vMerge w:val="restart"/>
            <w:noWrap w:val="0"/>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6</w:t>
            </w:r>
          </w:p>
        </w:tc>
        <w:tc>
          <w:tcPr>
            <w:tcW w:w="1135" w:type="dxa"/>
            <w:vMerge w:val="restart"/>
            <w:noWrap w:val="0"/>
            <w:vAlign w:val="center"/>
          </w:tcPr>
          <w:p>
            <w:pPr>
              <w:spacing w:line="560" w:lineRule="exact"/>
              <w:rPr>
                <w:rFonts w:hint="eastAsia" w:ascii="仿宋_GB2312" w:hAnsi="黑体" w:eastAsia="仿宋_GB2312" w:cs="宋体"/>
                <w:sz w:val="22"/>
              </w:rPr>
            </w:pPr>
            <w:r>
              <w:rPr>
                <w:rFonts w:hint="eastAsia" w:ascii="仿宋_GB2312" w:hAnsi="宋体" w:eastAsia="仿宋_GB2312" w:cs="宋体"/>
                <w:color w:val="000000"/>
                <w:kern w:val="0"/>
                <w:szCs w:val="21"/>
              </w:rPr>
              <w:t>“三属”定期抚恤金发放《民政部关于落实优抚对象和部分军队退役人员有关政策的实施意见》民发[2007]102号。</w:t>
            </w:r>
          </w:p>
        </w:tc>
        <w:tc>
          <w:tcPr>
            <w:tcW w:w="540" w:type="dxa"/>
            <w:vMerge w:val="restart"/>
            <w:noWrap w:val="0"/>
            <w:vAlign w:val="center"/>
          </w:tcPr>
          <w:p>
            <w:pPr>
              <w:spacing w:line="560" w:lineRule="exact"/>
              <w:jc w:val="center"/>
              <w:rPr>
                <w:rFonts w:hint="eastAsia" w:ascii="仿宋_GB2312" w:hAnsi="黑体" w:eastAsia="仿宋_GB2312" w:cs="宋体"/>
                <w:sz w:val="22"/>
              </w:rPr>
            </w:pPr>
          </w:p>
        </w:tc>
        <w:tc>
          <w:tcPr>
            <w:tcW w:w="1560" w:type="dxa"/>
            <w:vMerge w:val="restart"/>
            <w:noWrap w:val="0"/>
            <w:vAlign w:val="center"/>
          </w:tcPr>
          <w:p>
            <w:pPr>
              <w:spacing w:line="240" w:lineRule="exact"/>
              <w:rPr>
                <w:rFonts w:hint="eastAsia" w:ascii="仿宋_GB2312" w:hAnsi="黑体" w:eastAsia="仿宋_GB2312" w:cs="宋体"/>
                <w:sz w:val="22"/>
              </w:rPr>
            </w:pPr>
            <w:r>
              <w:rPr>
                <w:rFonts w:hint="eastAsia" w:ascii="仿宋_GB2312" w:hAnsi="宋体" w:eastAsia="仿宋_GB2312" w:cs="宋体"/>
                <w:color w:val="000000"/>
                <w:kern w:val="0"/>
                <w:sz w:val="18"/>
                <w:szCs w:val="18"/>
              </w:rPr>
              <w:t>《军人抚恤优待条例》（2004年8月1日国务院、中央军事委员会令第413号公布，2011年7月29日修订，国务院、中央军事委员会令第602号,自2011年8月1日起施行）第十六条　对符合下列条件之一的烈士遗属、因公牺牲军人遗属、病故军人遗属，发给定期抚恤金:（一）父母（抚养人）、配偶无劳动能力、无生活费来源，或者收入水平低于当地居民平均生活水平的；（二）子女未满18周岁或者已满18周岁但因上学或者残疾无生活费来源的；（三）兄弟姐妹未满18周岁或者已满18周岁但因上学无生活费来源且由该军人生前供养的。对符合享受定期抚恤金条件的遗属，由县级人民政府民政部门发给《定期抚恤金领取证》。</w:t>
            </w:r>
          </w:p>
        </w:tc>
        <w:tc>
          <w:tcPr>
            <w:tcW w:w="106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受理</w:t>
            </w:r>
          </w:p>
        </w:tc>
        <w:tc>
          <w:tcPr>
            <w:tcW w:w="1068" w:type="dxa"/>
            <w:noWrap w:val="0"/>
            <w:vAlign w:val="center"/>
          </w:tcPr>
          <w:p>
            <w:pPr>
              <w:spacing w:line="240" w:lineRule="exact"/>
              <w:jc w:val="left"/>
              <w:rPr>
                <w:rFonts w:hint="eastAsia" w:ascii="宋体" w:hAnsi="宋体"/>
                <w:kern w:val="0"/>
                <w:szCs w:val="21"/>
              </w:rPr>
            </w:pPr>
            <w:r>
              <w:rPr>
                <w:rFonts w:hint="eastAsia" w:ascii="仿宋_GB2312" w:hAnsi="宋体" w:eastAsia="仿宋_GB2312" w:cs="仿宋_GB2312"/>
                <w:color w:val="000000"/>
                <w:kern w:val="0"/>
                <w:sz w:val="22"/>
                <w:lang w:bidi="ar"/>
              </w:rPr>
              <w:t>公示依法应当提交的材料；一次性告知补证材料；依法受理或不予受理（不予受理的依法告知理由）。</w:t>
            </w:r>
          </w:p>
        </w:tc>
        <w:tc>
          <w:tcPr>
            <w:tcW w:w="76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63" w:type="dxa"/>
            <w:noWrap w:val="0"/>
            <w:vAlign w:val="center"/>
          </w:tcPr>
          <w:p>
            <w:pPr>
              <w:spacing w:line="240" w:lineRule="exact"/>
              <w:rPr>
                <w:rFonts w:hint="eastAsia" w:ascii="仿宋_GB2312" w:hAnsi="黑体" w:eastAsia="仿宋_GB2312" w:cs="宋体"/>
                <w:sz w:val="22"/>
              </w:rPr>
            </w:pPr>
            <w:r>
              <w:rPr>
                <w:rFonts w:hint="eastAsia" w:ascii="仿宋_GB2312" w:hAnsi="黑体" w:eastAsia="仿宋_GB2312" w:cs="宋体"/>
                <w:sz w:val="22"/>
              </w:rPr>
              <w:t>按政策时限发放</w:t>
            </w:r>
          </w:p>
        </w:tc>
        <w:tc>
          <w:tcPr>
            <w:tcW w:w="763" w:type="dxa"/>
            <w:vMerge w:val="restart"/>
            <w:noWrap w:val="0"/>
            <w:vAlign w:val="center"/>
          </w:tcPr>
          <w:p>
            <w:pPr>
              <w:spacing w:line="560" w:lineRule="exact"/>
              <w:jc w:val="center"/>
              <w:rPr>
                <w:rFonts w:hint="eastAsia" w:ascii="仿宋_GB2312" w:hAnsi="黑体" w:eastAsia="仿宋_GB2312" w:cs="宋体"/>
                <w:sz w:val="22"/>
              </w:rPr>
            </w:pPr>
          </w:p>
        </w:tc>
        <w:tc>
          <w:tcPr>
            <w:tcW w:w="1033" w:type="dxa"/>
            <w:vMerge w:val="restart"/>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593" w:type="dxa"/>
            <w:vMerge w:val="continue"/>
            <w:noWrap w:val="0"/>
            <w:vAlign w:val="center"/>
          </w:tcPr>
          <w:p>
            <w:pPr>
              <w:spacing w:line="560" w:lineRule="exact"/>
              <w:jc w:val="center"/>
              <w:rPr>
                <w:rFonts w:hint="eastAsia" w:ascii="仿宋_GB2312" w:hAnsi="黑体" w:eastAsia="仿宋_GB2312" w:cs="宋体"/>
                <w:sz w:val="22"/>
              </w:rPr>
            </w:pPr>
          </w:p>
        </w:tc>
        <w:tc>
          <w:tcPr>
            <w:tcW w:w="1135" w:type="dxa"/>
            <w:vMerge w:val="continue"/>
            <w:noWrap w:val="0"/>
            <w:vAlign w:val="center"/>
          </w:tcPr>
          <w:p>
            <w:pPr>
              <w:spacing w:line="560" w:lineRule="exact"/>
              <w:jc w:val="center"/>
              <w:rPr>
                <w:rFonts w:hint="eastAsia" w:ascii="仿宋_GB2312" w:hAnsi="黑体" w:eastAsia="仿宋_GB2312" w:cs="宋体"/>
                <w:sz w:val="22"/>
              </w:rPr>
            </w:pPr>
          </w:p>
        </w:tc>
        <w:tc>
          <w:tcPr>
            <w:tcW w:w="540" w:type="dxa"/>
            <w:vMerge w:val="continue"/>
            <w:noWrap w:val="0"/>
            <w:vAlign w:val="center"/>
          </w:tcPr>
          <w:p>
            <w:pPr>
              <w:spacing w:line="560" w:lineRule="exact"/>
              <w:jc w:val="center"/>
              <w:rPr>
                <w:rFonts w:hint="eastAsia" w:ascii="仿宋_GB2312" w:hAnsi="黑体" w:eastAsia="仿宋_GB2312" w:cs="宋体"/>
                <w:sz w:val="22"/>
              </w:rPr>
            </w:pPr>
          </w:p>
        </w:tc>
        <w:tc>
          <w:tcPr>
            <w:tcW w:w="1560" w:type="dxa"/>
            <w:vMerge w:val="continue"/>
            <w:noWrap w:val="0"/>
            <w:vAlign w:val="center"/>
          </w:tcPr>
          <w:p>
            <w:pPr>
              <w:spacing w:line="560" w:lineRule="exact"/>
              <w:jc w:val="center"/>
              <w:rPr>
                <w:rFonts w:hint="eastAsia" w:ascii="仿宋_GB2312" w:hAnsi="黑体" w:eastAsia="仿宋_GB2312" w:cs="宋体"/>
                <w:sz w:val="22"/>
              </w:rPr>
            </w:pPr>
          </w:p>
        </w:tc>
        <w:tc>
          <w:tcPr>
            <w:tcW w:w="106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审查</w:t>
            </w:r>
          </w:p>
        </w:tc>
        <w:tc>
          <w:tcPr>
            <w:tcW w:w="1068" w:type="dxa"/>
            <w:noWrap w:val="0"/>
            <w:vAlign w:val="center"/>
          </w:tcPr>
          <w:p>
            <w:pPr>
              <w:spacing w:line="240" w:lineRule="exact"/>
              <w:jc w:val="center"/>
              <w:rPr>
                <w:rFonts w:hint="eastAsia" w:ascii="宋体" w:hAnsi="宋体"/>
                <w:kern w:val="0"/>
                <w:szCs w:val="21"/>
              </w:rPr>
            </w:pPr>
            <w:r>
              <w:rPr>
                <w:rFonts w:hint="eastAsia" w:ascii="仿宋_GB2312" w:hAnsi="宋体" w:eastAsia="仿宋_GB2312" w:cs="仿宋_GB2312"/>
                <w:color w:val="000000"/>
                <w:kern w:val="0"/>
                <w:sz w:val="22"/>
                <w:lang w:bidi="ar"/>
              </w:rPr>
              <w:t>根据文件规定对所提供的全部材料进行审核。</w:t>
            </w:r>
          </w:p>
        </w:tc>
        <w:tc>
          <w:tcPr>
            <w:tcW w:w="76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63"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63" w:type="dxa"/>
            <w:vMerge w:val="continue"/>
            <w:noWrap w:val="0"/>
            <w:vAlign w:val="center"/>
          </w:tcPr>
          <w:p>
            <w:pPr>
              <w:spacing w:line="560" w:lineRule="exact"/>
              <w:jc w:val="center"/>
              <w:rPr>
                <w:rFonts w:hint="eastAsia" w:ascii="仿宋_GB2312" w:hAnsi="黑体" w:eastAsia="仿宋_GB2312" w:cs="宋体"/>
                <w:sz w:val="22"/>
              </w:rPr>
            </w:pPr>
          </w:p>
        </w:tc>
        <w:tc>
          <w:tcPr>
            <w:tcW w:w="1033"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593" w:type="dxa"/>
            <w:vMerge w:val="continue"/>
            <w:noWrap w:val="0"/>
            <w:vAlign w:val="center"/>
          </w:tcPr>
          <w:p>
            <w:pPr>
              <w:spacing w:line="560" w:lineRule="exact"/>
              <w:jc w:val="center"/>
              <w:rPr>
                <w:rFonts w:hint="eastAsia" w:ascii="仿宋_GB2312" w:hAnsi="黑体" w:eastAsia="仿宋_GB2312" w:cs="宋体"/>
                <w:sz w:val="22"/>
              </w:rPr>
            </w:pPr>
          </w:p>
        </w:tc>
        <w:tc>
          <w:tcPr>
            <w:tcW w:w="1135" w:type="dxa"/>
            <w:vMerge w:val="continue"/>
            <w:noWrap w:val="0"/>
            <w:vAlign w:val="center"/>
          </w:tcPr>
          <w:p>
            <w:pPr>
              <w:spacing w:line="560" w:lineRule="exact"/>
              <w:jc w:val="center"/>
              <w:rPr>
                <w:rFonts w:hint="eastAsia" w:ascii="仿宋_GB2312" w:hAnsi="黑体" w:eastAsia="仿宋_GB2312" w:cs="宋体"/>
                <w:sz w:val="22"/>
              </w:rPr>
            </w:pPr>
          </w:p>
        </w:tc>
        <w:tc>
          <w:tcPr>
            <w:tcW w:w="540" w:type="dxa"/>
            <w:vMerge w:val="continue"/>
            <w:noWrap w:val="0"/>
            <w:vAlign w:val="center"/>
          </w:tcPr>
          <w:p>
            <w:pPr>
              <w:spacing w:line="560" w:lineRule="exact"/>
              <w:jc w:val="center"/>
              <w:rPr>
                <w:rFonts w:hint="eastAsia" w:ascii="仿宋_GB2312" w:hAnsi="黑体" w:eastAsia="仿宋_GB2312" w:cs="宋体"/>
                <w:sz w:val="22"/>
              </w:rPr>
            </w:pPr>
          </w:p>
        </w:tc>
        <w:tc>
          <w:tcPr>
            <w:tcW w:w="1560" w:type="dxa"/>
            <w:vMerge w:val="continue"/>
            <w:noWrap w:val="0"/>
            <w:vAlign w:val="center"/>
          </w:tcPr>
          <w:p>
            <w:pPr>
              <w:spacing w:line="560" w:lineRule="exact"/>
              <w:jc w:val="center"/>
              <w:rPr>
                <w:rFonts w:hint="eastAsia" w:ascii="仿宋_GB2312" w:hAnsi="黑体" w:eastAsia="仿宋_GB2312" w:cs="宋体"/>
                <w:sz w:val="22"/>
              </w:rPr>
            </w:pPr>
          </w:p>
        </w:tc>
        <w:tc>
          <w:tcPr>
            <w:tcW w:w="1068"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发放</w:t>
            </w:r>
          </w:p>
        </w:tc>
        <w:tc>
          <w:tcPr>
            <w:tcW w:w="1068" w:type="dxa"/>
            <w:noWrap w:val="0"/>
            <w:vAlign w:val="center"/>
          </w:tcPr>
          <w:p>
            <w:pPr>
              <w:spacing w:line="240" w:lineRule="exact"/>
              <w:rPr>
                <w:rFonts w:hint="eastAsia" w:ascii="宋体" w:hAnsi="宋体"/>
                <w:kern w:val="0"/>
                <w:szCs w:val="21"/>
              </w:rPr>
            </w:pPr>
            <w:r>
              <w:rPr>
                <w:rFonts w:hint="eastAsia" w:ascii="仿宋_GB2312" w:hAnsi="宋体" w:eastAsia="仿宋_GB2312" w:cs="仿宋_GB2312"/>
                <w:color w:val="000000"/>
                <w:kern w:val="0"/>
                <w:sz w:val="22"/>
                <w:lang w:bidi="ar"/>
              </w:rPr>
              <w:t>根据申请人提供的有关材料，决定是否呈报。</w:t>
            </w:r>
          </w:p>
        </w:tc>
        <w:tc>
          <w:tcPr>
            <w:tcW w:w="763" w:type="dxa"/>
            <w:noWrap w:val="0"/>
            <w:vAlign w:val="center"/>
          </w:tcPr>
          <w:p>
            <w:pPr>
              <w:spacing w:line="560" w:lineRule="exact"/>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63"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63" w:type="dxa"/>
            <w:vMerge w:val="continue"/>
            <w:noWrap w:val="0"/>
            <w:vAlign w:val="center"/>
          </w:tcPr>
          <w:p>
            <w:pPr>
              <w:spacing w:line="560" w:lineRule="exact"/>
              <w:jc w:val="center"/>
              <w:rPr>
                <w:rFonts w:hint="eastAsia" w:ascii="仿宋_GB2312" w:hAnsi="黑体" w:eastAsia="仿宋_GB2312" w:cs="宋体"/>
                <w:sz w:val="22"/>
              </w:rPr>
            </w:pPr>
          </w:p>
        </w:tc>
        <w:tc>
          <w:tcPr>
            <w:tcW w:w="1033"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9286"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服务电话：0394-</w:t>
            </w:r>
            <w:r>
              <w:rPr>
                <w:rFonts w:hint="eastAsia" w:ascii="仿宋_GB2312" w:hAnsi="黑体" w:eastAsia="仿宋_GB2312" w:cs="宋体"/>
                <w:sz w:val="22"/>
                <w:lang w:val="en-US" w:eastAsia="zh-CN"/>
              </w:rPr>
              <w:t>6865199</w:t>
            </w:r>
            <w:r>
              <w:rPr>
                <w:rFonts w:hint="eastAsia" w:ascii="仿宋_GB2312" w:hAnsi="黑体" w:eastAsia="仿宋_GB2312" w:cs="宋体"/>
                <w:sz w:val="22"/>
              </w:rPr>
              <w:t>投诉机构：太康县</w:t>
            </w:r>
            <w:r>
              <w:rPr>
                <w:rFonts w:hint="eastAsia" w:ascii="仿宋_GB2312" w:hAnsi="黑体" w:eastAsia="仿宋_GB2312" w:cs="宋体"/>
                <w:sz w:val="22"/>
                <w:lang w:val="en-US" w:eastAsia="zh-CN"/>
              </w:rPr>
              <w:t>退役军人事务局</w:t>
            </w:r>
            <w:r>
              <w:rPr>
                <w:rFonts w:hint="eastAsia" w:ascii="仿宋_GB2312" w:hAnsi="黑体" w:eastAsia="仿宋_GB2312" w:cs="宋体"/>
                <w:sz w:val="22"/>
              </w:rPr>
              <w:t xml:space="preserve">       投诉电话：0394-68</w:t>
            </w:r>
            <w:r>
              <w:rPr>
                <w:rFonts w:hint="eastAsia" w:ascii="仿宋_GB2312" w:hAnsi="黑体" w:eastAsia="仿宋_GB2312" w:cs="宋体"/>
                <w:sz w:val="22"/>
                <w:lang w:val="en-US" w:eastAsia="zh-CN"/>
              </w:rPr>
              <w:t>67567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9286"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受理地点：太康县城关镇</w:t>
            </w:r>
            <w:r>
              <w:rPr>
                <w:rFonts w:hint="eastAsia" w:ascii="仿宋_GB2312" w:hAnsi="黑体" w:eastAsia="仿宋_GB2312" w:cs="宋体"/>
                <w:sz w:val="22"/>
                <w:lang w:val="en-US" w:eastAsia="zh-CN"/>
              </w:rPr>
              <w:t>谢安中段退役军人事务局</w:t>
            </w:r>
          </w:p>
        </w:tc>
      </w:tr>
    </w:tbl>
    <w:p>
      <w:pPr>
        <w:rPr>
          <w:rFonts w:hint="eastAsia"/>
        </w:rPr>
      </w:pPr>
    </w:p>
    <w:p>
      <w:pPr>
        <w:spacing w:line="560" w:lineRule="exact"/>
        <w:rPr>
          <w:rFonts w:hint="eastAsia" w:ascii="仿宋_GB2312" w:hAnsi="黑体" w:eastAsia="仿宋_GB2312" w:cs="宋体"/>
          <w:sz w:val="22"/>
        </w:rPr>
      </w:pPr>
      <w:r>
        <w:rPr>
          <w:rFonts w:hint="eastAsia" w:ascii="仿宋_GB2312" w:hAnsi="黑体" w:eastAsia="仿宋_GB2312" w:cs="宋体"/>
          <w:sz w:val="22"/>
        </w:rPr>
        <w:t>职权类别：行政给付</w:t>
      </w:r>
    </w:p>
    <w:tbl>
      <w:tblPr>
        <w:tblStyle w:val="4"/>
        <w:tblW w:w="933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96"/>
        <w:gridCol w:w="1141"/>
        <w:gridCol w:w="543"/>
        <w:gridCol w:w="1569"/>
        <w:gridCol w:w="1074"/>
        <w:gridCol w:w="1074"/>
        <w:gridCol w:w="767"/>
        <w:gridCol w:w="767"/>
        <w:gridCol w:w="767"/>
        <w:gridCol w:w="103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12" w:hRule="atLeast"/>
          <w:jc w:val="center"/>
        </w:trPr>
        <w:tc>
          <w:tcPr>
            <w:tcW w:w="596"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序号</w:t>
            </w:r>
          </w:p>
        </w:tc>
        <w:tc>
          <w:tcPr>
            <w:tcW w:w="1141"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职权名称</w:t>
            </w:r>
          </w:p>
        </w:tc>
        <w:tc>
          <w:tcPr>
            <w:tcW w:w="54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子项</w:t>
            </w:r>
          </w:p>
        </w:tc>
        <w:tc>
          <w:tcPr>
            <w:tcW w:w="1569"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实施</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依据</w:t>
            </w:r>
          </w:p>
        </w:tc>
        <w:tc>
          <w:tcPr>
            <w:tcW w:w="107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办理</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环节</w:t>
            </w:r>
          </w:p>
        </w:tc>
        <w:tc>
          <w:tcPr>
            <w:tcW w:w="107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事项</w:t>
            </w:r>
          </w:p>
        </w:tc>
        <w:tc>
          <w:tcPr>
            <w:tcW w:w="767"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责任股室</w:t>
            </w:r>
          </w:p>
        </w:tc>
        <w:tc>
          <w:tcPr>
            <w:tcW w:w="767"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承诺时限</w:t>
            </w:r>
          </w:p>
        </w:tc>
        <w:tc>
          <w:tcPr>
            <w:tcW w:w="767"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法定时限</w:t>
            </w:r>
          </w:p>
        </w:tc>
        <w:tc>
          <w:tcPr>
            <w:tcW w:w="1039"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0" w:hRule="atLeast"/>
          <w:jc w:val="center"/>
        </w:trPr>
        <w:tc>
          <w:tcPr>
            <w:tcW w:w="596" w:type="dxa"/>
            <w:vMerge w:val="restart"/>
            <w:noWrap w:val="0"/>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7</w:t>
            </w:r>
          </w:p>
        </w:tc>
        <w:tc>
          <w:tcPr>
            <w:tcW w:w="1141" w:type="dxa"/>
            <w:vMerge w:val="restart"/>
            <w:noWrap w:val="0"/>
            <w:vAlign w:val="center"/>
          </w:tcPr>
          <w:p>
            <w:pPr>
              <w:spacing w:line="560" w:lineRule="exact"/>
              <w:rPr>
                <w:rFonts w:hint="eastAsia" w:ascii="仿宋_GB2312" w:hAnsi="黑体" w:eastAsia="仿宋_GB2312" w:cs="宋体"/>
                <w:sz w:val="22"/>
              </w:rPr>
            </w:pPr>
            <w:r>
              <w:rPr>
                <w:rFonts w:hint="eastAsia" w:ascii="仿宋_GB2312" w:hAnsi="宋体" w:eastAsia="仿宋_GB2312" w:cs="宋体"/>
                <w:color w:val="000000"/>
                <w:kern w:val="0"/>
                <w:szCs w:val="21"/>
              </w:rPr>
              <w:t>60周岁以上烈士子女生活补助金发放</w:t>
            </w:r>
          </w:p>
        </w:tc>
        <w:tc>
          <w:tcPr>
            <w:tcW w:w="543" w:type="dxa"/>
            <w:vMerge w:val="restart"/>
            <w:noWrap w:val="0"/>
            <w:vAlign w:val="center"/>
          </w:tcPr>
          <w:p>
            <w:pPr>
              <w:spacing w:line="560" w:lineRule="exact"/>
              <w:jc w:val="center"/>
              <w:rPr>
                <w:rFonts w:hint="eastAsia" w:ascii="仿宋_GB2312" w:hAnsi="黑体" w:eastAsia="仿宋_GB2312" w:cs="宋体"/>
                <w:sz w:val="22"/>
              </w:rPr>
            </w:pPr>
          </w:p>
        </w:tc>
        <w:tc>
          <w:tcPr>
            <w:tcW w:w="1569" w:type="dxa"/>
            <w:vMerge w:val="restart"/>
            <w:noWrap w:val="0"/>
            <w:vAlign w:val="center"/>
          </w:tcPr>
          <w:p>
            <w:pPr>
              <w:spacing w:line="240" w:lineRule="exact"/>
              <w:rPr>
                <w:rFonts w:hint="eastAsia" w:ascii="仿宋_GB2312" w:hAnsi="黑体" w:eastAsia="仿宋_GB2312" w:cs="宋体"/>
                <w:sz w:val="22"/>
              </w:rPr>
            </w:pPr>
            <w:r>
              <w:rPr>
                <w:rFonts w:hint="eastAsia" w:ascii="仿宋_GB2312" w:hAnsi="宋体" w:eastAsia="仿宋_GB2312" w:cs="宋体"/>
                <w:color w:val="000000"/>
                <w:kern w:val="0"/>
                <w:szCs w:val="21"/>
              </w:rPr>
              <w:t>《关于给部分烈士子女发放定期生活补助的通知》（民发[2012]27号）三、各级民政、财政部门要按照统一部署和要求，结合本地实际，周密制定实施方案，切实加大工作力度，保障工作经费，确保政策及时落实到位。</w:t>
            </w:r>
          </w:p>
        </w:tc>
        <w:tc>
          <w:tcPr>
            <w:tcW w:w="1074"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受理</w:t>
            </w:r>
          </w:p>
        </w:tc>
        <w:tc>
          <w:tcPr>
            <w:tcW w:w="1074" w:type="dxa"/>
            <w:noWrap w:val="0"/>
            <w:vAlign w:val="center"/>
          </w:tcPr>
          <w:p>
            <w:pPr>
              <w:spacing w:line="240" w:lineRule="exact"/>
              <w:jc w:val="left"/>
              <w:rPr>
                <w:rFonts w:hint="eastAsia" w:ascii="宋体" w:hAnsi="宋体"/>
                <w:kern w:val="0"/>
                <w:szCs w:val="21"/>
              </w:rPr>
            </w:pPr>
            <w:r>
              <w:rPr>
                <w:rFonts w:hint="eastAsia" w:ascii="仿宋_GB2312" w:hAnsi="宋体" w:eastAsia="仿宋_GB2312" w:cs="仿宋_GB2312"/>
                <w:color w:val="000000"/>
                <w:kern w:val="0"/>
                <w:sz w:val="22"/>
                <w:lang w:bidi="ar"/>
              </w:rPr>
              <w:t>公示依法应当提交的材料；一次性告知补证材料；依法受理或不予受理（不予受理的依法告知理由）。</w:t>
            </w:r>
          </w:p>
        </w:tc>
        <w:tc>
          <w:tcPr>
            <w:tcW w:w="767"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67" w:type="dxa"/>
            <w:noWrap w:val="0"/>
            <w:vAlign w:val="center"/>
          </w:tcPr>
          <w:p>
            <w:pPr>
              <w:spacing w:line="240" w:lineRule="exact"/>
              <w:rPr>
                <w:rFonts w:hint="eastAsia" w:ascii="仿宋_GB2312" w:hAnsi="黑体" w:eastAsia="仿宋_GB2312" w:cs="宋体"/>
                <w:sz w:val="22"/>
              </w:rPr>
            </w:pPr>
            <w:r>
              <w:rPr>
                <w:rFonts w:hint="eastAsia" w:ascii="仿宋_GB2312" w:hAnsi="黑体" w:eastAsia="仿宋_GB2312" w:cs="宋体"/>
                <w:sz w:val="22"/>
              </w:rPr>
              <w:t>按政策时限发放</w:t>
            </w:r>
          </w:p>
        </w:tc>
        <w:tc>
          <w:tcPr>
            <w:tcW w:w="767" w:type="dxa"/>
            <w:vMerge w:val="restart"/>
            <w:noWrap w:val="0"/>
            <w:vAlign w:val="center"/>
          </w:tcPr>
          <w:p>
            <w:pPr>
              <w:spacing w:line="560" w:lineRule="exact"/>
              <w:jc w:val="center"/>
              <w:rPr>
                <w:rFonts w:hint="eastAsia" w:ascii="仿宋_GB2312" w:hAnsi="黑体" w:eastAsia="仿宋_GB2312" w:cs="宋体"/>
                <w:sz w:val="22"/>
              </w:rPr>
            </w:pPr>
          </w:p>
        </w:tc>
        <w:tc>
          <w:tcPr>
            <w:tcW w:w="1039" w:type="dxa"/>
            <w:vMerge w:val="restart"/>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12" w:hRule="atLeast"/>
          <w:jc w:val="center"/>
        </w:trPr>
        <w:tc>
          <w:tcPr>
            <w:tcW w:w="596" w:type="dxa"/>
            <w:vMerge w:val="continue"/>
            <w:noWrap w:val="0"/>
            <w:vAlign w:val="center"/>
          </w:tcPr>
          <w:p>
            <w:pPr>
              <w:spacing w:line="560" w:lineRule="exact"/>
              <w:jc w:val="center"/>
              <w:rPr>
                <w:rFonts w:hint="eastAsia" w:ascii="仿宋_GB2312" w:hAnsi="黑体" w:eastAsia="仿宋_GB2312" w:cs="宋体"/>
                <w:sz w:val="22"/>
              </w:rPr>
            </w:pPr>
          </w:p>
        </w:tc>
        <w:tc>
          <w:tcPr>
            <w:tcW w:w="1141" w:type="dxa"/>
            <w:vMerge w:val="continue"/>
            <w:noWrap w:val="0"/>
            <w:vAlign w:val="center"/>
          </w:tcPr>
          <w:p>
            <w:pPr>
              <w:spacing w:line="560" w:lineRule="exact"/>
              <w:jc w:val="center"/>
              <w:rPr>
                <w:rFonts w:hint="eastAsia" w:ascii="仿宋_GB2312" w:hAnsi="黑体" w:eastAsia="仿宋_GB2312" w:cs="宋体"/>
                <w:sz w:val="22"/>
              </w:rPr>
            </w:pPr>
          </w:p>
        </w:tc>
        <w:tc>
          <w:tcPr>
            <w:tcW w:w="543" w:type="dxa"/>
            <w:vMerge w:val="continue"/>
            <w:noWrap w:val="0"/>
            <w:vAlign w:val="center"/>
          </w:tcPr>
          <w:p>
            <w:pPr>
              <w:spacing w:line="560" w:lineRule="exact"/>
              <w:jc w:val="center"/>
              <w:rPr>
                <w:rFonts w:hint="eastAsia" w:ascii="仿宋_GB2312" w:hAnsi="黑体" w:eastAsia="仿宋_GB2312" w:cs="宋体"/>
                <w:sz w:val="22"/>
              </w:rPr>
            </w:pPr>
          </w:p>
        </w:tc>
        <w:tc>
          <w:tcPr>
            <w:tcW w:w="1569" w:type="dxa"/>
            <w:vMerge w:val="continue"/>
            <w:noWrap w:val="0"/>
            <w:vAlign w:val="center"/>
          </w:tcPr>
          <w:p>
            <w:pPr>
              <w:spacing w:line="560" w:lineRule="exact"/>
              <w:jc w:val="center"/>
              <w:rPr>
                <w:rFonts w:hint="eastAsia" w:ascii="仿宋_GB2312" w:hAnsi="黑体" w:eastAsia="仿宋_GB2312" w:cs="宋体"/>
                <w:sz w:val="22"/>
              </w:rPr>
            </w:pPr>
          </w:p>
        </w:tc>
        <w:tc>
          <w:tcPr>
            <w:tcW w:w="1074"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审查</w:t>
            </w:r>
          </w:p>
        </w:tc>
        <w:tc>
          <w:tcPr>
            <w:tcW w:w="1074" w:type="dxa"/>
            <w:noWrap w:val="0"/>
            <w:vAlign w:val="center"/>
          </w:tcPr>
          <w:p>
            <w:pPr>
              <w:spacing w:line="240" w:lineRule="exact"/>
              <w:jc w:val="center"/>
              <w:rPr>
                <w:rFonts w:hint="eastAsia" w:ascii="宋体" w:hAnsi="宋体"/>
                <w:kern w:val="0"/>
                <w:szCs w:val="21"/>
              </w:rPr>
            </w:pPr>
            <w:r>
              <w:rPr>
                <w:rFonts w:hint="eastAsia" w:ascii="仿宋_GB2312" w:hAnsi="宋体" w:eastAsia="仿宋_GB2312" w:cs="仿宋_GB2312"/>
                <w:color w:val="000000"/>
                <w:kern w:val="0"/>
                <w:sz w:val="22"/>
                <w:lang w:bidi="ar"/>
              </w:rPr>
              <w:t>根据文件规定对所提供的全部材料进行审核。</w:t>
            </w:r>
          </w:p>
        </w:tc>
        <w:tc>
          <w:tcPr>
            <w:tcW w:w="767"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67"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67" w:type="dxa"/>
            <w:vMerge w:val="continue"/>
            <w:noWrap w:val="0"/>
            <w:vAlign w:val="center"/>
          </w:tcPr>
          <w:p>
            <w:pPr>
              <w:spacing w:line="560" w:lineRule="exact"/>
              <w:jc w:val="center"/>
              <w:rPr>
                <w:rFonts w:hint="eastAsia" w:ascii="仿宋_GB2312" w:hAnsi="黑体" w:eastAsia="仿宋_GB2312" w:cs="宋体"/>
                <w:sz w:val="22"/>
              </w:rPr>
            </w:pPr>
          </w:p>
        </w:tc>
        <w:tc>
          <w:tcPr>
            <w:tcW w:w="1039"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12" w:hRule="atLeast"/>
          <w:jc w:val="center"/>
        </w:trPr>
        <w:tc>
          <w:tcPr>
            <w:tcW w:w="596" w:type="dxa"/>
            <w:vMerge w:val="continue"/>
            <w:noWrap w:val="0"/>
            <w:vAlign w:val="center"/>
          </w:tcPr>
          <w:p>
            <w:pPr>
              <w:spacing w:line="560" w:lineRule="exact"/>
              <w:jc w:val="center"/>
              <w:rPr>
                <w:rFonts w:hint="eastAsia" w:ascii="仿宋_GB2312" w:hAnsi="黑体" w:eastAsia="仿宋_GB2312" w:cs="宋体"/>
                <w:sz w:val="22"/>
              </w:rPr>
            </w:pPr>
          </w:p>
        </w:tc>
        <w:tc>
          <w:tcPr>
            <w:tcW w:w="1141" w:type="dxa"/>
            <w:vMerge w:val="continue"/>
            <w:noWrap w:val="0"/>
            <w:vAlign w:val="center"/>
          </w:tcPr>
          <w:p>
            <w:pPr>
              <w:spacing w:line="560" w:lineRule="exact"/>
              <w:jc w:val="center"/>
              <w:rPr>
                <w:rFonts w:hint="eastAsia" w:ascii="仿宋_GB2312" w:hAnsi="黑体" w:eastAsia="仿宋_GB2312" w:cs="宋体"/>
                <w:sz w:val="22"/>
              </w:rPr>
            </w:pPr>
          </w:p>
        </w:tc>
        <w:tc>
          <w:tcPr>
            <w:tcW w:w="543" w:type="dxa"/>
            <w:vMerge w:val="continue"/>
            <w:noWrap w:val="0"/>
            <w:vAlign w:val="center"/>
          </w:tcPr>
          <w:p>
            <w:pPr>
              <w:spacing w:line="560" w:lineRule="exact"/>
              <w:jc w:val="center"/>
              <w:rPr>
                <w:rFonts w:hint="eastAsia" w:ascii="仿宋_GB2312" w:hAnsi="黑体" w:eastAsia="仿宋_GB2312" w:cs="宋体"/>
                <w:sz w:val="22"/>
              </w:rPr>
            </w:pPr>
          </w:p>
        </w:tc>
        <w:tc>
          <w:tcPr>
            <w:tcW w:w="1569" w:type="dxa"/>
            <w:vMerge w:val="continue"/>
            <w:noWrap w:val="0"/>
            <w:vAlign w:val="center"/>
          </w:tcPr>
          <w:p>
            <w:pPr>
              <w:spacing w:line="560" w:lineRule="exact"/>
              <w:jc w:val="center"/>
              <w:rPr>
                <w:rFonts w:hint="eastAsia" w:ascii="仿宋_GB2312" w:hAnsi="黑体" w:eastAsia="仿宋_GB2312" w:cs="宋体"/>
                <w:sz w:val="22"/>
              </w:rPr>
            </w:pPr>
          </w:p>
        </w:tc>
        <w:tc>
          <w:tcPr>
            <w:tcW w:w="1074"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发放</w:t>
            </w:r>
          </w:p>
        </w:tc>
        <w:tc>
          <w:tcPr>
            <w:tcW w:w="1074" w:type="dxa"/>
            <w:noWrap w:val="0"/>
            <w:vAlign w:val="center"/>
          </w:tcPr>
          <w:p>
            <w:pPr>
              <w:spacing w:line="240" w:lineRule="exact"/>
              <w:rPr>
                <w:rFonts w:hint="eastAsia" w:ascii="宋体" w:hAnsi="宋体"/>
                <w:kern w:val="0"/>
                <w:szCs w:val="21"/>
              </w:rPr>
            </w:pPr>
            <w:r>
              <w:rPr>
                <w:rFonts w:hint="eastAsia" w:ascii="仿宋_GB2312" w:hAnsi="宋体" w:eastAsia="仿宋_GB2312" w:cs="仿宋_GB2312"/>
                <w:color w:val="000000"/>
                <w:kern w:val="0"/>
                <w:sz w:val="22"/>
                <w:lang w:bidi="ar"/>
              </w:rPr>
              <w:t>根据申请人提供的有关材料，决定是否呈报。</w:t>
            </w:r>
          </w:p>
        </w:tc>
        <w:tc>
          <w:tcPr>
            <w:tcW w:w="767" w:type="dxa"/>
            <w:noWrap w:val="0"/>
            <w:vAlign w:val="center"/>
          </w:tcPr>
          <w:p>
            <w:pPr>
              <w:spacing w:line="560" w:lineRule="exact"/>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67"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67" w:type="dxa"/>
            <w:vMerge w:val="continue"/>
            <w:noWrap w:val="0"/>
            <w:vAlign w:val="center"/>
          </w:tcPr>
          <w:p>
            <w:pPr>
              <w:spacing w:line="560" w:lineRule="exact"/>
              <w:jc w:val="center"/>
              <w:rPr>
                <w:rFonts w:hint="eastAsia" w:ascii="仿宋_GB2312" w:hAnsi="黑体" w:eastAsia="仿宋_GB2312" w:cs="宋体"/>
                <w:sz w:val="22"/>
              </w:rPr>
            </w:pPr>
          </w:p>
        </w:tc>
        <w:tc>
          <w:tcPr>
            <w:tcW w:w="1039"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85" w:hRule="atLeast"/>
          <w:jc w:val="center"/>
        </w:trPr>
        <w:tc>
          <w:tcPr>
            <w:tcW w:w="9337"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服务电话：0394-</w:t>
            </w:r>
            <w:r>
              <w:rPr>
                <w:rFonts w:hint="eastAsia" w:ascii="仿宋_GB2312" w:hAnsi="黑体" w:eastAsia="仿宋_GB2312" w:cs="宋体"/>
                <w:sz w:val="22"/>
                <w:lang w:val="en-US" w:eastAsia="zh-CN"/>
              </w:rPr>
              <w:t>6865199</w:t>
            </w:r>
            <w:r>
              <w:rPr>
                <w:rFonts w:hint="eastAsia" w:ascii="仿宋_GB2312" w:hAnsi="黑体" w:eastAsia="仿宋_GB2312" w:cs="宋体"/>
                <w:sz w:val="22"/>
              </w:rPr>
              <w:t>投诉机构：太康县</w:t>
            </w:r>
            <w:r>
              <w:rPr>
                <w:rFonts w:hint="eastAsia" w:ascii="仿宋_GB2312" w:hAnsi="黑体" w:eastAsia="仿宋_GB2312" w:cs="宋体"/>
                <w:sz w:val="22"/>
                <w:lang w:val="en-US" w:eastAsia="zh-CN"/>
              </w:rPr>
              <w:t>退役军人事务局</w:t>
            </w:r>
            <w:r>
              <w:rPr>
                <w:rFonts w:hint="eastAsia" w:ascii="仿宋_GB2312" w:hAnsi="黑体" w:eastAsia="仿宋_GB2312" w:cs="宋体"/>
                <w:sz w:val="22"/>
              </w:rPr>
              <w:t xml:space="preserve">       投诉电话：0394-68</w:t>
            </w:r>
            <w:r>
              <w:rPr>
                <w:rFonts w:hint="eastAsia" w:ascii="仿宋_GB2312" w:hAnsi="黑体" w:eastAsia="仿宋_GB2312" w:cs="宋体"/>
                <w:sz w:val="22"/>
                <w:lang w:val="en-US" w:eastAsia="zh-CN"/>
              </w:rPr>
              <w:t>67567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jc w:val="center"/>
        </w:trPr>
        <w:tc>
          <w:tcPr>
            <w:tcW w:w="9337"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受理地点：太康县城关镇</w:t>
            </w:r>
            <w:r>
              <w:rPr>
                <w:rFonts w:hint="eastAsia" w:ascii="仿宋_GB2312" w:hAnsi="黑体" w:eastAsia="仿宋_GB2312" w:cs="宋体"/>
                <w:sz w:val="22"/>
                <w:lang w:val="en-US" w:eastAsia="zh-CN"/>
              </w:rPr>
              <w:t>谢安中段退役军人事务局</w:t>
            </w:r>
          </w:p>
        </w:tc>
      </w:tr>
    </w:tbl>
    <w:p>
      <w:pPr>
        <w:spacing w:line="560" w:lineRule="exact"/>
        <w:rPr>
          <w:rFonts w:hint="eastAsia" w:ascii="仿宋_GB2312" w:hAnsi="黑体" w:eastAsia="仿宋_GB2312" w:cs="宋体"/>
          <w:sz w:val="22"/>
        </w:rPr>
      </w:pPr>
    </w:p>
    <w:p>
      <w:pPr>
        <w:spacing w:line="560" w:lineRule="exact"/>
        <w:rPr>
          <w:rFonts w:hint="eastAsia" w:ascii="仿宋_GB2312" w:hAnsi="黑体" w:eastAsia="仿宋_GB2312" w:cs="宋体"/>
          <w:sz w:val="22"/>
        </w:rPr>
      </w:pPr>
    </w:p>
    <w:p>
      <w:pPr>
        <w:spacing w:line="560" w:lineRule="exact"/>
        <w:jc w:val="left"/>
        <w:rPr>
          <w:rFonts w:hint="eastAsia" w:ascii="仿宋_GB2312" w:hAnsi="黑体" w:eastAsia="仿宋_GB2312" w:cs="宋体"/>
          <w:sz w:val="22"/>
        </w:rPr>
      </w:pPr>
      <w:r>
        <w:rPr>
          <w:rFonts w:hint="eastAsia" w:ascii="仿宋_GB2312" w:hAnsi="黑体" w:eastAsia="仿宋_GB2312" w:cs="宋体"/>
          <w:sz w:val="22"/>
        </w:rPr>
        <w:t>职权类别：行政给付</w:t>
      </w:r>
    </w:p>
    <w:tbl>
      <w:tblPr>
        <w:tblStyle w:val="4"/>
        <w:tblW w:w="953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09"/>
        <w:gridCol w:w="1166"/>
        <w:gridCol w:w="554"/>
        <w:gridCol w:w="1602"/>
        <w:gridCol w:w="1097"/>
        <w:gridCol w:w="1097"/>
        <w:gridCol w:w="783"/>
        <w:gridCol w:w="783"/>
        <w:gridCol w:w="783"/>
        <w:gridCol w:w="10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52" w:hRule="atLeast"/>
          <w:jc w:val="center"/>
        </w:trPr>
        <w:tc>
          <w:tcPr>
            <w:tcW w:w="609"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序号</w:t>
            </w:r>
          </w:p>
        </w:tc>
        <w:tc>
          <w:tcPr>
            <w:tcW w:w="1166"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职权名称</w:t>
            </w:r>
          </w:p>
        </w:tc>
        <w:tc>
          <w:tcPr>
            <w:tcW w:w="55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子项</w:t>
            </w:r>
          </w:p>
        </w:tc>
        <w:tc>
          <w:tcPr>
            <w:tcW w:w="1602"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实施</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依据</w:t>
            </w:r>
          </w:p>
        </w:tc>
        <w:tc>
          <w:tcPr>
            <w:tcW w:w="1097"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办理</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环节</w:t>
            </w:r>
          </w:p>
        </w:tc>
        <w:tc>
          <w:tcPr>
            <w:tcW w:w="1097"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事项</w:t>
            </w:r>
          </w:p>
        </w:tc>
        <w:tc>
          <w:tcPr>
            <w:tcW w:w="78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责任股室</w:t>
            </w:r>
          </w:p>
        </w:tc>
        <w:tc>
          <w:tcPr>
            <w:tcW w:w="78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承诺时限</w:t>
            </w:r>
          </w:p>
        </w:tc>
        <w:tc>
          <w:tcPr>
            <w:tcW w:w="78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法定时限</w:t>
            </w:r>
          </w:p>
        </w:tc>
        <w:tc>
          <w:tcPr>
            <w:tcW w:w="1061"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82" w:hRule="atLeast"/>
          <w:jc w:val="center"/>
        </w:trPr>
        <w:tc>
          <w:tcPr>
            <w:tcW w:w="609" w:type="dxa"/>
            <w:vMerge w:val="restart"/>
            <w:noWrap w:val="0"/>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8</w:t>
            </w:r>
          </w:p>
        </w:tc>
        <w:tc>
          <w:tcPr>
            <w:tcW w:w="1166" w:type="dxa"/>
            <w:vMerge w:val="restart"/>
            <w:noWrap w:val="0"/>
            <w:vAlign w:val="center"/>
          </w:tcPr>
          <w:p>
            <w:pPr>
              <w:spacing w:line="560" w:lineRule="exact"/>
              <w:rPr>
                <w:rFonts w:hint="eastAsia" w:ascii="仿宋_GB2312" w:hAnsi="黑体" w:eastAsia="仿宋_GB2312" w:cs="宋体"/>
                <w:sz w:val="22"/>
              </w:rPr>
            </w:pPr>
            <w:r>
              <w:rPr>
                <w:rFonts w:hint="eastAsia" w:ascii="仿宋_GB2312" w:hAnsi="宋体" w:eastAsia="仿宋_GB2312" w:cs="宋体"/>
                <w:color w:val="000000"/>
                <w:kern w:val="0"/>
                <w:szCs w:val="21"/>
              </w:rPr>
              <w:t>带病回乡退伍军人生活补助发放</w:t>
            </w:r>
          </w:p>
        </w:tc>
        <w:tc>
          <w:tcPr>
            <w:tcW w:w="554" w:type="dxa"/>
            <w:vMerge w:val="restart"/>
            <w:noWrap w:val="0"/>
            <w:vAlign w:val="center"/>
          </w:tcPr>
          <w:p>
            <w:pPr>
              <w:spacing w:line="560" w:lineRule="exact"/>
              <w:jc w:val="center"/>
              <w:rPr>
                <w:rFonts w:hint="eastAsia" w:ascii="仿宋_GB2312" w:hAnsi="黑体" w:eastAsia="仿宋_GB2312" w:cs="宋体"/>
                <w:sz w:val="22"/>
              </w:rPr>
            </w:pPr>
          </w:p>
        </w:tc>
        <w:tc>
          <w:tcPr>
            <w:tcW w:w="1602" w:type="dxa"/>
            <w:vMerge w:val="restart"/>
            <w:noWrap w:val="0"/>
            <w:vAlign w:val="center"/>
          </w:tcPr>
          <w:p>
            <w:pPr>
              <w:spacing w:line="240" w:lineRule="exact"/>
              <w:rPr>
                <w:rFonts w:hint="eastAsia" w:ascii="仿宋_GB2312" w:hAnsi="黑体" w:eastAsia="仿宋_GB2312" w:cs="宋体"/>
                <w:sz w:val="22"/>
              </w:rPr>
            </w:pPr>
            <w:r>
              <w:rPr>
                <w:rFonts w:hint="eastAsia" w:ascii="仿宋_GB2312" w:hAnsi="宋体" w:eastAsia="仿宋_GB2312" w:cs="宋体"/>
                <w:color w:val="000000"/>
                <w:kern w:val="0"/>
                <w:szCs w:val="21"/>
              </w:rPr>
              <w:t>民政部关于落实优抚对象和部分军队退役人员有关政策的实施意见民发[2007]102号《军人抚恤优待条例》（2004年8月1日国务院、中央军事委员会令第413号公布，2011年7月29日修订，国务院、中央军事委员会令第602号,自2011年8月1日起施行）第五十三条　本条例所称的复员军人，是指在1954年10月31日之前入伍、后经批准从部队复员的人员；带病回乡退伍军人，是指在服现役期间患病，尚未达到评定残疾等级条件并有军队医院证明，从部队退伍的人员。</w:t>
            </w:r>
          </w:p>
        </w:tc>
        <w:tc>
          <w:tcPr>
            <w:tcW w:w="1097"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受理</w:t>
            </w:r>
          </w:p>
        </w:tc>
        <w:tc>
          <w:tcPr>
            <w:tcW w:w="1097" w:type="dxa"/>
            <w:noWrap w:val="0"/>
            <w:vAlign w:val="center"/>
          </w:tcPr>
          <w:p>
            <w:pPr>
              <w:spacing w:line="240" w:lineRule="exact"/>
              <w:jc w:val="left"/>
              <w:rPr>
                <w:rFonts w:hint="eastAsia" w:ascii="宋体" w:hAnsi="宋体"/>
                <w:kern w:val="0"/>
                <w:szCs w:val="21"/>
              </w:rPr>
            </w:pPr>
            <w:r>
              <w:rPr>
                <w:rFonts w:hint="eastAsia" w:ascii="仿宋_GB2312" w:hAnsi="宋体" w:eastAsia="仿宋_GB2312" w:cs="仿宋_GB2312"/>
                <w:color w:val="000000"/>
                <w:kern w:val="0"/>
                <w:sz w:val="22"/>
                <w:lang w:bidi="ar"/>
              </w:rPr>
              <w:t>公示依法应当提交的材料；一次性告知补证材料；依法受理或不予受理（不予受理的依法告知理由）。</w:t>
            </w:r>
          </w:p>
        </w:tc>
        <w:tc>
          <w:tcPr>
            <w:tcW w:w="78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3" w:type="dxa"/>
            <w:noWrap w:val="0"/>
            <w:vAlign w:val="center"/>
          </w:tcPr>
          <w:p>
            <w:pPr>
              <w:spacing w:line="240" w:lineRule="exact"/>
              <w:rPr>
                <w:rFonts w:hint="eastAsia" w:ascii="仿宋_GB2312" w:hAnsi="黑体" w:eastAsia="仿宋_GB2312" w:cs="宋体"/>
                <w:sz w:val="22"/>
              </w:rPr>
            </w:pPr>
            <w:r>
              <w:rPr>
                <w:rFonts w:hint="eastAsia" w:ascii="仿宋_GB2312" w:hAnsi="黑体" w:eastAsia="仿宋_GB2312" w:cs="宋体"/>
                <w:sz w:val="22"/>
              </w:rPr>
              <w:t>按政策时限发放</w:t>
            </w:r>
          </w:p>
        </w:tc>
        <w:tc>
          <w:tcPr>
            <w:tcW w:w="783" w:type="dxa"/>
            <w:vMerge w:val="restart"/>
            <w:noWrap w:val="0"/>
            <w:vAlign w:val="center"/>
          </w:tcPr>
          <w:p>
            <w:pPr>
              <w:spacing w:line="560" w:lineRule="exact"/>
              <w:jc w:val="center"/>
              <w:rPr>
                <w:rFonts w:hint="eastAsia" w:ascii="仿宋_GB2312" w:hAnsi="黑体" w:eastAsia="仿宋_GB2312" w:cs="宋体"/>
                <w:sz w:val="22"/>
              </w:rPr>
            </w:pPr>
          </w:p>
        </w:tc>
        <w:tc>
          <w:tcPr>
            <w:tcW w:w="1061" w:type="dxa"/>
            <w:vMerge w:val="restart"/>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52" w:hRule="atLeast"/>
          <w:jc w:val="center"/>
        </w:trPr>
        <w:tc>
          <w:tcPr>
            <w:tcW w:w="609" w:type="dxa"/>
            <w:vMerge w:val="continue"/>
            <w:noWrap w:val="0"/>
            <w:vAlign w:val="center"/>
          </w:tcPr>
          <w:p>
            <w:pPr>
              <w:spacing w:line="560" w:lineRule="exact"/>
              <w:jc w:val="center"/>
              <w:rPr>
                <w:rFonts w:hint="eastAsia" w:ascii="仿宋_GB2312" w:hAnsi="黑体" w:eastAsia="仿宋_GB2312" w:cs="宋体"/>
                <w:sz w:val="22"/>
              </w:rPr>
            </w:pPr>
          </w:p>
        </w:tc>
        <w:tc>
          <w:tcPr>
            <w:tcW w:w="1166" w:type="dxa"/>
            <w:vMerge w:val="continue"/>
            <w:noWrap w:val="0"/>
            <w:vAlign w:val="center"/>
          </w:tcPr>
          <w:p>
            <w:pPr>
              <w:spacing w:line="560" w:lineRule="exact"/>
              <w:jc w:val="center"/>
              <w:rPr>
                <w:rFonts w:hint="eastAsia" w:ascii="仿宋_GB2312" w:hAnsi="黑体" w:eastAsia="仿宋_GB2312" w:cs="宋体"/>
                <w:sz w:val="22"/>
              </w:rPr>
            </w:pPr>
          </w:p>
        </w:tc>
        <w:tc>
          <w:tcPr>
            <w:tcW w:w="554" w:type="dxa"/>
            <w:vMerge w:val="continue"/>
            <w:noWrap w:val="0"/>
            <w:vAlign w:val="center"/>
          </w:tcPr>
          <w:p>
            <w:pPr>
              <w:spacing w:line="560" w:lineRule="exact"/>
              <w:jc w:val="center"/>
              <w:rPr>
                <w:rFonts w:hint="eastAsia" w:ascii="仿宋_GB2312" w:hAnsi="黑体" w:eastAsia="仿宋_GB2312" w:cs="宋体"/>
                <w:sz w:val="22"/>
              </w:rPr>
            </w:pPr>
          </w:p>
        </w:tc>
        <w:tc>
          <w:tcPr>
            <w:tcW w:w="1602" w:type="dxa"/>
            <w:vMerge w:val="continue"/>
            <w:noWrap w:val="0"/>
            <w:vAlign w:val="center"/>
          </w:tcPr>
          <w:p>
            <w:pPr>
              <w:spacing w:line="560" w:lineRule="exact"/>
              <w:jc w:val="center"/>
              <w:rPr>
                <w:rFonts w:hint="eastAsia" w:ascii="仿宋_GB2312" w:hAnsi="黑体" w:eastAsia="仿宋_GB2312" w:cs="宋体"/>
                <w:sz w:val="22"/>
              </w:rPr>
            </w:pPr>
          </w:p>
        </w:tc>
        <w:tc>
          <w:tcPr>
            <w:tcW w:w="1097"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审查</w:t>
            </w:r>
          </w:p>
        </w:tc>
        <w:tc>
          <w:tcPr>
            <w:tcW w:w="1097" w:type="dxa"/>
            <w:noWrap w:val="0"/>
            <w:vAlign w:val="center"/>
          </w:tcPr>
          <w:p>
            <w:pPr>
              <w:spacing w:line="240" w:lineRule="exact"/>
              <w:jc w:val="center"/>
              <w:rPr>
                <w:rFonts w:hint="eastAsia" w:ascii="宋体" w:hAnsi="宋体"/>
                <w:kern w:val="0"/>
                <w:szCs w:val="21"/>
              </w:rPr>
            </w:pPr>
            <w:r>
              <w:rPr>
                <w:rFonts w:hint="eastAsia" w:ascii="仿宋_GB2312" w:hAnsi="宋体" w:eastAsia="仿宋_GB2312" w:cs="仿宋_GB2312"/>
                <w:color w:val="000000"/>
                <w:kern w:val="0"/>
                <w:sz w:val="22"/>
                <w:lang w:bidi="ar"/>
              </w:rPr>
              <w:t>根据文件规定对所提供的全部材料进行审核。</w:t>
            </w:r>
          </w:p>
        </w:tc>
        <w:tc>
          <w:tcPr>
            <w:tcW w:w="783"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3"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83" w:type="dxa"/>
            <w:vMerge w:val="continue"/>
            <w:noWrap w:val="0"/>
            <w:vAlign w:val="center"/>
          </w:tcPr>
          <w:p>
            <w:pPr>
              <w:spacing w:line="560" w:lineRule="exact"/>
              <w:jc w:val="center"/>
              <w:rPr>
                <w:rFonts w:hint="eastAsia" w:ascii="仿宋_GB2312" w:hAnsi="黑体" w:eastAsia="仿宋_GB2312" w:cs="宋体"/>
                <w:sz w:val="22"/>
              </w:rPr>
            </w:pPr>
          </w:p>
        </w:tc>
        <w:tc>
          <w:tcPr>
            <w:tcW w:w="1061"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38" w:hRule="atLeast"/>
          <w:jc w:val="center"/>
        </w:trPr>
        <w:tc>
          <w:tcPr>
            <w:tcW w:w="609" w:type="dxa"/>
            <w:vMerge w:val="continue"/>
            <w:noWrap w:val="0"/>
            <w:vAlign w:val="center"/>
          </w:tcPr>
          <w:p>
            <w:pPr>
              <w:spacing w:line="560" w:lineRule="exact"/>
              <w:jc w:val="center"/>
              <w:rPr>
                <w:rFonts w:hint="eastAsia" w:ascii="仿宋_GB2312" w:hAnsi="黑体" w:eastAsia="仿宋_GB2312" w:cs="宋体"/>
                <w:sz w:val="22"/>
              </w:rPr>
            </w:pPr>
          </w:p>
        </w:tc>
        <w:tc>
          <w:tcPr>
            <w:tcW w:w="1166" w:type="dxa"/>
            <w:vMerge w:val="continue"/>
            <w:noWrap w:val="0"/>
            <w:vAlign w:val="center"/>
          </w:tcPr>
          <w:p>
            <w:pPr>
              <w:spacing w:line="560" w:lineRule="exact"/>
              <w:jc w:val="center"/>
              <w:rPr>
                <w:rFonts w:hint="eastAsia" w:ascii="仿宋_GB2312" w:hAnsi="黑体" w:eastAsia="仿宋_GB2312" w:cs="宋体"/>
                <w:sz w:val="22"/>
              </w:rPr>
            </w:pPr>
          </w:p>
        </w:tc>
        <w:tc>
          <w:tcPr>
            <w:tcW w:w="554" w:type="dxa"/>
            <w:vMerge w:val="continue"/>
            <w:noWrap w:val="0"/>
            <w:vAlign w:val="center"/>
          </w:tcPr>
          <w:p>
            <w:pPr>
              <w:spacing w:line="560" w:lineRule="exact"/>
              <w:jc w:val="center"/>
              <w:rPr>
                <w:rFonts w:hint="eastAsia" w:ascii="仿宋_GB2312" w:hAnsi="黑体" w:eastAsia="仿宋_GB2312" w:cs="宋体"/>
                <w:sz w:val="22"/>
              </w:rPr>
            </w:pPr>
          </w:p>
        </w:tc>
        <w:tc>
          <w:tcPr>
            <w:tcW w:w="1602" w:type="dxa"/>
            <w:vMerge w:val="continue"/>
            <w:noWrap w:val="0"/>
            <w:vAlign w:val="center"/>
          </w:tcPr>
          <w:p>
            <w:pPr>
              <w:spacing w:line="560" w:lineRule="exact"/>
              <w:jc w:val="center"/>
              <w:rPr>
                <w:rFonts w:hint="eastAsia" w:ascii="仿宋_GB2312" w:hAnsi="黑体" w:eastAsia="仿宋_GB2312" w:cs="宋体"/>
                <w:sz w:val="22"/>
              </w:rPr>
            </w:pPr>
          </w:p>
        </w:tc>
        <w:tc>
          <w:tcPr>
            <w:tcW w:w="1097"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发放</w:t>
            </w:r>
          </w:p>
        </w:tc>
        <w:tc>
          <w:tcPr>
            <w:tcW w:w="1097" w:type="dxa"/>
            <w:noWrap w:val="0"/>
            <w:vAlign w:val="center"/>
          </w:tcPr>
          <w:p>
            <w:pPr>
              <w:spacing w:line="240" w:lineRule="exact"/>
              <w:rPr>
                <w:rFonts w:hint="eastAsia" w:ascii="宋体" w:hAnsi="宋体"/>
                <w:kern w:val="0"/>
                <w:szCs w:val="21"/>
              </w:rPr>
            </w:pPr>
            <w:r>
              <w:rPr>
                <w:rFonts w:hint="eastAsia" w:ascii="仿宋_GB2312" w:hAnsi="宋体" w:eastAsia="仿宋_GB2312" w:cs="仿宋_GB2312"/>
                <w:color w:val="000000"/>
                <w:kern w:val="0"/>
                <w:sz w:val="22"/>
                <w:lang w:bidi="ar"/>
              </w:rPr>
              <w:t>根据申请人提供的有关材料，决定是否呈报。</w:t>
            </w:r>
          </w:p>
        </w:tc>
        <w:tc>
          <w:tcPr>
            <w:tcW w:w="783" w:type="dxa"/>
            <w:noWrap w:val="0"/>
            <w:vAlign w:val="center"/>
          </w:tcPr>
          <w:p>
            <w:pPr>
              <w:spacing w:line="560" w:lineRule="exact"/>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3"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83" w:type="dxa"/>
            <w:vMerge w:val="continue"/>
            <w:noWrap w:val="0"/>
            <w:vAlign w:val="center"/>
          </w:tcPr>
          <w:p>
            <w:pPr>
              <w:spacing w:line="560" w:lineRule="exact"/>
              <w:jc w:val="center"/>
              <w:rPr>
                <w:rFonts w:hint="eastAsia" w:ascii="仿宋_GB2312" w:hAnsi="黑体" w:eastAsia="仿宋_GB2312" w:cs="宋体"/>
                <w:sz w:val="22"/>
              </w:rPr>
            </w:pPr>
          </w:p>
        </w:tc>
        <w:tc>
          <w:tcPr>
            <w:tcW w:w="1061"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8" w:hRule="atLeast"/>
          <w:jc w:val="center"/>
        </w:trPr>
        <w:tc>
          <w:tcPr>
            <w:tcW w:w="9535"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服务电话：0394-</w:t>
            </w:r>
            <w:r>
              <w:rPr>
                <w:rFonts w:hint="eastAsia" w:ascii="仿宋_GB2312" w:hAnsi="黑体" w:eastAsia="仿宋_GB2312" w:cs="宋体"/>
                <w:sz w:val="22"/>
                <w:lang w:val="en-US" w:eastAsia="zh-CN"/>
              </w:rPr>
              <w:t>6865199</w:t>
            </w:r>
            <w:r>
              <w:rPr>
                <w:rFonts w:hint="eastAsia" w:ascii="仿宋_GB2312" w:hAnsi="黑体" w:eastAsia="仿宋_GB2312" w:cs="宋体"/>
                <w:sz w:val="22"/>
              </w:rPr>
              <w:t>投诉机构：太康县</w:t>
            </w:r>
            <w:r>
              <w:rPr>
                <w:rFonts w:hint="eastAsia" w:ascii="仿宋_GB2312" w:hAnsi="黑体" w:eastAsia="仿宋_GB2312" w:cs="宋体"/>
                <w:sz w:val="22"/>
                <w:lang w:val="en-US" w:eastAsia="zh-CN"/>
              </w:rPr>
              <w:t>退役军人事务局</w:t>
            </w:r>
            <w:r>
              <w:rPr>
                <w:rFonts w:hint="eastAsia" w:ascii="仿宋_GB2312" w:hAnsi="黑体" w:eastAsia="仿宋_GB2312" w:cs="宋体"/>
                <w:sz w:val="22"/>
              </w:rPr>
              <w:t xml:space="preserve">       投诉电话：0394-68</w:t>
            </w:r>
            <w:r>
              <w:rPr>
                <w:rFonts w:hint="eastAsia" w:ascii="仿宋_GB2312" w:hAnsi="黑体" w:eastAsia="仿宋_GB2312" w:cs="宋体"/>
                <w:sz w:val="22"/>
                <w:lang w:val="en-US" w:eastAsia="zh-CN"/>
              </w:rPr>
              <w:t>67567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10" w:hRule="atLeast"/>
          <w:jc w:val="center"/>
        </w:trPr>
        <w:tc>
          <w:tcPr>
            <w:tcW w:w="9535"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受理地点：太康县城关镇</w:t>
            </w:r>
            <w:r>
              <w:rPr>
                <w:rFonts w:hint="eastAsia" w:ascii="仿宋_GB2312" w:hAnsi="黑体" w:eastAsia="仿宋_GB2312" w:cs="宋体"/>
                <w:sz w:val="22"/>
                <w:lang w:val="en-US" w:eastAsia="zh-CN"/>
              </w:rPr>
              <w:t>谢安中段退役军人事务局</w:t>
            </w:r>
          </w:p>
        </w:tc>
      </w:tr>
    </w:tbl>
    <w:p>
      <w:pPr>
        <w:spacing w:line="560" w:lineRule="exact"/>
        <w:rPr>
          <w:rFonts w:hint="eastAsia" w:ascii="仿宋_GB2312" w:hAnsi="黑体" w:eastAsia="仿宋_GB2312" w:cs="宋体"/>
          <w:sz w:val="22"/>
        </w:rPr>
      </w:pPr>
    </w:p>
    <w:p>
      <w:pPr>
        <w:spacing w:line="560" w:lineRule="exact"/>
        <w:rPr>
          <w:rFonts w:hint="eastAsia" w:ascii="仿宋_GB2312" w:hAnsi="黑体" w:eastAsia="仿宋_GB2312" w:cs="宋体"/>
          <w:sz w:val="22"/>
        </w:rPr>
      </w:pPr>
      <w:r>
        <w:rPr>
          <w:rFonts w:hint="eastAsia" w:ascii="仿宋_GB2312" w:hAnsi="黑体" w:eastAsia="仿宋_GB2312" w:cs="宋体"/>
          <w:sz w:val="22"/>
        </w:rPr>
        <w:t>职权类别：行政给付</w:t>
      </w:r>
    </w:p>
    <w:tbl>
      <w:tblPr>
        <w:tblStyle w:val="4"/>
        <w:tblW w:w="951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07"/>
        <w:gridCol w:w="1163"/>
        <w:gridCol w:w="553"/>
        <w:gridCol w:w="1599"/>
        <w:gridCol w:w="1094"/>
        <w:gridCol w:w="1094"/>
        <w:gridCol w:w="782"/>
        <w:gridCol w:w="782"/>
        <w:gridCol w:w="782"/>
        <w:gridCol w:w="105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75" w:hRule="atLeast"/>
        </w:trPr>
        <w:tc>
          <w:tcPr>
            <w:tcW w:w="607"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序号</w:t>
            </w:r>
          </w:p>
        </w:tc>
        <w:tc>
          <w:tcPr>
            <w:tcW w:w="116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职权名称</w:t>
            </w:r>
          </w:p>
        </w:tc>
        <w:tc>
          <w:tcPr>
            <w:tcW w:w="553"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子项</w:t>
            </w:r>
          </w:p>
        </w:tc>
        <w:tc>
          <w:tcPr>
            <w:tcW w:w="1599"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实施</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依据</w:t>
            </w:r>
          </w:p>
        </w:tc>
        <w:tc>
          <w:tcPr>
            <w:tcW w:w="109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办理</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环节</w:t>
            </w:r>
          </w:p>
        </w:tc>
        <w:tc>
          <w:tcPr>
            <w:tcW w:w="1094"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w:t>
            </w:r>
          </w:p>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事项</w:t>
            </w:r>
          </w:p>
        </w:tc>
        <w:tc>
          <w:tcPr>
            <w:tcW w:w="782"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责任股室</w:t>
            </w:r>
          </w:p>
        </w:tc>
        <w:tc>
          <w:tcPr>
            <w:tcW w:w="782"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承诺时限</w:t>
            </w:r>
          </w:p>
        </w:tc>
        <w:tc>
          <w:tcPr>
            <w:tcW w:w="782"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法定时限</w:t>
            </w:r>
          </w:p>
        </w:tc>
        <w:tc>
          <w:tcPr>
            <w:tcW w:w="1059" w:type="dxa"/>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25" w:hRule="atLeast"/>
        </w:trPr>
        <w:tc>
          <w:tcPr>
            <w:tcW w:w="607" w:type="dxa"/>
            <w:vMerge w:val="restart"/>
            <w:noWrap w:val="0"/>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9</w:t>
            </w:r>
          </w:p>
        </w:tc>
        <w:tc>
          <w:tcPr>
            <w:tcW w:w="1163" w:type="dxa"/>
            <w:vMerge w:val="restart"/>
            <w:noWrap w:val="0"/>
            <w:vAlign w:val="center"/>
          </w:tcPr>
          <w:p>
            <w:pPr>
              <w:spacing w:line="560" w:lineRule="exact"/>
              <w:rPr>
                <w:rFonts w:hint="eastAsia" w:ascii="仿宋_GB2312" w:hAnsi="黑体" w:eastAsia="仿宋_GB2312" w:cs="宋体"/>
                <w:sz w:val="22"/>
              </w:rPr>
            </w:pPr>
            <w:r>
              <w:rPr>
                <w:rFonts w:hint="eastAsia" w:ascii="仿宋_GB2312" w:hAnsi="宋体" w:eastAsia="仿宋_GB2312" w:cs="宋体"/>
                <w:color w:val="000000"/>
                <w:kern w:val="0"/>
                <w:szCs w:val="21"/>
              </w:rPr>
              <w:t>优抚对象医疗救助金发放</w:t>
            </w:r>
          </w:p>
        </w:tc>
        <w:tc>
          <w:tcPr>
            <w:tcW w:w="553" w:type="dxa"/>
            <w:vMerge w:val="restart"/>
            <w:noWrap w:val="0"/>
            <w:vAlign w:val="center"/>
          </w:tcPr>
          <w:p>
            <w:pPr>
              <w:spacing w:line="560" w:lineRule="exact"/>
              <w:jc w:val="center"/>
              <w:rPr>
                <w:rFonts w:hint="eastAsia" w:ascii="仿宋_GB2312" w:hAnsi="黑体" w:eastAsia="仿宋_GB2312" w:cs="宋体"/>
                <w:sz w:val="22"/>
              </w:rPr>
            </w:pPr>
          </w:p>
        </w:tc>
        <w:tc>
          <w:tcPr>
            <w:tcW w:w="1599" w:type="dxa"/>
            <w:vMerge w:val="restart"/>
            <w:noWrap w:val="0"/>
            <w:vAlign w:val="center"/>
          </w:tcPr>
          <w:p>
            <w:pPr>
              <w:spacing w:line="240" w:lineRule="exact"/>
              <w:rPr>
                <w:rFonts w:hint="eastAsia" w:ascii="仿宋_GB2312" w:hAnsi="黑体" w:eastAsia="仿宋_GB2312" w:cs="宋体"/>
                <w:sz w:val="22"/>
              </w:rPr>
            </w:pPr>
            <w:r>
              <w:rPr>
                <w:rFonts w:hint="eastAsia" w:ascii="宋体" w:hAnsi="宋体" w:cs="宋体"/>
                <w:color w:val="000000"/>
                <w:kern w:val="0"/>
                <w:szCs w:val="21"/>
              </w:rPr>
              <w:t>《优抚对象医疗保障办法》（民发[2007]101号）。</w:t>
            </w:r>
            <w:r>
              <w:rPr>
                <w:rFonts w:hint="eastAsia" w:ascii="宋体" w:hAnsi="宋体" w:cs="宋体"/>
                <w:color w:val="333333"/>
                <w:szCs w:val="21"/>
                <w:shd w:val="clear" w:color="auto" w:fill="FFFFFF"/>
              </w:rPr>
              <w:t>第三条  优抚对象按照属地原则相应参加城镇职工基本医疗保险、城镇居民基本医疗保险和新型农村合作医疗等城乡基本医疗保障制度；建立优抚对象医疗补助制度，保障水平应与当地经济发展水平和财政负担能力相适应，并保证优抚对象现有医疗待遇不降低；给予优抚对象医疗服务优惠和照顾。</w:t>
            </w:r>
          </w:p>
        </w:tc>
        <w:tc>
          <w:tcPr>
            <w:tcW w:w="1094"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受理</w:t>
            </w:r>
          </w:p>
        </w:tc>
        <w:tc>
          <w:tcPr>
            <w:tcW w:w="1094" w:type="dxa"/>
            <w:noWrap w:val="0"/>
            <w:vAlign w:val="center"/>
          </w:tcPr>
          <w:p>
            <w:pPr>
              <w:spacing w:line="240" w:lineRule="exact"/>
              <w:jc w:val="left"/>
              <w:rPr>
                <w:rFonts w:hint="eastAsia" w:ascii="宋体" w:hAnsi="宋体"/>
                <w:kern w:val="0"/>
                <w:szCs w:val="21"/>
              </w:rPr>
            </w:pPr>
            <w:r>
              <w:rPr>
                <w:rFonts w:hint="eastAsia" w:ascii="仿宋_GB2312" w:hAnsi="宋体" w:eastAsia="仿宋_GB2312" w:cs="仿宋_GB2312"/>
                <w:color w:val="000000"/>
                <w:kern w:val="0"/>
                <w:sz w:val="22"/>
                <w:lang w:bidi="ar"/>
              </w:rPr>
              <w:t>公示依法应当提交的材料；一次性告知补证材料；依法受理或不予受理（不予受理的依法告知理由）。</w:t>
            </w:r>
          </w:p>
        </w:tc>
        <w:tc>
          <w:tcPr>
            <w:tcW w:w="782"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2" w:type="dxa"/>
            <w:noWrap w:val="0"/>
            <w:vAlign w:val="center"/>
          </w:tcPr>
          <w:p>
            <w:pPr>
              <w:spacing w:line="240" w:lineRule="exact"/>
              <w:rPr>
                <w:rFonts w:hint="eastAsia" w:ascii="仿宋_GB2312" w:hAnsi="黑体" w:eastAsia="仿宋_GB2312" w:cs="宋体"/>
                <w:sz w:val="22"/>
              </w:rPr>
            </w:pPr>
            <w:r>
              <w:rPr>
                <w:rFonts w:hint="eastAsia" w:ascii="仿宋_GB2312" w:hAnsi="黑体" w:eastAsia="仿宋_GB2312" w:cs="宋体"/>
                <w:sz w:val="22"/>
              </w:rPr>
              <w:t>按政策时限发放</w:t>
            </w:r>
          </w:p>
        </w:tc>
        <w:tc>
          <w:tcPr>
            <w:tcW w:w="782" w:type="dxa"/>
            <w:vMerge w:val="restart"/>
            <w:noWrap w:val="0"/>
            <w:vAlign w:val="center"/>
          </w:tcPr>
          <w:p>
            <w:pPr>
              <w:spacing w:line="560" w:lineRule="exact"/>
              <w:jc w:val="center"/>
              <w:rPr>
                <w:rFonts w:hint="eastAsia" w:ascii="仿宋_GB2312" w:hAnsi="黑体" w:eastAsia="仿宋_GB2312" w:cs="宋体"/>
                <w:sz w:val="22"/>
              </w:rPr>
            </w:pPr>
          </w:p>
        </w:tc>
        <w:tc>
          <w:tcPr>
            <w:tcW w:w="1059" w:type="dxa"/>
            <w:vMerge w:val="restart"/>
            <w:noWrap w:val="0"/>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75" w:hRule="atLeast"/>
        </w:trPr>
        <w:tc>
          <w:tcPr>
            <w:tcW w:w="607" w:type="dxa"/>
            <w:vMerge w:val="continue"/>
            <w:noWrap w:val="0"/>
            <w:vAlign w:val="center"/>
          </w:tcPr>
          <w:p>
            <w:pPr>
              <w:spacing w:line="560" w:lineRule="exact"/>
              <w:jc w:val="center"/>
              <w:rPr>
                <w:rFonts w:hint="eastAsia" w:ascii="仿宋_GB2312" w:hAnsi="黑体" w:eastAsia="仿宋_GB2312" w:cs="宋体"/>
                <w:sz w:val="22"/>
              </w:rPr>
            </w:pPr>
          </w:p>
        </w:tc>
        <w:tc>
          <w:tcPr>
            <w:tcW w:w="1163" w:type="dxa"/>
            <w:vMerge w:val="continue"/>
            <w:noWrap w:val="0"/>
            <w:vAlign w:val="center"/>
          </w:tcPr>
          <w:p>
            <w:pPr>
              <w:spacing w:line="560" w:lineRule="exact"/>
              <w:jc w:val="center"/>
              <w:rPr>
                <w:rFonts w:hint="eastAsia" w:ascii="仿宋_GB2312" w:hAnsi="黑体" w:eastAsia="仿宋_GB2312" w:cs="宋体"/>
                <w:sz w:val="22"/>
              </w:rPr>
            </w:pPr>
          </w:p>
        </w:tc>
        <w:tc>
          <w:tcPr>
            <w:tcW w:w="553" w:type="dxa"/>
            <w:vMerge w:val="continue"/>
            <w:noWrap w:val="0"/>
            <w:vAlign w:val="center"/>
          </w:tcPr>
          <w:p>
            <w:pPr>
              <w:spacing w:line="560" w:lineRule="exact"/>
              <w:jc w:val="center"/>
              <w:rPr>
                <w:rFonts w:hint="eastAsia" w:ascii="仿宋_GB2312" w:hAnsi="黑体" w:eastAsia="仿宋_GB2312" w:cs="宋体"/>
                <w:sz w:val="22"/>
              </w:rPr>
            </w:pPr>
          </w:p>
        </w:tc>
        <w:tc>
          <w:tcPr>
            <w:tcW w:w="1599" w:type="dxa"/>
            <w:vMerge w:val="continue"/>
            <w:noWrap w:val="0"/>
            <w:vAlign w:val="center"/>
          </w:tcPr>
          <w:p>
            <w:pPr>
              <w:spacing w:line="560" w:lineRule="exact"/>
              <w:jc w:val="center"/>
              <w:rPr>
                <w:rFonts w:hint="eastAsia" w:ascii="仿宋_GB2312" w:hAnsi="黑体" w:eastAsia="仿宋_GB2312" w:cs="宋体"/>
                <w:sz w:val="22"/>
              </w:rPr>
            </w:pPr>
          </w:p>
        </w:tc>
        <w:tc>
          <w:tcPr>
            <w:tcW w:w="1094"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审查</w:t>
            </w:r>
          </w:p>
        </w:tc>
        <w:tc>
          <w:tcPr>
            <w:tcW w:w="1094" w:type="dxa"/>
            <w:noWrap w:val="0"/>
            <w:vAlign w:val="center"/>
          </w:tcPr>
          <w:p>
            <w:pPr>
              <w:spacing w:line="240" w:lineRule="exact"/>
              <w:jc w:val="center"/>
              <w:rPr>
                <w:rFonts w:hint="eastAsia" w:ascii="宋体" w:hAnsi="宋体"/>
                <w:kern w:val="0"/>
                <w:szCs w:val="21"/>
              </w:rPr>
            </w:pPr>
            <w:r>
              <w:rPr>
                <w:rFonts w:hint="eastAsia" w:ascii="仿宋_GB2312" w:hAnsi="宋体" w:eastAsia="仿宋_GB2312" w:cs="仿宋_GB2312"/>
                <w:color w:val="000000"/>
                <w:kern w:val="0"/>
                <w:sz w:val="22"/>
                <w:lang w:bidi="ar"/>
              </w:rPr>
              <w:t>根据文件规定对所提供的全部材料进行审核。</w:t>
            </w:r>
          </w:p>
        </w:tc>
        <w:tc>
          <w:tcPr>
            <w:tcW w:w="782"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2"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82" w:type="dxa"/>
            <w:vMerge w:val="continue"/>
            <w:noWrap w:val="0"/>
            <w:vAlign w:val="center"/>
          </w:tcPr>
          <w:p>
            <w:pPr>
              <w:spacing w:line="560" w:lineRule="exact"/>
              <w:jc w:val="center"/>
              <w:rPr>
                <w:rFonts w:hint="eastAsia" w:ascii="仿宋_GB2312" w:hAnsi="黑体" w:eastAsia="仿宋_GB2312" w:cs="宋体"/>
                <w:sz w:val="22"/>
              </w:rPr>
            </w:pPr>
          </w:p>
        </w:tc>
        <w:tc>
          <w:tcPr>
            <w:tcW w:w="1059"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75" w:hRule="atLeast"/>
        </w:trPr>
        <w:tc>
          <w:tcPr>
            <w:tcW w:w="607" w:type="dxa"/>
            <w:vMerge w:val="continue"/>
            <w:noWrap w:val="0"/>
            <w:vAlign w:val="center"/>
          </w:tcPr>
          <w:p>
            <w:pPr>
              <w:spacing w:line="560" w:lineRule="exact"/>
              <w:jc w:val="center"/>
              <w:rPr>
                <w:rFonts w:hint="eastAsia" w:ascii="仿宋_GB2312" w:hAnsi="黑体" w:eastAsia="仿宋_GB2312" w:cs="宋体"/>
                <w:sz w:val="22"/>
              </w:rPr>
            </w:pPr>
          </w:p>
        </w:tc>
        <w:tc>
          <w:tcPr>
            <w:tcW w:w="1163" w:type="dxa"/>
            <w:vMerge w:val="continue"/>
            <w:noWrap w:val="0"/>
            <w:vAlign w:val="center"/>
          </w:tcPr>
          <w:p>
            <w:pPr>
              <w:spacing w:line="560" w:lineRule="exact"/>
              <w:jc w:val="center"/>
              <w:rPr>
                <w:rFonts w:hint="eastAsia" w:ascii="仿宋_GB2312" w:hAnsi="黑体" w:eastAsia="仿宋_GB2312" w:cs="宋体"/>
                <w:sz w:val="22"/>
              </w:rPr>
            </w:pPr>
          </w:p>
        </w:tc>
        <w:tc>
          <w:tcPr>
            <w:tcW w:w="553" w:type="dxa"/>
            <w:vMerge w:val="continue"/>
            <w:noWrap w:val="0"/>
            <w:vAlign w:val="center"/>
          </w:tcPr>
          <w:p>
            <w:pPr>
              <w:spacing w:line="560" w:lineRule="exact"/>
              <w:jc w:val="center"/>
              <w:rPr>
                <w:rFonts w:hint="eastAsia" w:ascii="仿宋_GB2312" w:hAnsi="黑体" w:eastAsia="仿宋_GB2312" w:cs="宋体"/>
                <w:sz w:val="22"/>
              </w:rPr>
            </w:pPr>
          </w:p>
        </w:tc>
        <w:tc>
          <w:tcPr>
            <w:tcW w:w="1599" w:type="dxa"/>
            <w:vMerge w:val="continue"/>
            <w:noWrap w:val="0"/>
            <w:vAlign w:val="center"/>
          </w:tcPr>
          <w:p>
            <w:pPr>
              <w:spacing w:line="560" w:lineRule="exact"/>
              <w:jc w:val="center"/>
              <w:rPr>
                <w:rFonts w:hint="eastAsia" w:ascii="仿宋_GB2312" w:hAnsi="黑体" w:eastAsia="仿宋_GB2312" w:cs="宋体"/>
                <w:sz w:val="22"/>
              </w:rPr>
            </w:pPr>
          </w:p>
        </w:tc>
        <w:tc>
          <w:tcPr>
            <w:tcW w:w="1094" w:type="dxa"/>
            <w:noWrap w:val="0"/>
            <w:vAlign w:val="center"/>
          </w:tcPr>
          <w:p>
            <w:pPr>
              <w:spacing w:line="560" w:lineRule="exact"/>
              <w:jc w:val="center"/>
              <w:rPr>
                <w:rFonts w:hint="eastAsia" w:ascii="宋体" w:hAnsi="宋体"/>
                <w:kern w:val="0"/>
                <w:szCs w:val="21"/>
              </w:rPr>
            </w:pPr>
            <w:r>
              <w:rPr>
                <w:rFonts w:hint="eastAsia" w:ascii="宋体" w:hAnsi="宋体"/>
                <w:kern w:val="0"/>
                <w:szCs w:val="21"/>
              </w:rPr>
              <w:t>发放</w:t>
            </w:r>
          </w:p>
        </w:tc>
        <w:tc>
          <w:tcPr>
            <w:tcW w:w="1094" w:type="dxa"/>
            <w:noWrap w:val="0"/>
            <w:vAlign w:val="center"/>
          </w:tcPr>
          <w:p>
            <w:pPr>
              <w:spacing w:line="240" w:lineRule="exact"/>
              <w:rPr>
                <w:rFonts w:hint="eastAsia" w:ascii="宋体" w:hAnsi="宋体"/>
                <w:kern w:val="0"/>
                <w:szCs w:val="21"/>
              </w:rPr>
            </w:pPr>
            <w:r>
              <w:rPr>
                <w:rFonts w:hint="eastAsia" w:ascii="仿宋_GB2312" w:hAnsi="宋体" w:eastAsia="仿宋_GB2312" w:cs="仿宋_GB2312"/>
                <w:color w:val="000000"/>
                <w:kern w:val="0"/>
                <w:sz w:val="22"/>
                <w:lang w:bidi="ar"/>
              </w:rPr>
              <w:t>根据申请人提供的有关材料，决定是否呈报。</w:t>
            </w:r>
          </w:p>
        </w:tc>
        <w:tc>
          <w:tcPr>
            <w:tcW w:w="782" w:type="dxa"/>
            <w:noWrap w:val="0"/>
            <w:vAlign w:val="center"/>
          </w:tcPr>
          <w:p>
            <w:pPr>
              <w:spacing w:line="560" w:lineRule="exact"/>
              <w:rPr>
                <w:rFonts w:hint="eastAsia" w:ascii="宋体" w:hAnsi="宋体"/>
                <w:kern w:val="0"/>
                <w:szCs w:val="21"/>
              </w:rPr>
            </w:pPr>
            <w:r>
              <w:rPr>
                <w:rFonts w:hint="eastAsia" w:ascii="宋体" w:hAnsi="宋体"/>
                <w:kern w:val="0"/>
                <w:szCs w:val="21"/>
              </w:rPr>
              <w:t>优抚</w:t>
            </w:r>
            <w:r>
              <w:rPr>
                <w:rFonts w:hint="eastAsia" w:ascii="宋体" w:hAnsi="宋体"/>
                <w:kern w:val="0"/>
                <w:szCs w:val="21"/>
                <w:lang w:val="en-US" w:eastAsia="zh-CN"/>
              </w:rPr>
              <w:t>和褒扬</w:t>
            </w:r>
            <w:r>
              <w:rPr>
                <w:rFonts w:hint="eastAsia" w:ascii="宋体" w:hAnsi="宋体"/>
                <w:kern w:val="0"/>
                <w:szCs w:val="21"/>
              </w:rPr>
              <w:t>股</w:t>
            </w:r>
          </w:p>
        </w:tc>
        <w:tc>
          <w:tcPr>
            <w:tcW w:w="782" w:type="dxa"/>
            <w:noWrap w:val="0"/>
            <w:vAlign w:val="center"/>
          </w:tcPr>
          <w:p>
            <w:pPr>
              <w:spacing w:line="240" w:lineRule="exact"/>
              <w:jc w:val="center"/>
              <w:rPr>
                <w:rFonts w:hint="eastAsia" w:ascii="宋体" w:hAnsi="宋体"/>
                <w:kern w:val="0"/>
                <w:szCs w:val="21"/>
              </w:rPr>
            </w:pPr>
            <w:r>
              <w:rPr>
                <w:rFonts w:hint="eastAsia" w:ascii="仿宋_GB2312" w:hAnsi="黑体" w:eastAsia="仿宋_GB2312" w:cs="宋体"/>
                <w:sz w:val="22"/>
              </w:rPr>
              <w:t>按政策时限发放</w:t>
            </w:r>
          </w:p>
        </w:tc>
        <w:tc>
          <w:tcPr>
            <w:tcW w:w="782" w:type="dxa"/>
            <w:vMerge w:val="continue"/>
            <w:noWrap w:val="0"/>
            <w:vAlign w:val="center"/>
          </w:tcPr>
          <w:p>
            <w:pPr>
              <w:spacing w:line="560" w:lineRule="exact"/>
              <w:jc w:val="center"/>
              <w:rPr>
                <w:rFonts w:hint="eastAsia" w:ascii="仿宋_GB2312" w:hAnsi="黑体" w:eastAsia="仿宋_GB2312" w:cs="宋体"/>
                <w:sz w:val="22"/>
              </w:rPr>
            </w:pPr>
          </w:p>
        </w:tc>
        <w:tc>
          <w:tcPr>
            <w:tcW w:w="1059" w:type="dxa"/>
            <w:vMerge w:val="continue"/>
            <w:noWrap w:val="0"/>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8" w:hRule="atLeast"/>
        </w:trPr>
        <w:tc>
          <w:tcPr>
            <w:tcW w:w="9515"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服务电话：0394-</w:t>
            </w:r>
            <w:r>
              <w:rPr>
                <w:rFonts w:hint="eastAsia" w:ascii="仿宋_GB2312" w:hAnsi="黑体" w:eastAsia="仿宋_GB2312" w:cs="宋体"/>
                <w:sz w:val="22"/>
                <w:lang w:val="en-US" w:eastAsia="zh-CN"/>
              </w:rPr>
              <w:t>6865199</w:t>
            </w:r>
            <w:r>
              <w:rPr>
                <w:rFonts w:hint="eastAsia" w:ascii="仿宋_GB2312" w:hAnsi="黑体" w:eastAsia="仿宋_GB2312" w:cs="宋体"/>
                <w:sz w:val="22"/>
              </w:rPr>
              <w:t>投诉机构：太康县</w:t>
            </w:r>
            <w:r>
              <w:rPr>
                <w:rFonts w:hint="eastAsia" w:ascii="仿宋_GB2312" w:hAnsi="黑体" w:eastAsia="仿宋_GB2312" w:cs="宋体"/>
                <w:sz w:val="22"/>
                <w:lang w:val="en-US" w:eastAsia="zh-CN"/>
              </w:rPr>
              <w:t>退役军人事务局</w:t>
            </w:r>
            <w:r>
              <w:rPr>
                <w:rFonts w:hint="eastAsia" w:ascii="仿宋_GB2312" w:hAnsi="黑体" w:eastAsia="仿宋_GB2312" w:cs="宋体"/>
                <w:sz w:val="22"/>
              </w:rPr>
              <w:t xml:space="preserve">       投诉电话：0394-68</w:t>
            </w:r>
            <w:r>
              <w:rPr>
                <w:rFonts w:hint="eastAsia" w:ascii="仿宋_GB2312" w:hAnsi="黑体" w:eastAsia="仿宋_GB2312" w:cs="宋体"/>
                <w:sz w:val="22"/>
                <w:lang w:val="en-US" w:eastAsia="zh-CN"/>
              </w:rPr>
              <w:t>67567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4" w:hRule="atLeast"/>
        </w:trPr>
        <w:tc>
          <w:tcPr>
            <w:tcW w:w="9515" w:type="dxa"/>
            <w:gridSpan w:val="10"/>
            <w:noWrap w:val="0"/>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受理地点：太康县城关镇</w:t>
            </w:r>
            <w:r>
              <w:rPr>
                <w:rFonts w:hint="eastAsia" w:ascii="仿宋_GB2312" w:hAnsi="黑体" w:eastAsia="仿宋_GB2312" w:cs="宋体"/>
                <w:sz w:val="22"/>
                <w:lang w:val="en-US" w:eastAsia="zh-CN"/>
              </w:rPr>
              <w:t>谢安中段退役军人事务局</w:t>
            </w:r>
          </w:p>
        </w:tc>
      </w:tr>
    </w:tbl>
    <w:p/>
    <w:p/>
    <w:p/>
    <w:p/>
    <w:p/>
    <w:p/>
    <w:p/>
    <w:p/>
    <w:p/>
    <w:p/>
    <w:tbl>
      <w:tblPr>
        <w:tblStyle w:val="4"/>
        <w:tblpPr w:leftFromText="180" w:rightFromText="180" w:vertAnchor="page" w:horzAnchor="page" w:tblpX="1112" w:tblpY="1605"/>
        <w:tblOverlap w:val="never"/>
        <w:tblW w:w="9623" w:type="dxa"/>
        <w:tblInd w:w="0" w:type="dxa"/>
        <w:tblLayout w:type="fixed"/>
        <w:tblCellMar>
          <w:top w:w="0" w:type="dxa"/>
          <w:left w:w="108" w:type="dxa"/>
          <w:bottom w:w="0" w:type="dxa"/>
          <w:right w:w="108" w:type="dxa"/>
        </w:tblCellMar>
      </w:tblPr>
      <w:tblGrid>
        <w:gridCol w:w="570"/>
        <w:gridCol w:w="688"/>
        <w:gridCol w:w="600"/>
        <w:gridCol w:w="1980"/>
        <w:gridCol w:w="705"/>
        <w:gridCol w:w="1695"/>
        <w:gridCol w:w="720"/>
        <w:gridCol w:w="690"/>
        <w:gridCol w:w="735"/>
        <w:gridCol w:w="1240"/>
      </w:tblGrid>
      <w:tr>
        <w:tblPrEx>
          <w:tblCellMar>
            <w:top w:w="0" w:type="dxa"/>
            <w:left w:w="108" w:type="dxa"/>
            <w:bottom w:w="0" w:type="dxa"/>
            <w:right w:w="108" w:type="dxa"/>
          </w:tblCellMar>
        </w:tblPrEx>
        <w:trPr>
          <w:wAfter w:w="0" w:type="auto"/>
          <w:trHeight w:val="420" w:hRule="atLeast"/>
        </w:trPr>
        <w:tc>
          <w:tcPr>
            <w:tcW w:w="9623" w:type="dxa"/>
            <w:gridSpan w:val="10"/>
            <w:tcBorders>
              <w:top w:val="nil"/>
              <w:left w:val="nil"/>
              <w:bottom w:val="nil"/>
            </w:tcBorders>
            <w:noWrap w:val="0"/>
            <w:vAlign w:val="top"/>
          </w:tcPr>
          <w:p>
            <w:pPr>
              <w:jc w:val="left"/>
              <w:rPr>
                <w:rFonts w:hint="eastAsia" w:ascii="宋体" w:hAnsi="宋体"/>
                <w:color w:val="000000"/>
                <w:sz w:val="22"/>
              </w:rPr>
            </w:pPr>
            <w:r>
              <w:rPr>
                <w:rFonts w:hint="eastAsia" w:ascii="宋体" w:hAnsi="宋体"/>
                <w:color w:val="000000"/>
                <w:sz w:val="22"/>
              </w:rPr>
              <w:t>职权类别：行政给付</w:t>
            </w:r>
          </w:p>
        </w:tc>
      </w:tr>
      <w:tr>
        <w:tblPrEx>
          <w:tblCellMar>
            <w:top w:w="0" w:type="dxa"/>
            <w:left w:w="108" w:type="dxa"/>
            <w:bottom w:w="0" w:type="dxa"/>
            <w:right w:w="108" w:type="dxa"/>
          </w:tblCellMar>
        </w:tblPrEx>
        <w:trPr>
          <w:wAfter w:w="0" w:type="auto"/>
          <w:trHeight w:val="942" w:hRule="atLeast"/>
        </w:trPr>
        <w:tc>
          <w:tcPr>
            <w:tcW w:w="57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黑体" w:hAnsi="黑体" w:eastAsia="黑体"/>
                <w:color w:val="000000"/>
                <w:sz w:val="22"/>
              </w:rPr>
            </w:pPr>
            <w:r>
              <w:rPr>
                <w:rFonts w:hint="eastAsia" w:ascii="黑体" w:hAnsi="黑体" w:eastAsia="黑体"/>
                <w:color w:val="000000"/>
                <w:sz w:val="22"/>
              </w:rPr>
              <w:t>序号</w:t>
            </w:r>
          </w:p>
        </w:tc>
        <w:tc>
          <w:tcPr>
            <w:tcW w:w="68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黑体" w:hAnsi="黑体" w:eastAsia="黑体"/>
                <w:color w:val="000000"/>
                <w:sz w:val="22"/>
              </w:rPr>
            </w:pPr>
            <w:r>
              <w:rPr>
                <w:rFonts w:hint="eastAsia" w:ascii="黑体" w:hAnsi="黑体" w:eastAsia="黑体"/>
                <w:color w:val="000000"/>
                <w:sz w:val="22"/>
              </w:rPr>
              <w:t>职权名称</w:t>
            </w:r>
          </w:p>
        </w:tc>
        <w:tc>
          <w:tcPr>
            <w:tcW w:w="60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黑体" w:hAnsi="黑体" w:eastAsia="黑体"/>
                <w:color w:val="000000"/>
                <w:sz w:val="22"/>
              </w:rPr>
            </w:pPr>
            <w:r>
              <w:rPr>
                <w:rFonts w:hint="eastAsia" w:ascii="黑体" w:hAnsi="黑体" w:eastAsia="黑体"/>
                <w:color w:val="000000"/>
                <w:sz w:val="22"/>
              </w:rPr>
              <w:t>子项</w:t>
            </w:r>
          </w:p>
        </w:tc>
        <w:tc>
          <w:tcPr>
            <w:tcW w:w="198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黑体" w:hAnsi="黑体" w:eastAsia="黑体"/>
                <w:color w:val="000000"/>
                <w:sz w:val="22"/>
              </w:rPr>
            </w:pPr>
            <w:r>
              <w:rPr>
                <w:rFonts w:hint="eastAsia" w:ascii="黑体" w:hAnsi="黑体" w:eastAsia="黑体"/>
                <w:color w:val="000000"/>
                <w:sz w:val="22"/>
              </w:rPr>
              <w:t>实施依据</w:t>
            </w:r>
          </w:p>
        </w:tc>
        <w:tc>
          <w:tcPr>
            <w:tcW w:w="705"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黑体" w:hAnsi="黑体" w:eastAsia="黑体"/>
                <w:color w:val="000000"/>
                <w:sz w:val="22"/>
              </w:rPr>
            </w:pPr>
            <w:r>
              <w:rPr>
                <w:rFonts w:hint="eastAsia" w:ascii="黑体" w:hAnsi="黑体" w:eastAsia="黑体"/>
                <w:color w:val="000000"/>
                <w:sz w:val="22"/>
              </w:rPr>
              <w:t>办理环节</w:t>
            </w:r>
          </w:p>
        </w:tc>
        <w:tc>
          <w:tcPr>
            <w:tcW w:w="1695"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黑体" w:hAnsi="黑体" w:eastAsia="黑体"/>
                <w:color w:val="000000"/>
                <w:sz w:val="22"/>
              </w:rPr>
            </w:pPr>
            <w:r>
              <w:rPr>
                <w:rFonts w:hint="eastAsia" w:ascii="黑体" w:hAnsi="黑体" w:eastAsia="黑体"/>
                <w:color w:val="000000"/>
                <w:sz w:val="22"/>
              </w:rPr>
              <w:t>责任事项</w:t>
            </w:r>
          </w:p>
        </w:tc>
        <w:tc>
          <w:tcPr>
            <w:tcW w:w="72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黑体" w:hAnsi="黑体" w:eastAsia="黑体"/>
                <w:color w:val="000000"/>
                <w:sz w:val="22"/>
              </w:rPr>
            </w:pPr>
            <w:r>
              <w:rPr>
                <w:rFonts w:hint="eastAsia" w:ascii="黑体" w:hAnsi="黑体" w:eastAsia="黑体"/>
                <w:color w:val="000000"/>
                <w:sz w:val="22"/>
              </w:rPr>
              <w:t>责任</w:t>
            </w:r>
          </w:p>
          <w:p>
            <w:pPr>
              <w:jc w:val="left"/>
              <w:rPr>
                <w:rFonts w:hint="eastAsia" w:ascii="黑体" w:hAnsi="黑体" w:eastAsia="黑体"/>
                <w:color w:val="000000"/>
                <w:sz w:val="22"/>
              </w:rPr>
            </w:pPr>
            <w:r>
              <w:rPr>
                <w:rFonts w:hint="eastAsia" w:ascii="黑体" w:hAnsi="黑体" w:eastAsia="黑体"/>
                <w:color w:val="000000"/>
                <w:sz w:val="22"/>
              </w:rPr>
              <w:t>科室</w:t>
            </w:r>
          </w:p>
        </w:tc>
        <w:tc>
          <w:tcPr>
            <w:tcW w:w="69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黑体" w:hAnsi="黑体" w:eastAsia="黑体"/>
                <w:color w:val="000000"/>
                <w:sz w:val="22"/>
              </w:rPr>
            </w:pPr>
            <w:r>
              <w:rPr>
                <w:rFonts w:hint="eastAsia" w:ascii="黑体" w:hAnsi="黑体" w:eastAsia="黑体"/>
                <w:color w:val="000000"/>
                <w:sz w:val="22"/>
              </w:rPr>
              <w:t>承诺时限</w:t>
            </w:r>
          </w:p>
        </w:tc>
        <w:tc>
          <w:tcPr>
            <w:tcW w:w="735"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黑体" w:hAnsi="黑体" w:eastAsia="黑体"/>
                <w:color w:val="000000"/>
                <w:sz w:val="22"/>
              </w:rPr>
            </w:pPr>
            <w:r>
              <w:rPr>
                <w:rFonts w:hint="eastAsia" w:ascii="黑体" w:hAnsi="黑体" w:eastAsia="黑体"/>
                <w:color w:val="000000"/>
                <w:sz w:val="22"/>
              </w:rPr>
              <w:t>法定时限</w:t>
            </w:r>
          </w:p>
        </w:tc>
        <w:tc>
          <w:tcPr>
            <w:tcW w:w="1240" w:type="dxa"/>
            <w:tcBorders>
              <w:top w:val="single" w:color="auto" w:sz="6" w:space="0"/>
              <w:left w:val="single" w:color="auto" w:sz="6" w:space="0"/>
              <w:bottom w:val="single" w:color="auto" w:sz="4" w:space="0"/>
              <w:right w:val="single" w:color="auto" w:sz="6" w:space="0"/>
            </w:tcBorders>
            <w:noWrap w:val="0"/>
            <w:vAlign w:val="center"/>
          </w:tcPr>
          <w:p>
            <w:pPr>
              <w:jc w:val="left"/>
              <w:rPr>
                <w:rFonts w:hint="eastAsia" w:ascii="黑体" w:hAnsi="黑体" w:eastAsia="黑体"/>
                <w:color w:val="000000"/>
                <w:sz w:val="22"/>
              </w:rPr>
            </w:pPr>
            <w:r>
              <w:rPr>
                <w:rFonts w:hint="eastAsia" w:ascii="黑体" w:hAnsi="黑体" w:eastAsia="黑体"/>
                <w:color w:val="000000"/>
                <w:sz w:val="22"/>
              </w:rPr>
              <w:t>收费情况及依据</w:t>
            </w:r>
          </w:p>
        </w:tc>
      </w:tr>
      <w:tr>
        <w:tblPrEx>
          <w:tblCellMar>
            <w:top w:w="0" w:type="dxa"/>
            <w:left w:w="108" w:type="dxa"/>
            <w:bottom w:w="0" w:type="dxa"/>
            <w:right w:w="108" w:type="dxa"/>
          </w:tblCellMar>
        </w:tblPrEx>
        <w:trPr>
          <w:wAfter w:w="0" w:type="auto"/>
          <w:trHeight w:val="979" w:hRule="atLeast"/>
        </w:trPr>
        <w:tc>
          <w:tcPr>
            <w:tcW w:w="570" w:type="dxa"/>
            <w:vMerge w:val="restart"/>
            <w:tcBorders>
              <w:top w:val="single" w:color="auto" w:sz="6" w:space="0"/>
              <w:left w:val="single" w:color="auto" w:sz="6" w:space="0"/>
              <w:right w:val="single" w:color="auto" w:sz="6" w:space="0"/>
            </w:tcBorders>
            <w:noWrap w:val="0"/>
            <w:vAlign w:val="center"/>
          </w:tcPr>
          <w:p>
            <w:pPr>
              <w:jc w:val="left"/>
              <w:rPr>
                <w:rFonts w:hint="default" w:ascii="宋体" w:hAnsi="宋体" w:eastAsia="宋体"/>
                <w:color w:val="000000"/>
                <w:sz w:val="22"/>
                <w:lang w:val="en-US" w:eastAsia="zh-CN"/>
              </w:rPr>
            </w:pPr>
            <w:r>
              <w:rPr>
                <w:rFonts w:hint="eastAsia" w:ascii="宋体" w:hAnsi="宋体"/>
                <w:color w:val="000000"/>
                <w:sz w:val="22"/>
                <w:lang w:val="en-US" w:eastAsia="zh-CN"/>
              </w:rPr>
              <w:t>10</w:t>
            </w:r>
          </w:p>
        </w:tc>
        <w:tc>
          <w:tcPr>
            <w:tcW w:w="688" w:type="dxa"/>
            <w:vMerge w:val="restart"/>
            <w:tcBorders>
              <w:top w:val="single" w:color="auto" w:sz="6" w:space="0"/>
              <w:left w:val="single" w:color="auto" w:sz="6" w:space="0"/>
              <w:right w:val="single" w:color="auto" w:sz="6" w:space="0"/>
            </w:tcBorders>
            <w:noWrap w:val="0"/>
            <w:vAlign w:val="top"/>
          </w:tcPr>
          <w:p>
            <w:pPr>
              <w:jc w:val="left"/>
              <w:rPr>
                <w:rFonts w:hint="eastAsia" w:ascii="宋体" w:hAnsi="宋体"/>
                <w:color w:val="000000"/>
                <w:sz w:val="22"/>
              </w:rPr>
            </w:pPr>
            <w:r>
              <w:rPr>
                <w:rFonts w:hint="eastAsia" w:ascii="宋体" w:hAnsi="宋体"/>
                <w:color w:val="000000"/>
                <w:sz w:val="22"/>
              </w:rPr>
              <w:t>审查发放退役士兵各项安置经费</w:t>
            </w:r>
          </w:p>
        </w:tc>
        <w:tc>
          <w:tcPr>
            <w:tcW w:w="600" w:type="dxa"/>
            <w:vMerge w:val="restart"/>
            <w:tcBorders>
              <w:top w:val="single" w:color="auto" w:sz="6" w:space="0"/>
              <w:left w:val="single" w:color="auto" w:sz="6" w:space="0"/>
              <w:right w:val="single" w:color="auto" w:sz="6" w:space="0"/>
            </w:tcBorders>
            <w:noWrap w:val="0"/>
            <w:vAlign w:val="top"/>
          </w:tcPr>
          <w:p>
            <w:pPr>
              <w:jc w:val="left"/>
              <w:rPr>
                <w:rFonts w:hint="eastAsia" w:ascii="宋体" w:hAnsi="宋体"/>
                <w:color w:val="000000"/>
                <w:sz w:val="22"/>
              </w:rPr>
            </w:pPr>
          </w:p>
        </w:tc>
        <w:tc>
          <w:tcPr>
            <w:tcW w:w="1980" w:type="dxa"/>
            <w:vMerge w:val="restart"/>
            <w:tcBorders>
              <w:top w:val="single" w:color="auto" w:sz="6" w:space="0"/>
              <w:left w:val="single" w:color="auto" w:sz="6" w:space="0"/>
              <w:right w:val="single" w:color="auto" w:sz="6" w:space="0"/>
            </w:tcBorders>
            <w:noWrap w:val="0"/>
            <w:vAlign w:val="top"/>
          </w:tcPr>
          <w:p>
            <w:pPr>
              <w:jc w:val="left"/>
              <w:rPr>
                <w:rFonts w:hint="default" w:ascii="宋体" w:hAnsi="宋体" w:eastAsia="宋体"/>
                <w:color w:val="000000"/>
                <w:sz w:val="20"/>
                <w:lang w:val="en-US" w:eastAsia="zh-CN"/>
              </w:rPr>
            </w:pPr>
            <w:r>
              <w:rPr>
                <w:rFonts w:hint="eastAsia" w:ascii="宋体" w:hAnsi="宋体"/>
                <w:color w:val="000000"/>
                <w:sz w:val="20"/>
              </w:rPr>
              <w:t>《退役士兵安置条例》（国务院、中央军事委员会令第608号）第十九条：对自主就业的退役士兵，地方人民政府可以根据当地实际情况给予经济补助。</w:t>
            </w:r>
            <w:r>
              <w:rPr>
                <w:rFonts w:hint="eastAsia" w:ascii="宋体" w:hAnsi="宋体"/>
                <w:color w:val="000000"/>
                <w:sz w:val="20"/>
                <w:lang w:eastAsia="zh-CN"/>
              </w:rPr>
              <w:t>退役军人部发【</w:t>
            </w:r>
            <w:r>
              <w:rPr>
                <w:rFonts w:hint="eastAsia" w:ascii="宋体" w:hAnsi="宋体"/>
                <w:color w:val="000000"/>
                <w:sz w:val="20"/>
                <w:lang w:val="en-US" w:eastAsia="zh-CN"/>
              </w:rPr>
              <w:t>2018</w:t>
            </w:r>
            <w:r>
              <w:rPr>
                <w:rFonts w:hint="eastAsia" w:ascii="宋体" w:hAnsi="宋体"/>
                <w:color w:val="000000"/>
                <w:sz w:val="20"/>
                <w:lang w:eastAsia="zh-CN"/>
              </w:rPr>
              <w:t>】</w:t>
            </w:r>
            <w:r>
              <w:rPr>
                <w:rFonts w:hint="eastAsia" w:ascii="宋体" w:hAnsi="宋体"/>
                <w:color w:val="000000"/>
                <w:sz w:val="20"/>
                <w:lang w:val="en-US" w:eastAsia="zh-CN"/>
              </w:rPr>
              <w:t>27号文件“退役士兵待安排工作期间，安置地人民政府应当按照上年度最低工资标准逐月发放生活 补助”。</w:t>
            </w:r>
          </w:p>
        </w:tc>
        <w:tc>
          <w:tcPr>
            <w:tcW w:w="705" w:type="dxa"/>
            <w:tcBorders>
              <w:top w:val="single" w:color="auto" w:sz="6" w:space="0"/>
              <w:left w:val="nil"/>
              <w:bottom w:val="single" w:color="auto" w:sz="6" w:space="0"/>
              <w:right w:val="single" w:color="auto" w:sz="6" w:space="0"/>
            </w:tcBorders>
            <w:noWrap w:val="0"/>
            <w:vAlign w:val="top"/>
          </w:tcPr>
          <w:p>
            <w:pPr>
              <w:ind w:leftChars="100"/>
              <w:jc w:val="left"/>
              <w:rPr>
                <w:rFonts w:hint="eastAsia" w:ascii="宋体" w:hAnsi="宋体"/>
                <w:color w:val="000000"/>
                <w:sz w:val="22"/>
              </w:rPr>
            </w:pPr>
            <w:r>
              <w:rPr>
                <w:rFonts w:hint="eastAsia" w:ascii="宋体" w:hAnsi="宋体"/>
                <w:color w:val="000000"/>
                <w:sz w:val="22"/>
              </w:rPr>
              <w:t>受理</w:t>
            </w:r>
          </w:p>
        </w:tc>
        <w:tc>
          <w:tcPr>
            <w:tcW w:w="1695" w:type="dxa"/>
            <w:tcBorders>
              <w:top w:val="single" w:color="auto" w:sz="6" w:space="0"/>
              <w:left w:val="nil"/>
              <w:bottom w:val="single" w:color="auto" w:sz="6" w:space="0"/>
              <w:right w:val="single" w:color="auto" w:sz="6" w:space="0"/>
            </w:tcBorders>
            <w:noWrap w:val="0"/>
            <w:vAlign w:val="top"/>
          </w:tcPr>
          <w:p>
            <w:pPr>
              <w:jc w:val="left"/>
              <w:rPr>
                <w:rFonts w:hint="eastAsia" w:ascii="宋体" w:hAnsi="宋体"/>
                <w:color w:val="000000"/>
                <w:sz w:val="22"/>
              </w:rPr>
            </w:pPr>
            <w:r>
              <w:rPr>
                <w:rFonts w:hint="eastAsia" w:ascii="宋体" w:hAnsi="宋体"/>
                <w:color w:val="000000"/>
                <w:sz w:val="22"/>
              </w:rPr>
              <w:t>1、受理责任：公示享受补贴人员名单，依法受理或不予受理（不予受理告知理由）。</w:t>
            </w:r>
          </w:p>
        </w:tc>
        <w:tc>
          <w:tcPr>
            <w:tcW w:w="720" w:type="dxa"/>
            <w:tcBorders>
              <w:top w:val="single" w:color="auto" w:sz="6" w:space="0"/>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r>
              <w:rPr>
                <w:rFonts w:hint="eastAsia" w:ascii="宋体" w:hAnsi="宋体"/>
                <w:color w:val="000000"/>
                <w:sz w:val="22"/>
              </w:rPr>
              <w:t>退伍军人</w:t>
            </w:r>
            <w:r>
              <w:rPr>
                <w:rFonts w:hint="eastAsia" w:ascii="宋体" w:hAnsi="宋体"/>
                <w:color w:val="000000"/>
                <w:sz w:val="22"/>
                <w:lang w:eastAsia="zh-CN"/>
              </w:rPr>
              <w:t>移交</w:t>
            </w:r>
            <w:r>
              <w:rPr>
                <w:rFonts w:hint="eastAsia" w:ascii="宋体" w:hAnsi="宋体"/>
                <w:color w:val="000000"/>
                <w:sz w:val="22"/>
              </w:rPr>
              <w:t>安置股</w:t>
            </w:r>
          </w:p>
        </w:tc>
        <w:tc>
          <w:tcPr>
            <w:tcW w:w="69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color w:val="000000"/>
                <w:sz w:val="22"/>
              </w:rPr>
            </w:pPr>
            <w:r>
              <w:rPr>
                <w:rFonts w:hint="eastAsia" w:ascii="宋体" w:hAnsi="宋体"/>
                <w:color w:val="000000"/>
                <w:sz w:val="22"/>
              </w:rPr>
              <w:t>80日</w:t>
            </w:r>
          </w:p>
        </w:tc>
        <w:tc>
          <w:tcPr>
            <w:tcW w:w="735" w:type="dxa"/>
            <w:tcBorders>
              <w:top w:val="single" w:color="auto" w:sz="6" w:space="0"/>
              <w:left w:val="single" w:color="auto" w:sz="6" w:space="0"/>
              <w:bottom w:val="single" w:color="auto" w:sz="6" w:space="0"/>
              <w:right w:val="single" w:color="auto" w:sz="4" w:space="0"/>
            </w:tcBorders>
            <w:noWrap w:val="0"/>
            <w:vAlign w:val="top"/>
          </w:tcPr>
          <w:p>
            <w:pPr>
              <w:jc w:val="left"/>
              <w:rPr>
                <w:rFonts w:hint="eastAsia" w:ascii="宋体" w:hAnsi="宋体"/>
                <w:color w:val="000000"/>
                <w:sz w:val="22"/>
              </w:rPr>
            </w:pPr>
          </w:p>
        </w:tc>
        <w:tc>
          <w:tcPr>
            <w:tcW w:w="1240" w:type="dxa"/>
            <w:vMerge w:val="restart"/>
            <w:tcBorders>
              <w:top w:val="single" w:color="auto" w:sz="4" w:space="0"/>
              <w:left w:val="single" w:color="auto" w:sz="4" w:space="0"/>
              <w:right w:val="single" w:color="auto" w:sz="4" w:space="0"/>
            </w:tcBorders>
            <w:noWrap w:val="0"/>
            <w:vAlign w:val="top"/>
          </w:tcPr>
          <w:p>
            <w:pPr>
              <w:jc w:val="center"/>
              <w:rPr>
                <w:rFonts w:hint="eastAsia" w:ascii="宋体" w:hAnsi="宋体"/>
                <w:color w:val="000000"/>
                <w:sz w:val="22"/>
              </w:rPr>
            </w:pPr>
          </w:p>
          <w:p>
            <w:pPr>
              <w:jc w:val="center"/>
              <w:rPr>
                <w:rFonts w:hint="eastAsia" w:ascii="宋体" w:hAnsi="宋体"/>
                <w:color w:val="000000"/>
                <w:sz w:val="22"/>
              </w:rPr>
            </w:pPr>
          </w:p>
          <w:p>
            <w:pPr>
              <w:jc w:val="center"/>
              <w:rPr>
                <w:rFonts w:hint="eastAsia" w:ascii="宋体" w:hAnsi="宋体"/>
                <w:color w:val="000000"/>
                <w:sz w:val="22"/>
              </w:rPr>
            </w:pPr>
          </w:p>
          <w:p>
            <w:pPr>
              <w:jc w:val="center"/>
              <w:rPr>
                <w:rFonts w:hint="eastAsia" w:ascii="宋体" w:hAnsi="宋体"/>
                <w:color w:val="000000"/>
                <w:sz w:val="22"/>
              </w:rPr>
            </w:pPr>
          </w:p>
          <w:p>
            <w:pPr>
              <w:jc w:val="center"/>
              <w:rPr>
                <w:rFonts w:hint="eastAsia" w:ascii="宋体" w:hAnsi="宋体"/>
                <w:color w:val="000000"/>
                <w:sz w:val="22"/>
              </w:rPr>
            </w:pPr>
          </w:p>
          <w:p>
            <w:pPr>
              <w:jc w:val="center"/>
              <w:rPr>
                <w:rFonts w:hint="eastAsia" w:ascii="宋体" w:hAnsi="宋体"/>
                <w:color w:val="000000"/>
                <w:sz w:val="22"/>
              </w:rPr>
            </w:pPr>
          </w:p>
          <w:p>
            <w:pPr>
              <w:jc w:val="center"/>
              <w:rPr>
                <w:rFonts w:hint="eastAsia" w:ascii="宋体" w:hAnsi="宋体"/>
                <w:color w:val="000000"/>
                <w:sz w:val="22"/>
              </w:rPr>
            </w:pPr>
          </w:p>
          <w:p>
            <w:pPr>
              <w:jc w:val="center"/>
              <w:rPr>
                <w:rFonts w:hint="eastAsia" w:ascii="宋体" w:hAnsi="宋体"/>
                <w:color w:val="000000"/>
                <w:sz w:val="22"/>
              </w:rPr>
            </w:pPr>
          </w:p>
          <w:p>
            <w:pPr>
              <w:jc w:val="center"/>
              <w:rPr>
                <w:rFonts w:hint="eastAsia" w:ascii="宋体" w:hAnsi="宋体"/>
                <w:color w:val="000000"/>
                <w:sz w:val="22"/>
              </w:rPr>
            </w:pPr>
          </w:p>
          <w:p>
            <w:pPr>
              <w:jc w:val="center"/>
              <w:rPr>
                <w:rFonts w:hint="eastAsia" w:ascii="宋体" w:hAnsi="宋体"/>
                <w:color w:val="000000"/>
                <w:sz w:val="22"/>
              </w:rPr>
            </w:pPr>
          </w:p>
          <w:p>
            <w:pPr>
              <w:jc w:val="center"/>
              <w:rPr>
                <w:rFonts w:hint="eastAsia" w:ascii="宋体" w:hAnsi="宋体"/>
                <w:color w:val="000000"/>
                <w:sz w:val="22"/>
              </w:rPr>
            </w:pPr>
          </w:p>
          <w:p>
            <w:pPr>
              <w:jc w:val="center"/>
              <w:rPr>
                <w:rFonts w:hint="eastAsia" w:ascii="宋体" w:hAnsi="宋体"/>
                <w:color w:val="000000"/>
                <w:sz w:val="22"/>
              </w:rPr>
            </w:pPr>
          </w:p>
          <w:p>
            <w:pPr>
              <w:jc w:val="both"/>
              <w:rPr>
                <w:rFonts w:hint="eastAsia" w:ascii="宋体" w:hAnsi="宋体"/>
                <w:color w:val="000000"/>
                <w:sz w:val="22"/>
              </w:rPr>
            </w:pPr>
            <w:r>
              <w:rPr>
                <w:rFonts w:hint="eastAsia" w:ascii="宋体" w:hAnsi="宋体"/>
                <w:color w:val="000000"/>
                <w:sz w:val="22"/>
              </w:rPr>
              <w:t>不收费</w:t>
            </w:r>
          </w:p>
        </w:tc>
      </w:tr>
      <w:tr>
        <w:tblPrEx>
          <w:tblCellMar>
            <w:top w:w="0" w:type="dxa"/>
            <w:left w:w="108" w:type="dxa"/>
            <w:bottom w:w="0" w:type="dxa"/>
            <w:right w:w="108" w:type="dxa"/>
          </w:tblCellMar>
        </w:tblPrEx>
        <w:trPr>
          <w:trHeight w:val="780" w:hRule="atLeast"/>
        </w:trPr>
        <w:tc>
          <w:tcPr>
            <w:tcW w:w="570" w:type="dxa"/>
            <w:vMerge w:val="continue"/>
            <w:tcBorders>
              <w:left w:val="single" w:color="auto" w:sz="6" w:space="0"/>
              <w:right w:val="single" w:color="auto" w:sz="6" w:space="0"/>
            </w:tcBorders>
            <w:noWrap w:val="0"/>
            <w:vAlign w:val="center"/>
          </w:tcPr>
          <w:p>
            <w:pPr>
              <w:jc w:val="left"/>
              <w:rPr>
                <w:rFonts w:hint="eastAsia" w:ascii="宋体" w:hAnsi="宋体"/>
                <w:color w:val="000000"/>
                <w:sz w:val="22"/>
              </w:rPr>
            </w:pPr>
          </w:p>
        </w:tc>
        <w:tc>
          <w:tcPr>
            <w:tcW w:w="688"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60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198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705" w:type="dxa"/>
            <w:tcBorders>
              <w:top w:val="single" w:color="auto" w:sz="4" w:space="0"/>
              <w:left w:val="single" w:color="auto" w:sz="4" w:space="0"/>
              <w:bottom w:val="single" w:color="auto" w:sz="4" w:space="0"/>
              <w:right w:val="single" w:color="auto" w:sz="6" w:space="0"/>
            </w:tcBorders>
            <w:noWrap w:val="0"/>
            <w:vAlign w:val="top"/>
          </w:tcPr>
          <w:p>
            <w:pPr>
              <w:ind w:leftChars="100"/>
              <w:jc w:val="left"/>
              <w:rPr>
                <w:rFonts w:hint="eastAsia" w:ascii="宋体" w:hAnsi="宋体"/>
                <w:color w:val="000000"/>
                <w:sz w:val="22"/>
              </w:rPr>
            </w:pPr>
            <w:r>
              <w:rPr>
                <w:rFonts w:hint="eastAsia" w:ascii="宋体" w:hAnsi="宋体"/>
                <w:color w:val="000000"/>
                <w:sz w:val="22"/>
              </w:rPr>
              <w:t>审查</w:t>
            </w:r>
          </w:p>
        </w:tc>
        <w:tc>
          <w:tcPr>
            <w:tcW w:w="1695" w:type="dxa"/>
            <w:tcBorders>
              <w:top w:val="single" w:color="auto" w:sz="4" w:space="0"/>
              <w:left w:val="nil"/>
              <w:bottom w:val="single" w:color="auto" w:sz="4" w:space="0"/>
              <w:right w:val="nil"/>
            </w:tcBorders>
            <w:noWrap w:val="0"/>
            <w:vAlign w:val="top"/>
          </w:tcPr>
          <w:p>
            <w:pPr>
              <w:jc w:val="left"/>
              <w:rPr>
                <w:rFonts w:hint="eastAsia" w:ascii="宋体" w:hAnsi="宋体"/>
                <w:color w:val="000000"/>
                <w:sz w:val="22"/>
              </w:rPr>
            </w:pPr>
            <w:r>
              <w:rPr>
                <w:rFonts w:hint="eastAsia" w:ascii="宋体" w:hAnsi="宋体"/>
                <w:color w:val="000000"/>
                <w:sz w:val="22"/>
              </w:rPr>
              <w:t>2、审查责任：审查退役士兵档案，提出初审意见，报有关部门。</w:t>
            </w:r>
          </w:p>
        </w:tc>
        <w:tc>
          <w:tcPr>
            <w:tcW w:w="720" w:type="dxa"/>
            <w:tcBorders>
              <w:top w:val="single" w:color="auto" w:sz="4" w:space="0"/>
              <w:left w:val="single" w:color="auto" w:sz="6" w:space="0"/>
              <w:bottom w:val="single" w:color="auto" w:sz="4" w:space="0"/>
              <w:right w:val="single" w:color="auto" w:sz="6" w:space="0"/>
            </w:tcBorders>
            <w:noWrap w:val="0"/>
            <w:vAlign w:val="top"/>
          </w:tcPr>
          <w:p>
            <w:pPr>
              <w:jc w:val="left"/>
              <w:rPr>
                <w:rFonts w:hint="eastAsia" w:ascii="宋体" w:hAnsi="宋体"/>
                <w:color w:val="000000"/>
                <w:sz w:val="22"/>
              </w:rPr>
            </w:pPr>
          </w:p>
        </w:tc>
        <w:tc>
          <w:tcPr>
            <w:tcW w:w="690" w:type="dxa"/>
            <w:tcBorders>
              <w:top w:val="single" w:color="auto" w:sz="4" w:space="0"/>
              <w:left w:val="nil"/>
              <w:bottom w:val="single" w:color="auto" w:sz="4" w:space="0"/>
              <w:right w:val="nil"/>
            </w:tcBorders>
            <w:noWrap w:val="0"/>
            <w:vAlign w:val="center"/>
          </w:tcPr>
          <w:p>
            <w:pPr>
              <w:jc w:val="left"/>
              <w:rPr>
                <w:rFonts w:hint="eastAsia" w:ascii="宋体" w:hAnsi="宋体"/>
                <w:color w:val="000000"/>
                <w:sz w:val="22"/>
              </w:rPr>
            </w:pPr>
          </w:p>
        </w:tc>
        <w:tc>
          <w:tcPr>
            <w:tcW w:w="735" w:type="dxa"/>
            <w:tcBorders>
              <w:top w:val="single" w:color="auto" w:sz="4" w:space="0"/>
              <w:left w:val="single" w:color="auto" w:sz="6" w:space="0"/>
              <w:bottom w:val="single" w:color="auto" w:sz="4" w:space="0"/>
              <w:right w:val="single" w:color="auto" w:sz="4" w:space="0"/>
            </w:tcBorders>
            <w:noWrap w:val="0"/>
            <w:vAlign w:val="top"/>
          </w:tcPr>
          <w:p>
            <w:pPr>
              <w:jc w:val="left"/>
              <w:rPr>
                <w:rFonts w:hint="eastAsia" w:ascii="宋体" w:hAnsi="宋体"/>
                <w:color w:val="000000"/>
                <w:sz w:val="22"/>
              </w:rPr>
            </w:pPr>
          </w:p>
          <w:p>
            <w:pPr>
              <w:jc w:val="left"/>
              <w:rPr>
                <w:rFonts w:hint="eastAsia" w:ascii="宋体" w:hAnsi="宋体"/>
                <w:color w:val="000000"/>
                <w:sz w:val="22"/>
              </w:rPr>
            </w:pPr>
          </w:p>
        </w:tc>
        <w:tc>
          <w:tcPr>
            <w:tcW w:w="1240" w:type="dxa"/>
            <w:vMerge w:val="continue"/>
            <w:tcBorders>
              <w:left w:val="single" w:color="auto" w:sz="4" w:space="0"/>
              <w:right w:val="single" w:color="auto" w:sz="4" w:space="0"/>
            </w:tcBorders>
            <w:noWrap w:val="0"/>
            <w:vAlign w:val="top"/>
          </w:tcPr>
          <w:p>
            <w:pPr>
              <w:jc w:val="left"/>
              <w:rPr>
                <w:rFonts w:hint="eastAsia" w:ascii="宋体" w:hAnsi="宋体"/>
                <w:color w:val="000000"/>
                <w:sz w:val="22"/>
              </w:rPr>
            </w:pPr>
          </w:p>
        </w:tc>
      </w:tr>
      <w:tr>
        <w:tblPrEx>
          <w:tblCellMar>
            <w:top w:w="0" w:type="dxa"/>
            <w:left w:w="108" w:type="dxa"/>
            <w:bottom w:w="0" w:type="dxa"/>
            <w:right w:w="108" w:type="dxa"/>
          </w:tblCellMar>
        </w:tblPrEx>
        <w:trPr>
          <w:trHeight w:val="1399" w:hRule="atLeast"/>
        </w:trPr>
        <w:tc>
          <w:tcPr>
            <w:tcW w:w="57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688"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60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198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705" w:type="dxa"/>
            <w:tcBorders>
              <w:top w:val="single" w:color="auto" w:sz="6" w:space="0"/>
              <w:left w:val="nil"/>
              <w:bottom w:val="single" w:color="auto" w:sz="6" w:space="0"/>
              <w:right w:val="single" w:color="auto" w:sz="6" w:space="0"/>
            </w:tcBorders>
            <w:noWrap w:val="0"/>
            <w:vAlign w:val="top"/>
          </w:tcPr>
          <w:p>
            <w:pPr>
              <w:ind w:leftChars="100"/>
              <w:jc w:val="left"/>
              <w:rPr>
                <w:rFonts w:hint="eastAsia" w:ascii="宋体" w:hAnsi="宋体"/>
                <w:color w:val="000000"/>
                <w:sz w:val="22"/>
              </w:rPr>
            </w:pPr>
            <w:r>
              <w:rPr>
                <w:rFonts w:hint="eastAsia" w:ascii="宋体" w:hAnsi="宋体"/>
                <w:color w:val="000000"/>
                <w:sz w:val="22"/>
              </w:rPr>
              <w:t>决定</w:t>
            </w:r>
          </w:p>
        </w:tc>
        <w:tc>
          <w:tcPr>
            <w:tcW w:w="1695" w:type="dxa"/>
            <w:tcBorders>
              <w:top w:val="single" w:color="auto" w:sz="6" w:space="0"/>
              <w:left w:val="nil"/>
              <w:bottom w:val="single" w:color="auto" w:sz="6" w:space="0"/>
              <w:right w:val="single" w:color="auto" w:sz="6" w:space="0"/>
            </w:tcBorders>
            <w:noWrap w:val="0"/>
            <w:vAlign w:val="top"/>
          </w:tcPr>
          <w:p>
            <w:pPr>
              <w:jc w:val="left"/>
              <w:rPr>
                <w:rFonts w:hint="eastAsia" w:ascii="宋体" w:hAnsi="宋体"/>
                <w:color w:val="000000"/>
                <w:sz w:val="22"/>
              </w:rPr>
            </w:pPr>
            <w:r>
              <w:rPr>
                <w:rFonts w:hint="eastAsia" w:ascii="宋体" w:hAnsi="宋体"/>
                <w:color w:val="000000"/>
                <w:sz w:val="22"/>
              </w:rPr>
              <w:t>3、决定责任：审查享受补贴人员名单，不符合条件的依法告知。</w:t>
            </w:r>
          </w:p>
        </w:tc>
        <w:tc>
          <w:tcPr>
            <w:tcW w:w="720" w:type="dxa"/>
            <w:tcBorders>
              <w:top w:val="single" w:color="auto" w:sz="6" w:space="0"/>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69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color w:val="000000"/>
                <w:sz w:val="22"/>
              </w:rPr>
            </w:pPr>
            <w:r>
              <w:rPr>
                <w:rFonts w:hint="eastAsia" w:ascii="宋体" w:hAnsi="宋体"/>
                <w:color w:val="000000"/>
                <w:sz w:val="22"/>
              </w:rPr>
              <w:t>180日</w:t>
            </w:r>
          </w:p>
        </w:tc>
        <w:tc>
          <w:tcPr>
            <w:tcW w:w="735" w:type="dxa"/>
            <w:tcBorders>
              <w:top w:val="single" w:color="auto" w:sz="6" w:space="0"/>
              <w:left w:val="single" w:color="auto" w:sz="6" w:space="0"/>
              <w:bottom w:val="single" w:color="auto" w:sz="6" w:space="0"/>
              <w:right w:val="single" w:color="auto" w:sz="4" w:space="0"/>
            </w:tcBorders>
            <w:noWrap w:val="0"/>
            <w:vAlign w:val="top"/>
          </w:tcPr>
          <w:p>
            <w:pPr>
              <w:jc w:val="left"/>
              <w:rPr>
                <w:rFonts w:hint="eastAsia" w:ascii="宋体" w:hAnsi="宋体"/>
                <w:color w:val="000000"/>
                <w:sz w:val="22"/>
              </w:rPr>
            </w:pPr>
          </w:p>
        </w:tc>
        <w:tc>
          <w:tcPr>
            <w:tcW w:w="1240" w:type="dxa"/>
            <w:vMerge w:val="continue"/>
            <w:tcBorders>
              <w:left w:val="single" w:color="auto" w:sz="4" w:space="0"/>
              <w:right w:val="single" w:color="auto" w:sz="4" w:space="0"/>
            </w:tcBorders>
            <w:noWrap w:val="0"/>
            <w:vAlign w:val="top"/>
          </w:tcPr>
          <w:p>
            <w:pPr>
              <w:jc w:val="left"/>
              <w:rPr>
                <w:rFonts w:hint="eastAsia" w:ascii="宋体" w:hAnsi="宋体"/>
                <w:color w:val="000000"/>
                <w:sz w:val="22"/>
              </w:rPr>
            </w:pPr>
          </w:p>
        </w:tc>
      </w:tr>
      <w:tr>
        <w:tblPrEx>
          <w:tblCellMar>
            <w:top w:w="0" w:type="dxa"/>
            <w:left w:w="108" w:type="dxa"/>
            <w:bottom w:w="0" w:type="dxa"/>
            <w:right w:w="108" w:type="dxa"/>
          </w:tblCellMar>
        </w:tblPrEx>
        <w:trPr>
          <w:trHeight w:val="840" w:hRule="atLeast"/>
        </w:trPr>
        <w:tc>
          <w:tcPr>
            <w:tcW w:w="57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688"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60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198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705" w:type="dxa"/>
            <w:tcBorders>
              <w:top w:val="single" w:color="auto" w:sz="6" w:space="0"/>
              <w:left w:val="nil"/>
              <w:bottom w:val="nil"/>
              <w:right w:val="single" w:color="auto" w:sz="6" w:space="0"/>
            </w:tcBorders>
            <w:noWrap w:val="0"/>
            <w:vAlign w:val="top"/>
          </w:tcPr>
          <w:p>
            <w:pPr>
              <w:ind w:leftChars="100"/>
              <w:jc w:val="left"/>
              <w:rPr>
                <w:rFonts w:hint="eastAsia" w:ascii="宋体" w:hAnsi="宋体"/>
                <w:color w:val="000000"/>
                <w:sz w:val="22"/>
              </w:rPr>
            </w:pPr>
            <w:r>
              <w:rPr>
                <w:rFonts w:hint="eastAsia" w:ascii="宋体" w:hAnsi="宋体"/>
                <w:color w:val="000000"/>
                <w:sz w:val="22"/>
              </w:rPr>
              <w:t>送达</w:t>
            </w:r>
          </w:p>
        </w:tc>
        <w:tc>
          <w:tcPr>
            <w:tcW w:w="1695" w:type="dxa"/>
            <w:tcBorders>
              <w:top w:val="single" w:color="auto" w:sz="6" w:space="0"/>
              <w:left w:val="nil"/>
              <w:bottom w:val="single" w:color="auto" w:sz="6" w:space="0"/>
              <w:right w:val="single" w:color="auto" w:sz="6" w:space="0"/>
            </w:tcBorders>
            <w:noWrap w:val="0"/>
            <w:vAlign w:val="top"/>
          </w:tcPr>
          <w:p>
            <w:pPr>
              <w:jc w:val="left"/>
              <w:rPr>
                <w:rFonts w:hint="eastAsia" w:ascii="宋体" w:hAnsi="宋体"/>
                <w:color w:val="000000"/>
                <w:sz w:val="22"/>
              </w:rPr>
            </w:pPr>
            <w:r>
              <w:rPr>
                <w:rFonts w:hint="eastAsia" w:ascii="宋体" w:hAnsi="宋体"/>
                <w:color w:val="000000"/>
                <w:sz w:val="22"/>
              </w:rPr>
              <w:t>4、送达责任：通知符合领取补贴本人。</w:t>
            </w:r>
          </w:p>
        </w:tc>
        <w:tc>
          <w:tcPr>
            <w:tcW w:w="720" w:type="dxa"/>
            <w:tcBorders>
              <w:top w:val="single" w:color="auto" w:sz="6" w:space="0"/>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69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color w:val="000000"/>
                <w:sz w:val="22"/>
              </w:rPr>
            </w:pPr>
            <w:r>
              <w:rPr>
                <w:rFonts w:hint="eastAsia" w:ascii="宋体" w:hAnsi="宋体"/>
                <w:color w:val="000000"/>
                <w:sz w:val="22"/>
              </w:rPr>
              <w:t>10日</w:t>
            </w:r>
          </w:p>
        </w:tc>
        <w:tc>
          <w:tcPr>
            <w:tcW w:w="735" w:type="dxa"/>
            <w:tcBorders>
              <w:top w:val="single" w:color="auto" w:sz="6" w:space="0"/>
              <w:left w:val="single" w:color="auto" w:sz="6" w:space="0"/>
              <w:bottom w:val="single" w:color="auto" w:sz="6" w:space="0"/>
              <w:right w:val="single" w:color="auto" w:sz="4" w:space="0"/>
            </w:tcBorders>
            <w:noWrap w:val="0"/>
            <w:vAlign w:val="top"/>
          </w:tcPr>
          <w:p>
            <w:pPr>
              <w:jc w:val="left"/>
              <w:rPr>
                <w:rFonts w:hint="eastAsia" w:ascii="宋体" w:hAnsi="宋体"/>
                <w:color w:val="000000"/>
                <w:sz w:val="22"/>
              </w:rPr>
            </w:pPr>
          </w:p>
        </w:tc>
        <w:tc>
          <w:tcPr>
            <w:tcW w:w="1240" w:type="dxa"/>
            <w:vMerge w:val="continue"/>
            <w:tcBorders>
              <w:left w:val="single" w:color="auto" w:sz="4" w:space="0"/>
              <w:right w:val="single" w:color="auto" w:sz="4" w:space="0"/>
            </w:tcBorders>
            <w:noWrap w:val="0"/>
            <w:vAlign w:val="top"/>
          </w:tcPr>
          <w:p>
            <w:pPr>
              <w:jc w:val="left"/>
              <w:rPr>
                <w:rFonts w:hint="eastAsia" w:ascii="宋体" w:hAnsi="宋体"/>
                <w:color w:val="000000"/>
                <w:sz w:val="22"/>
              </w:rPr>
            </w:pPr>
          </w:p>
        </w:tc>
      </w:tr>
      <w:tr>
        <w:tblPrEx>
          <w:tblCellMar>
            <w:top w:w="0" w:type="dxa"/>
            <w:left w:w="108" w:type="dxa"/>
            <w:bottom w:w="0" w:type="dxa"/>
            <w:right w:w="108" w:type="dxa"/>
          </w:tblCellMar>
        </w:tblPrEx>
        <w:trPr>
          <w:trHeight w:val="720" w:hRule="atLeast"/>
        </w:trPr>
        <w:tc>
          <w:tcPr>
            <w:tcW w:w="57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688"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60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1980" w:type="dxa"/>
            <w:vMerge w:val="continue"/>
            <w:tcBorders>
              <w:left w:val="single" w:color="auto" w:sz="6" w:space="0"/>
              <w:right w:val="single" w:color="auto" w:sz="6" w:space="0"/>
            </w:tcBorders>
            <w:noWrap w:val="0"/>
            <w:vAlign w:val="top"/>
          </w:tcPr>
          <w:p>
            <w:pPr>
              <w:jc w:val="left"/>
              <w:rPr>
                <w:rFonts w:hint="eastAsia" w:ascii="宋体" w:hAnsi="宋体"/>
                <w:color w:val="000000"/>
                <w:sz w:val="22"/>
              </w:rPr>
            </w:pPr>
          </w:p>
        </w:tc>
        <w:tc>
          <w:tcPr>
            <w:tcW w:w="705" w:type="dxa"/>
            <w:tcBorders>
              <w:top w:val="single" w:color="auto" w:sz="6" w:space="0"/>
              <w:left w:val="nil"/>
              <w:bottom w:val="nil"/>
              <w:right w:val="single" w:color="auto" w:sz="6" w:space="0"/>
            </w:tcBorders>
            <w:noWrap w:val="0"/>
            <w:vAlign w:val="top"/>
          </w:tcPr>
          <w:p>
            <w:pPr>
              <w:ind w:leftChars="100"/>
              <w:jc w:val="left"/>
              <w:rPr>
                <w:rFonts w:hint="eastAsia" w:ascii="宋体" w:hAnsi="宋体"/>
                <w:color w:val="000000"/>
                <w:sz w:val="22"/>
              </w:rPr>
            </w:pPr>
            <w:r>
              <w:rPr>
                <w:rFonts w:hint="eastAsia" w:ascii="宋体" w:hAnsi="宋体"/>
                <w:color w:val="000000"/>
                <w:sz w:val="22"/>
              </w:rPr>
              <w:t>事后监管</w:t>
            </w:r>
          </w:p>
        </w:tc>
        <w:tc>
          <w:tcPr>
            <w:tcW w:w="1695" w:type="dxa"/>
            <w:tcBorders>
              <w:top w:val="single" w:color="auto" w:sz="6" w:space="0"/>
              <w:left w:val="nil"/>
              <w:bottom w:val="single" w:color="auto" w:sz="6" w:space="0"/>
              <w:right w:val="single" w:color="auto" w:sz="6" w:space="0"/>
            </w:tcBorders>
            <w:noWrap w:val="0"/>
            <w:vAlign w:val="top"/>
          </w:tcPr>
          <w:p>
            <w:pPr>
              <w:jc w:val="left"/>
              <w:rPr>
                <w:rFonts w:hint="eastAsia" w:ascii="宋体" w:hAnsi="宋体"/>
                <w:color w:val="000000"/>
                <w:sz w:val="22"/>
              </w:rPr>
            </w:pPr>
            <w:r>
              <w:rPr>
                <w:rFonts w:hint="eastAsia" w:ascii="宋体" w:hAnsi="宋体"/>
                <w:color w:val="000000"/>
                <w:sz w:val="22"/>
              </w:rPr>
              <w:t>5、事后监管责任：督促检查落实退役士兵安置经费到位情况。</w:t>
            </w:r>
          </w:p>
        </w:tc>
        <w:tc>
          <w:tcPr>
            <w:tcW w:w="720" w:type="dxa"/>
            <w:tcBorders>
              <w:top w:val="single" w:color="auto" w:sz="6" w:space="0"/>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690" w:type="dxa"/>
            <w:tcBorders>
              <w:top w:val="single" w:color="auto" w:sz="6" w:space="0"/>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735" w:type="dxa"/>
            <w:tcBorders>
              <w:top w:val="single" w:color="auto" w:sz="6" w:space="0"/>
              <w:left w:val="single" w:color="auto" w:sz="6" w:space="0"/>
              <w:bottom w:val="single" w:color="auto" w:sz="6" w:space="0"/>
              <w:right w:val="single" w:color="auto" w:sz="4" w:space="0"/>
            </w:tcBorders>
            <w:noWrap w:val="0"/>
            <w:vAlign w:val="top"/>
          </w:tcPr>
          <w:p>
            <w:pPr>
              <w:jc w:val="left"/>
              <w:rPr>
                <w:rFonts w:hint="eastAsia" w:ascii="宋体" w:hAnsi="宋体"/>
                <w:color w:val="000000"/>
                <w:sz w:val="22"/>
              </w:rPr>
            </w:pPr>
          </w:p>
        </w:tc>
        <w:tc>
          <w:tcPr>
            <w:tcW w:w="1240" w:type="dxa"/>
            <w:vMerge w:val="continue"/>
            <w:tcBorders>
              <w:left w:val="single" w:color="auto" w:sz="4" w:space="0"/>
              <w:right w:val="single" w:color="auto" w:sz="4" w:space="0"/>
            </w:tcBorders>
            <w:noWrap w:val="0"/>
            <w:vAlign w:val="top"/>
          </w:tcPr>
          <w:p>
            <w:pPr>
              <w:jc w:val="left"/>
              <w:rPr>
                <w:rFonts w:hint="eastAsia" w:ascii="宋体" w:hAnsi="宋体"/>
                <w:color w:val="000000"/>
                <w:sz w:val="22"/>
              </w:rPr>
            </w:pPr>
          </w:p>
        </w:tc>
      </w:tr>
      <w:tr>
        <w:tblPrEx>
          <w:tblCellMar>
            <w:top w:w="0" w:type="dxa"/>
            <w:left w:w="108" w:type="dxa"/>
            <w:bottom w:w="0" w:type="dxa"/>
            <w:right w:w="108" w:type="dxa"/>
          </w:tblCellMar>
        </w:tblPrEx>
        <w:trPr>
          <w:trHeight w:val="762" w:hRule="atLeast"/>
        </w:trPr>
        <w:tc>
          <w:tcPr>
            <w:tcW w:w="570" w:type="dxa"/>
            <w:vMerge w:val="continue"/>
            <w:tcBorders>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688" w:type="dxa"/>
            <w:vMerge w:val="continue"/>
            <w:tcBorders>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600" w:type="dxa"/>
            <w:vMerge w:val="continue"/>
            <w:tcBorders>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1980" w:type="dxa"/>
            <w:vMerge w:val="continue"/>
            <w:tcBorders>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705" w:type="dxa"/>
            <w:tcBorders>
              <w:top w:val="single" w:color="auto" w:sz="6" w:space="0"/>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1695" w:type="dxa"/>
            <w:tcBorders>
              <w:top w:val="single" w:color="auto" w:sz="6" w:space="0"/>
              <w:left w:val="nil"/>
              <w:bottom w:val="single" w:color="auto" w:sz="6" w:space="0"/>
              <w:right w:val="single" w:color="auto" w:sz="6" w:space="0"/>
            </w:tcBorders>
            <w:noWrap w:val="0"/>
            <w:vAlign w:val="top"/>
          </w:tcPr>
          <w:p>
            <w:pPr>
              <w:jc w:val="left"/>
              <w:rPr>
                <w:rFonts w:hint="eastAsia" w:ascii="宋体" w:hAnsi="宋体"/>
                <w:color w:val="000000"/>
                <w:sz w:val="22"/>
              </w:rPr>
            </w:pPr>
            <w:r>
              <w:rPr>
                <w:rFonts w:hint="eastAsia" w:ascii="宋体" w:hAnsi="宋体"/>
                <w:color w:val="000000"/>
                <w:sz w:val="22"/>
              </w:rPr>
              <w:t>6、其他法律法规规章文件规定应履行的责任。</w:t>
            </w:r>
          </w:p>
        </w:tc>
        <w:tc>
          <w:tcPr>
            <w:tcW w:w="720" w:type="dxa"/>
            <w:tcBorders>
              <w:top w:val="single" w:color="auto" w:sz="6" w:space="0"/>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690" w:type="dxa"/>
            <w:tcBorders>
              <w:top w:val="single" w:color="auto" w:sz="6" w:space="0"/>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c>
          <w:tcPr>
            <w:tcW w:w="735" w:type="dxa"/>
            <w:tcBorders>
              <w:top w:val="single" w:color="auto" w:sz="6" w:space="0"/>
              <w:left w:val="single" w:color="auto" w:sz="6" w:space="0"/>
              <w:bottom w:val="single" w:color="auto" w:sz="6" w:space="0"/>
              <w:right w:val="single" w:color="auto" w:sz="4" w:space="0"/>
            </w:tcBorders>
            <w:noWrap w:val="0"/>
            <w:vAlign w:val="top"/>
          </w:tcPr>
          <w:p>
            <w:pPr>
              <w:jc w:val="left"/>
              <w:rPr>
                <w:rFonts w:hint="eastAsia" w:ascii="宋体" w:hAnsi="宋体"/>
                <w:color w:val="000000"/>
                <w:sz w:val="22"/>
              </w:rPr>
            </w:pPr>
          </w:p>
        </w:tc>
        <w:tc>
          <w:tcPr>
            <w:tcW w:w="1240" w:type="dxa"/>
            <w:vMerge w:val="continue"/>
            <w:tcBorders>
              <w:left w:val="single" w:color="auto" w:sz="4" w:space="0"/>
              <w:bottom w:val="single" w:color="auto" w:sz="4" w:space="0"/>
              <w:right w:val="single" w:color="auto" w:sz="4" w:space="0"/>
            </w:tcBorders>
            <w:noWrap w:val="0"/>
            <w:vAlign w:val="top"/>
          </w:tcPr>
          <w:p>
            <w:pPr>
              <w:jc w:val="left"/>
              <w:rPr>
                <w:rFonts w:hint="eastAsia" w:ascii="宋体" w:hAnsi="宋体"/>
                <w:color w:val="000000"/>
                <w:sz w:val="22"/>
              </w:rPr>
            </w:pPr>
          </w:p>
        </w:tc>
      </w:tr>
      <w:tr>
        <w:tblPrEx>
          <w:tblCellMar>
            <w:top w:w="0" w:type="dxa"/>
            <w:left w:w="108" w:type="dxa"/>
            <w:bottom w:w="0" w:type="dxa"/>
            <w:right w:w="108" w:type="dxa"/>
          </w:tblCellMar>
        </w:tblPrEx>
        <w:trPr>
          <w:trHeight w:val="439" w:hRule="atLeast"/>
        </w:trPr>
        <w:tc>
          <w:tcPr>
            <w:tcW w:w="8383" w:type="dxa"/>
            <w:gridSpan w:val="9"/>
            <w:tcBorders>
              <w:top w:val="single" w:color="auto" w:sz="6" w:space="0"/>
              <w:left w:val="single" w:color="auto" w:sz="6" w:space="0"/>
              <w:bottom w:val="nil"/>
            </w:tcBorders>
            <w:noWrap w:val="0"/>
            <w:vAlign w:val="top"/>
          </w:tcPr>
          <w:p>
            <w:pPr>
              <w:jc w:val="left"/>
              <w:rPr>
                <w:rFonts w:hint="eastAsia" w:ascii="宋体" w:hAnsi="宋体"/>
                <w:color w:val="000000"/>
                <w:sz w:val="22"/>
              </w:rPr>
            </w:pPr>
            <w:r>
              <w:rPr>
                <w:rFonts w:hint="eastAsia" w:ascii="宋体" w:hAnsi="宋体"/>
                <w:color w:val="000000"/>
                <w:sz w:val="22"/>
              </w:rPr>
              <w:t>服务电话：0394-6822351</w:t>
            </w:r>
          </w:p>
        </w:tc>
        <w:tc>
          <w:tcPr>
            <w:tcW w:w="1240" w:type="dxa"/>
            <w:tcBorders>
              <w:top w:val="single" w:color="auto" w:sz="4" w:space="0"/>
              <w:left w:val="single" w:color="auto" w:sz="6" w:space="0"/>
              <w:bottom w:val="nil"/>
              <w:right w:val="single" w:color="auto" w:sz="6" w:space="0"/>
            </w:tcBorders>
            <w:noWrap w:val="0"/>
            <w:vAlign w:val="top"/>
          </w:tcPr>
          <w:p>
            <w:pPr>
              <w:jc w:val="left"/>
              <w:rPr>
                <w:rFonts w:hint="eastAsia" w:ascii="宋体" w:hAnsi="宋体"/>
                <w:color w:val="000000"/>
                <w:sz w:val="22"/>
              </w:rPr>
            </w:pPr>
          </w:p>
        </w:tc>
      </w:tr>
      <w:tr>
        <w:tblPrEx>
          <w:tblCellMar>
            <w:top w:w="0" w:type="dxa"/>
            <w:left w:w="108" w:type="dxa"/>
            <w:bottom w:w="0" w:type="dxa"/>
            <w:right w:w="108" w:type="dxa"/>
          </w:tblCellMar>
        </w:tblPrEx>
        <w:trPr>
          <w:trHeight w:val="462" w:hRule="atLeast"/>
        </w:trPr>
        <w:tc>
          <w:tcPr>
            <w:tcW w:w="8383" w:type="dxa"/>
            <w:gridSpan w:val="9"/>
            <w:tcBorders>
              <w:top w:val="single" w:color="auto" w:sz="6" w:space="0"/>
              <w:left w:val="single" w:color="auto" w:sz="6" w:space="0"/>
              <w:bottom w:val="single" w:color="auto" w:sz="6" w:space="0"/>
            </w:tcBorders>
            <w:noWrap w:val="0"/>
            <w:vAlign w:val="top"/>
          </w:tcPr>
          <w:p>
            <w:pPr>
              <w:jc w:val="left"/>
              <w:rPr>
                <w:rFonts w:hint="eastAsia" w:ascii="宋体" w:hAnsi="宋体"/>
                <w:color w:val="000000"/>
                <w:sz w:val="22"/>
              </w:rPr>
            </w:pPr>
            <w:r>
              <w:rPr>
                <w:rFonts w:hint="eastAsia" w:ascii="宋体" w:hAnsi="宋体"/>
                <w:color w:val="000000"/>
                <w:sz w:val="22"/>
              </w:rPr>
              <w:t>受理地点：太康县</w:t>
            </w:r>
            <w:r>
              <w:rPr>
                <w:rFonts w:hint="eastAsia" w:ascii="宋体" w:hAnsi="宋体"/>
                <w:color w:val="000000"/>
                <w:sz w:val="22"/>
                <w:lang w:eastAsia="zh-CN"/>
              </w:rPr>
              <w:t>退役军人事务局移交</w:t>
            </w:r>
            <w:r>
              <w:rPr>
                <w:rFonts w:hint="eastAsia" w:ascii="宋体" w:hAnsi="宋体"/>
                <w:color w:val="000000"/>
                <w:sz w:val="22"/>
              </w:rPr>
              <w:t>安置股</w:t>
            </w:r>
          </w:p>
        </w:tc>
        <w:tc>
          <w:tcPr>
            <w:tcW w:w="1240" w:type="dxa"/>
            <w:tcBorders>
              <w:top w:val="single" w:color="auto" w:sz="6" w:space="0"/>
              <w:left w:val="single" w:color="auto" w:sz="6" w:space="0"/>
              <w:bottom w:val="single" w:color="auto" w:sz="6" w:space="0"/>
              <w:right w:val="single" w:color="auto" w:sz="6" w:space="0"/>
            </w:tcBorders>
            <w:noWrap w:val="0"/>
            <w:vAlign w:val="top"/>
          </w:tcPr>
          <w:p>
            <w:pPr>
              <w:jc w:val="left"/>
              <w:rPr>
                <w:rFonts w:hint="eastAsia" w:ascii="宋体" w:hAnsi="宋体"/>
                <w:color w:val="000000"/>
                <w:sz w:val="22"/>
              </w:rPr>
            </w:pPr>
          </w:p>
        </w:tc>
      </w:tr>
    </w:tbl>
    <w:p/>
    <w:p>
      <w:pPr>
        <w:shd w:val="clear" w:fill="FFFFFF" w:themeFill="background1"/>
        <w:rPr>
          <w:rFonts w:hint="eastAsia" w:eastAsia="宋体"/>
          <w:sz w:val="24"/>
          <w:szCs w:val="24"/>
          <w:lang w:eastAsia="zh-CN"/>
        </w:rPr>
      </w:pPr>
      <w:r>
        <w:rPr>
          <w:rFonts w:hint="eastAsia"/>
          <w:sz w:val="24"/>
          <w:szCs w:val="24"/>
          <w:lang w:eastAsia="zh-CN"/>
        </w:rPr>
        <w:t>职权类别：行政确认（</w:t>
      </w:r>
      <w:r>
        <w:rPr>
          <w:rFonts w:hint="eastAsia"/>
          <w:sz w:val="24"/>
          <w:szCs w:val="24"/>
          <w:lang w:val="en-US" w:eastAsia="zh-CN"/>
        </w:rPr>
        <w:t>3项</w:t>
      </w:r>
      <w:r>
        <w:rPr>
          <w:rFonts w:hint="eastAsia"/>
          <w:sz w:val="24"/>
          <w:szCs w:val="24"/>
          <w:lang w:eastAsia="zh-CN"/>
        </w:rPr>
        <w:t>）</w:t>
      </w:r>
      <w:bookmarkStart w:id="0" w:name="_GoBack"/>
      <w:bookmarkEnd w:id="0"/>
    </w:p>
    <w:tbl>
      <w:tblPr>
        <w:tblStyle w:val="4"/>
        <w:tblpPr w:leftFromText="180" w:rightFromText="180" w:vertAnchor="text" w:horzAnchor="page" w:tblpX="1427" w:tblpY="151"/>
        <w:tblOverlap w:val="never"/>
        <w:tblW w:w="9336" w:type="dxa"/>
        <w:tblInd w:w="0" w:type="dxa"/>
        <w:tblLayout w:type="fixed"/>
        <w:tblCellMar>
          <w:top w:w="15" w:type="dxa"/>
          <w:left w:w="15" w:type="dxa"/>
          <w:bottom w:w="15" w:type="dxa"/>
          <w:right w:w="15" w:type="dxa"/>
        </w:tblCellMar>
      </w:tblPr>
      <w:tblGrid>
        <w:gridCol w:w="742"/>
        <w:gridCol w:w="909"/>
        <w:gridCol w:w="459"/>
        <w:gridCol w:w="86"/>
        <w:gridCol w:w="1454"/>
        <w:gridCol w:w="909"/>
        <w:gridCol w:w="182"/>
        <w:gridCol w:w="1091"/>
        <w:gridCol w:w="889"/>
        <w:gridCol w:w="565"/>
        <w:gridCol w:w="727"/>
        <w:gridCol w:w="232"/>
        <w:gridCol w:w="995"/>
        <w:gridCol w:w="96"/>
      </w:tblGrid>
      <w:tr>
        <w:tblPrEx>
          <w:tblCellMar>
            <w:top w:w="15" w:type="dxa"/>
            <w:left w:w="15" w:type="dxa"/>
            <w:bottom w:w="15" w:type="dxa"/>
            <w:right w:w="15" w:type="dxa"/>
          </w:tblCellMar>
        </w:tblPrEx>
        <w:trPr>
          <w:trHeight w:val="769" w:hRule="atLeast"/>
        </w:trPr>
        <w:tc>
          <w:tcPr>
            <w:tcW w:w="742" w:type="dxa"/>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序号</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职权名称</w:t>
            </w:r>
          </w:p>
        </w:tc>
        <w:tc>
          <w:tcPr>
            <w:tcW w:w="545"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子项</w:t>
            </w:r>
          </w:p>
        </w:tc>
        <w:tc>
          <w:tcPr>
            <w:tcW w:w="1454" w:type="dxa"/>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实施</w:t>
            </w:r>
            <w:r>
              <w:rPr>
                <w:rStyle w:val="6"/>
                <w:rFonts w:hint="default" w:hAnsi="宋体"/>
                <w:b w:val="0"/>
                <w:bCs w:val="0"/>
                <w:color w:val="000000" w:themeColor="text1"/>
                <w:lang w:bidi="ar"/>
                <w14:textFill>
                  <w14:solidFill>
                    <w14:schemeClr w14:val="tx1"/>
                  </w14:solidFill>
                </w14:textFill>
              </w:rPr>
              <w:t>依据</w:t>
            </w:r>
          </w:p>
        </w:tc>
        <w:tc>
          <w:tcPr>
            <w:tcW w:w="1091"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办理</w:t>
            </w:r>
            <w:r>
              <w:rPr>
                <w:rStyle w:val="6"/>
                <w:rFonts w:hint="default" w:hAnsi="宋体"/>
                <w:b w:val="0"/>
                <w:bCs w:val="0"/>
                <w:color w:val="000000" w:themeColor="text1"/>
                <w:lang w:bidi="ar"/>
                <w14:textFill>
                  <w14:solidFill>
                    <w14:schemeClr w14:val="tx1"/>
                  </w14:solidFill>
                </w14:textFill>
              </w:rPr>
              <w:t>环节</w:t>
            </w:r>
          </w:p>
        </w:tc>
        <w:tc>
          <w:tcPr>
            <w:tcW w:w="1091" w:type="dxa"/>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责任</w:t>
            </w:r>
            <w:r>
              <w:rPr>
                <w:rStyle w:val="6"/>
                <w:rFonts w:hint="default" w:hAnsi="宋体"/>
                <w:b w:val="0"/>
                <w:bCs w:val="0"/>
                <w:color w:val="000000" w:themeColor="text1"/>
                <w:lang w:bidi="ar"/>
                <w14:textFill>
                  <w14:solidFill>
                    <w14:schemeClr w14:val="tx1"/>
                  </w14:solidFill>
                </w14:textFill>
              </w:rPr>
              <w:t>事项</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责任处室</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承诺时限</w:t>
            </w:r>
          </w:p>
        </w:tc>
        <w:tc>
          <w:tcPr>
            <w:tcW w:w="95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法定时限</w:t>
            </w:r>
          </w:p>
        </w:tc>
        <w:tc>
          <w:tcPr>
            <w:tcW w:w="1091"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收费情况及依据</w:t>
            </w:r>
          </w:p>
        </w:tc>
      </w:tr>
      <w:tr>
        <w:tblPrEx>
          <w:tblCellMar>
            <w:top w:w="15" w:type="dxa"/>
            <w:left w:w="15" w:type="dxa"/>
            <w:bottom w:w="15" w:type="dxa"/>
            <w:right w:w="15" w:type="dxa"/>
          </w:tblCellMar>
        </w:tblPrEx>
        <w:trPr>
          <w:trHeight w:val="3981" w:hRule="atLeast"/>
        </w:trPr>
        <w:tc>
          <w:tcPr>
            <w:tcW w:w="74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ind w:firstLine="220" w:firstLineChars="100"/>
              <w:jc w:val="both"/>
              <w:textAlignment w:val="center"/>
              <w:rPr>
                <w:rFonts w:hint="default" w:ascii="仿宋_GB2312" w:hAnsi="宋体" w:eastAsia="仿宋_GB2312" w:cs="仿宋_GB2312"/>
                <w:b w:val="0"/>
                <w:bCs w:val="0"/>
                <w:color w:val="000000" w:themeColor="text1"/>
                <w:sz w:val="22"/>
                <w:lang w:val="en-US" w:eastAsia="zh-CN"/>
                <w14:textFill>
                  <w14:solidFill>
                    <w14:schemeClr w14:val="tx1"/>
                  </w14:solidFill>
                </w14:textFill>
              </w:rPr>
            </w:pPr>
            <w:r>
              <w:rPr>
                <w:rFonts w:hint="eastAsia" w:ascii="仿宋_GB2312" w:hAnsi="宋体" w:eastAsia="仿宋_GB2312" w:cs="仿宋_GB2312"/>
                <w:b w:val="0"/>
                <w:bCs w:val="0"/>
                <w:color w:val="000000" w:themeColor="text1"/>
                <w:sz w:val="22"/>
                <w:lang w:val="en-US" w:eastAsia="zh-CN"/>
                <w14:textFill>
                  <w14:solidFill>
                    <w14:schemeClr w14:val="tx1"/>
                  </w14:solidFill>
                </w14:textFill>
              </w:rPr>
              <w:t>1</w:t>
            </w:r>
          </w:p>
        </w:tc>
        <w:tc>
          <w:tcPr>
            <w:tcW w:w="90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伤残人员取资、伤残等级调整、带病退伍身份认证</w:t>
            </w:r>
          </w:p>
        </w:tc>
        <w:tc>
          <w:tcPr>
            <w:tcW w:w="545"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无</w:t>
            </w:r>
          </w:p>
        </w:tc>
        <w:tc>
          <w:tcPr>
            <w:tcW w:w="14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 xml:space="preserve">1、《伤残抚恤管理办法》中华人民共和国民政部令第34号 2、民政部关于带病回乡退伍军人认定及待遇问题的通知（民   【2009】166号第51条规定。带病回乡退伍军人是指在服役期间患病，尚未达到评定残疾等级条件并有军队医院证明，从部队退伍的人员。    </w:t>
            </w:r>
          </w:p>
        </w:tc>
        <w:tc>
          <w:tcPr>
            <w:tcW w:w="1091"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受理</w:t>
            </w:r>
          </w:p>
        </w:tc>
        <w:tc>
          <w:tcPr>
            <w:tcW w:w="1091" w:type="dxa"/>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left"/>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1、受理责任：公示依法应当提交的材料；一次性告知补证材料；依法受理或不予受理（不予受理的依法告知理由）。</w:t>
            </w:r>
          </w:p>
        </w:tc>
        <w:tc>
          <w:tcPr>
            <w:tcW w:w="88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太康县</w:t>
            </w:r>
            <w:r>
              <w:rPr>
                <w:rFonts w:hint="eastAsia" w:ascii="仿宋_GB2312" w:hAnsi="宋体" w:eastAsia="仿宋_GB2312" w:cs="仿宋_GB2312"/>
                <w:b w:val="0"/>
                <w:bCs w:val="0"/>
                <w:color w:val="000000" w:themeColor="text1"/>
                <w:kern w:val="0"/>
                <w:sz w:val="22"/>
                <w:lang w:val="en-US" w:eastAsia="zh-CN" w:bidi="ar"/>
                <w14:textFill>
                  <w14:solidFill>
                    <w14:schemeClr w14:val="tx1"/>
                  </w14:solidFill>
                </w14:textFill>
              </w:rPr>
              <w:t>退役军人事务局</w:t>
            </w:r>
            <w:r>
              <w:rPr>
                <w:rFonts w:hint="eastAsia" w:ascii="仿宋_GB2312" w:hAnsi="宋体" w:eastAsia="仿宋_GB2312" w:cs="仿宋_GB2312"/>
                <w:b w:val="0"/>
                <w:bCs w:val="0"/>
                <w:color w:val="000000" w:themeColor="text1"/>
                <w:kern w:val="0"/>
                <w:sz w:val="22"/>
                <w:lang w:bidi="ar"/>
                <w14:textFill>
                  <w14:solidFill>
                    <w14:schemeClr w14:val="tx1"/>
                  </w14:solidFill>
                </w14:textFill>
              </w:rPr>
              <w:t>优抚</w:t>
            </w:r>
            <w:r>
              <w:rPr>
                <w:rFonts w:hint="eastAsia" w:ascii="仿宋_GB2312" w:hAnsi="宋体" w:eastAsia="仿宋_GB2312" w:cs="仿宋_GB2312"/>
                <w:b w:val="0"/>
                <w:bCs w:val="0"/>
                <w:color w:val="000000" w:themeColor="text1"/>
                <w:kern w:val="0"/>
                <w:sz w:val="22"/>
                <w:lang w:val="en-US" w:eastAsia="zh-CN" w:bidi="ar"/>
                <w14:textFill>
                  <w14:solidFill>
                    <w14:schemeClr w14:val="tx1"/>
                  </w14:solidFill>
                </w14:textFill>
              </w:rPr>
              <w:t>和褒扬</w:t>
            </w:r>
            <w:r>
              <w:rPr>
                <w:rFonts w:hint="eastAsia" w:ascii="仿宋_GB2312" w:hAnsi="宋体" w:eastAsia="仿宋_GB2312" w:cs="仿宋_GB2312"/>
                <w:b w:val="0"/>
                <w:bCs w:val="0"/>
                <w:color w:val="000000" w:themeColor="text1"/>
                <w:kern w:val="0"/>
                <w:sz w:val="22"/>
                <w:lang w:bidi="ar"/>
                <w14:textFill>
                  <w14:solidFill>
                    <w14:schemeClr w14:val="tx1"/>
                  </w14:solidFill>
                </w14:textFill>
              </w:rPr>
              <w:t>股</w:t>
            </w:r>
          </w:p>
        </w:tc>
        <w:tc>
          <w:tcPr>
            <w:tcW w:w="56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60个工作日</w:t>
            </w:r>
          </w:p>
        </w:tc>
        <w:tc>
          <w:tcPr>
            <w:tcW w:w="95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按法定时限办理</w:t>
            </w:r>
          </w:p>
        </w:tc>
        <w:tc>
          <w:tcPr>
            <w:tcW w:w="109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hd w:val="clear" w:fill="FFFFFF" w:themeFill="background1"/>
              <w:jc w:val="center"/>
              <w:textAlignment w:val="center"/>
              <w:rPr>
                <w:rFonts w:hint="eastAsia" w:ascii="仿宋_GB2312" w:hAnsi="宋体" w:eastAsia="仿宋_GB2312" w:cs="仿宋_GB2312"/>
                <w:b w:val="0"/>
                <w:bCs w:val="0"/>
                <w:color w:val="000000" w:themeColor="text1"/>
                <w:sz w:val="22"/>
                <w14:textFill>
                  <w14:solidFill>
                    <w14:schemeClr w14:val="tx1"/>
                  </w14:solidFill>
                </w14:textFill>
              </w:rPr>
            </w:pPr>
            <w:r>
              <w:rPr>
                <w:rFonts w:hint="eastAsia" w:ascii="仿宋_GB2312" w:hAnsi="宋体" w:eastAsia="仿宋_GB2312" w:cs="仿宋_GB2312"/>
                <w:b w:val="0"/>
                <w:bCs w:val="0"/>
                <w:color w:val="000000" w:themeColor="text1"/>
                <w:kern w:val="0"/>
                <w:sz w:val="22"/>
                <w:lang w:bidi="ar"/>
                <w14:textFill>
                  <w14:solidFill>
                    <w14:schemeClr w14:val="tx1"/>
                  </w14:solidFill>
                </w14:textFill>
              </w:rPr>
              <w:t>不收费</w:t>
            </w:r>
          </w:p>
        </w:tc>
      </w:tr>
      <w:tr>
        <w:tblPrEx>
          <w:tblCellMar>
            <w:top w:w="15" w:type="dxa"/>
            <w:left w:w="15" w:type="dxa"/>
            <w:bottom w:w="15" w:type="dxa"/>
            <w:right w:w="15" w:type="dxa"/>
          </w:tblCellMar>
        </w:tblPrEx>
        <w:trPr>
          <w:trHeight w:val="2072" w:hRule="atLeast"/>
        </w:trPr>
        <w:tc>
          <w:tcPr>
            <w:tcW w:w="742" w:type="dxa"/>
            <w:vMerge w:val="continue"/>
            <w:tcBorders>
              <w:top w:val="single" w:color="auto" w:sz="4" w:space="0"/>
              <w:left w:val="single" w:color="auto" w:sz="4" w:space="0"/>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909" w:type="dxa"/>
            <w:vMerge w:val="continue"/>
            <w:tcBorders>
              <w:top w:val="single" w:color="auto" w:sz="4" w:space="0"/>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545" w:type="dxa"/>
            <w:gridSpan w:val="2"/>
            <w:vMerge w:val="continue"/>
            <w:tcBorders>
              <w:top w:val="single" w:color="auto" w:sz="4" w:space="0"/>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454" w:type="dxa"/>
            <w:vMerge w:val="continue"/>
            <w:tcBorders>
              <w:top w:val="single" w:color="auto" w:sz="4" w:space="0"/>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091" w:type="dxa"/>
            <w:gridSpan w:val="2"/>
            <w:tcBorders>
              <w:top w:val="single" w:color="auto" w:sz="4" w:space="0"/>
              <w:bottom w:val="single" w:color="000000" w:sz="12" w:space="0"/>
              <w:right w:val="single" w:color="000000" w:sz="12"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审核</w:t>
            </w:r>
          </w:p>
        </w:tc>
        <w:tc>
          <w:tcPr>
            <w:tcW w:w="1091" w:type="dxa"/>
            <w:tcBorders>
              <w:top w:val="single" w:color="auto" w:sz="4" w:space="0"/>
              <w:bottom w:val="single" w:color="000000" w:sz="12" w:space="0"/>
              <w:right w:val="single" w:color="000000" w:sz="12" w:space="0"/>
            </w:tcBorders>
            <w:noWrap w:val="0"/>
            <w:vAlign w:val="center"/>
          </w:tcPr>
          <w:p>
            <w:pPr>
              <w:widowControl/>
              <w:jc w:val="left"/>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审核责任：根据文件规定对所提供的全部材料进行审核。</w:t>
            </w:r>
          </w:p>
        </w:tc>
        <w:tc>
          <w:tcPr>
            <w:tcW w:w="889" w:type="dxa"/>
            <w:vMerge w:val="continue"/>
            <w:tcBorders>
              <w:top w:val="single" w:color="auto" w:sz="4" w:space="0"/>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565" w:type="dxa"/>
            <w:vMerge w:val="continue"/>
            <w:tcBorders>
              <w:top w:val="single" w:color="auto" w:sz="4" w:space="0"/>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959" w:type="dxa"/>
            <w:gridSpan w:val="2"/>
            <w:vMerge w:val="continue"/>
            <w:tcBorders>
              <w:top w:val="single" w:color="auto" w:sz="4" w:space="0"/>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091" w:type="dxa"/>
            <w:gridSpan w:val="2"/>
            <w:vMerge w:val="continue"/>
            <w:tcBorders>
              <w:top w:val="single" w:color="auto" w:sz="4" w:space="0"/>
              <w:bottom w:val="single" w:color="000000" w:sz="12" w:space="0"/>
              <w:right w:val="single" w:color="auto" w:sz="4" w:space="0"/>
            </w:tcBorders>
            <w:noWrap w:val="0"/>
            <w:vAlign w:val="center"/>
          </w:tcPr>
          <w:p>
            <w:pPr>
              <w:jc w:val="center"/>
              <w:rPr>
                <w:rFonts w:hint="eastAsia" w:ascii="仿宋_GB2312" w:hAnsi="宋体" w:eastAsia="仿宋_GB2312" w:cs="仿宋_GB2312"/>
                <w:color w:val="000000"/>
                <w:sz w:val="22"/>
              </w:rPr>
            </w:pPr>
          </w:p>
        </w:tc>
      </w:tr>
      <w:tr>
        <w:tblPrEx>
          <w:tblCellMar>
            <w:top w:w="15" w:type="dxa"/>
            <w:left w:w="15" w:type="dxa"/>
            <w:bottom w:w="15" w:type="dxa"/>
            <w:right w:w="15" w:type="dxa"/>
          </w:tblCellMar>
        </w:tblPrEx>
        <w:trPr>
          <w:trHeight w:val="2022" w:hRule="atLeast"/>
        </w:trPr>
        <w:tc>
          <w:tcPr>
            <w:tcW w:w="742" w:type="dxa"/>
            <w:vMerge w:val="continue"/>
            <w:tcBorders>
              <w:left w:val="single" w:color="auto" w:sz="4" w:space="0"/>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909"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545" w:type="dxa"/>
            <w:gridSpan w:val="2"/>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454"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091" w:type="dxa"/>
            <w:gridSpan w:val="2"/>
            <w:tcBorders>
              <w:bottom w:val="single" w:color="000000" w:sz="12" w:space="0"/>
              <w:right w:val="single" w:color="000000" w:sz="12"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决定</w:t>
            </w:r>
          </w:p>
        </w:tc>
        <w:tc>
          <w:tcPr>
            <w:tcW w:w="1091" w:type="dxa"/>
            <w:tcBorders>
              <w:bottom w:val="single" w:color="000000" w:sz="12" w:space="0"/>
              <w:right w:val="single" w:color="000000" w:sz="12" w:space="0"/>
            </w:tcBorders>
            <w:noWrap w:val="0"/>
            <w:vAlign w:val="center"/>
          </w:tcPr>
          <w:p>
            <w:pPr>
              <w:widowControl/>
              <w:jc w:val="left"/>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3、决定责任：根据申请人提供的有关材料，决定是否呈报。</w:t>
            </w:r>
          </w:p>
        </w:tc>
        <w:tc>
          <w:tcPr>
            <w:tcW w:w="889"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565"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959" w:type="dxa"/>
            <w:gridSpan w:val="2"/>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091" w:type="dxa"/>
            <w:gridSpan w:val="2"/>
            <w:vMerge w:val="continue"/>
            <w:tcBorders>
              <w:bottom w:val="single" w:color="000000" w:sz="12" w:space="0"/>
              <w:right w:val="single" w:color="auto" w:sz="4" w:space="0"/>
            </w:tcBorders>
            <w:noWrap w:val="0"/>
            <w:vAlign w:val="center"/>
          </w:tcPr>
          <w:p>
            <w:pPr>
              <w:jc w:val="center"/>
              <w:rPr>
                <w:rFonts w:hint="eastAsia" w:ascii="仿宋_GB2312" w:hAnsi="宋体" w:eastAsia="仿宋_GB2312" w:cs="仿宋_GB2312"/>
                <w:color w:val="000000"/>
                <w:sz w:val="22"/>
              </w:rPr>
            </w:pPr>
          </w:p>
        </w:tc>
      </w:tr>
      <w:tr>
        <w:tblPrEx>
          <w:tblCellMar>
            <w:top w:w="15" w:type="dxa"/>
            <w:left w:w="15" w:type="dxa"/>
            <w:bottom w:w="15" w:type="dxa"/>
            <w:right w:w="15" w:type="dxa"/>
          </w:tblCellMar>
        </w:tblPrEx>
        <w:trPr>
          <w:trHeight w:val="1695" w:hRule="atLeast"/>
        </w:trPr>
        <w:tc>
          <w:tcPr>
            <w:tcW w:w="742" w:type="dxa"/>
            <w:vMerge w:val="continue"/>
            <w:tcBorders>
              <w:left w:val="single" w:color="auto" w:sz="4" w:space="0"/>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909"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545" w:type="dxa"/>
            <w:gridSpan w:val="2"/>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454"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091" w:type="dxa"/>
            <w:gridSpan w:val="2"/>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091" w:type="dxa"/>
            <w:tcBorders>
              <w:bottom w:val="single" w:color="000000" w:sz="12" w:space="0"/>
              <w:right w:val="single" w:color="000000" w:sz="12" w:space="0"/>
            </w:tcBorders>
            <w:noWrap w:val="0"/>
            <w:vAlign w:val="center"/>
          </w:tcPr>
          <w:p>
            <w:pPr>
              <w:widowControl/>
              <w:jc w:val="left"/>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4、其他法律法规规章文件规定应履行的责任</w:t>
            </w:r>
          </w:p>
        </w:tc>
        <w:tc>
          <w:tcPr>
            <w:tcW w:w="889"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565"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959" w:type="dxa"/>
            <w:gridSpan w:val="2"/>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091" w:type="dxa"/>
            <w:gridSpan w:val="2"/>
            <w:vMerge w:val="continue"/>
            <w:tcBorders>
              <w:bottom w:val="single" w:color="000000" w:sz="12" w:space="0"/>
              <w:right w:val="single" w:color="auto" w:sz="4" w:space="0"/>
            </w:tcBorders>
            <w:noWrap w:val="0"/>
            <w:vAlign w:val="center"/>
          </w:tcPr>
          <w:p>
            <w:pPr>
              <w:jc w:val="center"/>
              <w:rPr>
                <w:rFonts w:hint="eastAsia" w:ascii="仿宋_GB2312" w:hAnsi="宋体" w:eastAsia="仿宋_GB2312" w:cs="仿宋_GB2312"/>
                <w:color w:val="000000"/>
                <w:sz w:val="22"/>
              </w:rPr>
            </w:pPr>
          </w:p>
        </w:tc>
      </w:tr>
      <w:tr>
        <w:tblPrEx>
          <w:tblCellMar>
            <w:top w:w="15" w:type="dxa"/>
            <w:left w:w="15" w:type="dxa"/>
            <w:bottom w:w="15" w:type="dxa"/>
            <w:right w:w="15" w:type="dxa"/>
          </w:tblCellMar>
        </w:tblPrEx>
        <w:trPr>
          <w:trHeight w:val="753" w:hRule="atLeast"/>
        </w:trPr>
        <w:tc>
          <w:tcPr>
            <w:tcW w:w="742" w:type="dxa"/>
            <w:vMerge w:val="continue"/>
            <w:tcBorders>
              <w:left w:val="single" w:color="auto" w:sz="4" w:space="0"/>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909"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545" w:type="dxa"/>
            <w:gridSpan w:val="2"/>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454"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091" w:type="dxa"/>
            <w:gridSpan w:val="2"/>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091" w:type="dxa"/>
            <w:tcBorders>
              <w:bottom w:val="single" w:color="000000" w:sz="12" w:space="0"/>
              <w:right w:val="single" w:color="000000" w:sz="12" w:space="0"/>
            </w:tcBorders>
            <w:noWrap w:val="0"/>
            <w:vAlign w:val="center"/>
          </w:tcPr>
          <w:p>
            <w:pPr>
              <w:jc w:val="left"/>
              <w:rPr>
                <w:rFonts w:hint="eastAsia" w:ascii="仿宋_GB2312" w:hAnsi="宋体" w:eastAsia="仿宋_GB2312" w:cs="仿宋_GB2312"/>
                <w:color w:val="000000"/>
                <w:sz w:val="22"/>
              </w:rPr>
            </w:pPr>
          </w:p>
        </w:tc>
        <w:tc>
          <w:tcPr>
            <w:tcW w:w="889"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565" w:type="dxa"/>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959" w:type="dxa"/>
            <w:gridSpan w:val="2"/>
            <w:vMerge w:val="continue"/>
            <w:tcBorders>
              <w:bottom w:val="single" w:color="000000" w:sz="12" w:space="0"/>
              <w:right w:val="single" w:color="000000" w:sz="12" w:space="0"/>
            </w:tcBorders>
            <w:noWrap w:val="0"/>
            <w:vAlign w:val="center"/>
          </w:tcPr>
          <w:p>
            <w:pPr>
              <w:jc w:val="center"/>
              <w:rPr>
                <w:rFonts w:hint="eastAsia" w:ascii="仿宋_GB2312" w:hAnsi="宋体" w:eastAsia="仿宋_GB2312" w:cs="仿宋_GB2312"/>
                <w:color w:val="000000"/>
                <w:sz w:val="22"/>
              </w:rPr>
            </w:pPr>
          </w:p>
        </w:tc>
        <w:tc>
          <w:tcPr>
            <w:tcW w:w="1091" w:type="dxa"/>
            <w:gridSpan w:val="2"/>
            <w:vMerge w:val="continue"/>
            <w:tcBorders>
              <w:bottom w:val="single" w:color="000000" w:sz="12" w:space="0"/>
              <w:right w:val="single" w:color="auto" w:sz="4" w:space="0"/>
            </w:tcBorders>
            <w:noWrap w:val="0"/>
            <w:vAlign w:val="center"/>
          </w:tcPr>
          <w:p>
            <w:pPr>
              <w:jc w:val="center"/>
              <w:rPr>
                <w:rFonts w:hint="eastAsia" w:ascii="仿宋_GB2312" w:hAnsi="宋体" w:eastAsia="仿宋_GB2312" w:cs="仿宋_GB2312"/>
                <w:color w:val="000000"/>
                <w:sz w:val="22"/>
              </w:rPr>
            </w:pPr>
          </w:p>
        </w:tc>
      </w:tr>
      <w:tr>
        <w:tblPrEx>
          <w:tblCellMar>
            <w:top w:w="15" w:type="dxa"/>
            <w:left w:w="15" w:type="dxa"/>
            <w:bottom w:w="15" w:type="dxa"/>
            <w:right w:w="15" w:type="dxa"/>
          </w:tblCellMar>
        </w:tblPrEx>
        <w:trPr>
          <w:gridAfter w:val="1"/>
          <w:wAfter w:w="96" w:type="dxa"/>
          <w:trHeight w:val="1695" w:hRule="atLeast"/>
        </w:trPr>
        <w:tc>
          <w:tcPr>
            <w:tcW w:w="9240" w:type="dxa"/>
            <w:gridSpan w:val="13"/>
            <w:noWrap w:val="0"/>
            <w:vAlign w:val="center"/>
          </w:tcPr>
          <w:p>
            <w:pPr>
              <w:widowControl/>
              <w:tabs>
                <w:tab w:val="left" w:pos="770"/>
              </w:tabs>
              <w:jc w:val="left"/>
              <w:textAlignment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ab/>
            </w:r>
          </w:p>
          <w:p>
            <w:pPr>
              <w:widowControl/>
              <w:jc w:val="left"/>
              <w:textAlignment w:val="center"/>
              <w:rPr>
                <w:rFonts w:hint="eastAsia"/>
                <w:sz w:val="28"/>
                <w:szCs w:val="28"/>
                <w:lang w:eastAsia="zh-CN"/>
              </w:rPr>
            </w:pPr>
            <w:r>
              <w:rPr>
                <w:rFonts w:hint="eastAsia"/>
                <w:sz w:val="21"/>
                <w:szCs w:val="21"/>
                <w:lang w:eastAsia="zh-CN"/>
              </w:rPr>
              <w:t>职权类别：行政确认</w:t>
            </w:r>
          </w:p>
        </w:tc>
      </w:tr>
      <w:tr>
        <w:tblPrEx>
          <w:tblCellMar>
            <w:top w:w="15" w:type="dxa"/>
            <w:left w:w="15" w:type="dxa"/>
            <w:bottom w:w="15" w:type="dxa"/>
            <w:right w:w="15" w:type="dxa"/>
          </w:tblCellMar>
        </w:tblPrEx>
        <w:trPr>
          <w:gridAfter w:val="1"/>
          <w:wAfter w:w="96" w:type="dxa"/>
          <w:trHeight w:val="695" w:hRule="atLeast"/>
        </w:trPr>
        <w:tc>
          <w:tcPr>
            <w:tcW w:w="74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序号</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职权名称</w:t>
            </w:r>
          </w:p>
        </w:tc>
        <w:tc>
          <w:tcPr>
            <w:tcW w:w="459"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子项</w:t>
            </w:r>
          </w:p>
        </w:tc>
        <w:tc>
          <w:tcPr>
            <w:tcW w:w="154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实施</w:t>
            </w:r>
            <w:r>
              <w:rPr>
                <w:rStyle w:val="6"/>
                <w:rFonts w:hint="default" w:hAnsi="宋体"/>
                <w:lang w:bidi="ar"/>
              </w:rPr>
              <w:t>依据</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办理</w:t>
            </w:r>
            <w:r>
              <w:rPr>
                <w:rStyle w:val="6"/>
                <w:rFonts w:hint="default" w:hAnsi="宋体"/>
                <w:lang w:bidi="ar"/>
              </w:rPr>
              <w:t>环节</w:t>
            </w:r>
          </w:p>
        </w:tc>
        <w:tc>
          <w:tcPr>
            <w:tcW w:w="127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责任</w:t>
            </w:r>
            <w:r>
              <w:rPr>
                <w:rStyle w:val="6"/>
                <w:rFonts w:hint="default" w:hAnsi="宋体"/>
                <w:lang w:bidi="ar"/>
              </w:rPr>
              <w:t>事项</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责任处室</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承诺时限</w:t>
            </w:r>
          </w:p>
        </w:tc>
        <w:tc>
          <w:tcPr>
            <w:tcW w:w="72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法定时限</w:t>
            </w:r>
          </w:p>
        </w:tc>
        <w:tc>
          <w:tcPr>
            <w:tcW w:w="122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收费情况及依据</w:t>
            </w:r>
          </w:p>
        </w:tc>
      </w:tr>
      <w:tr>
        <w:tblPrEx>
          <w:tblCellMar>
            <w:top w:w="15" w:type="dxa"/>
            <w:left w:w="15" w:type="dxa"/>
            <w:bottom w:w="15" w:type="dxa"/>
            <w:right w:w="15" w:type="dxa"/>
          </w:tblCellMar>
        </w:tblPrEx>
        <w:trPr>
          <w:gridAfter w:val="1"/>
          <w:wAfter w:w="96" w:type="dxa"/>
          <w:trHeight w:val="2001" w:hRule="atLeast"/>
        </w:trPr>
        <w:tc>
          <w:tcPr>
            <w:tcW w:w="74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lang w:eastAsia="zh-CN"/>
              </w:rPr>
            </w:pPr>
            <w:r>
              <w:rPr>
                <w:rFonts w:hint="eastAsia" w:ascii="仿宋_GB2312" w:hAnsi="宋体" w:eastAsia="仿宋_GB2312" w:cs="仿宋_GB2312"/>
                <w:color w:val="000000"/>
                <w:kern w:val="0"/>
                <w:sz w:val="22"/>
                <w:lang w:val="en-US" w:eastAsia="zh-CN" w:bidi="ar"/>
              </w:rPr>
              <w:t>2</w:t>
            </w:r>
          </w:p>
        </w:tc>
        <w:tc>
          <w:tcPr>
            <w:tcW w:w="90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60岁以上农村籍退役士兵认证</w:t>
            </w:r>
          </w:p>
        </w:tc>
        <w:tc>
          <w:tcPr>
            <w:tcW w:w="45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无</w:t>
            </w:r>
          </w:p>
        </w:tc>
        <w:tc>
          <w:tcPr>
            <w:tcW w:w="154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1、河南省民政厅关于落实给部分农村籍退役士兵发放老年生活补助政策的实施意见（豫民文【2011】238号文第一条。 1954年11月1日试行义务兵役制后至《退役士兵安置条例》实施前入伍，年龄在60周岁以上（含60周岁）、未享受到国家定期抚恤补助的农村籍退役士兵。</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受理</w:t>
            </w:r>
          </w:p>
        </w:tc>
        <w:tc>
          <w:tcPr>
            <w:tcW w:w="127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1、受理责任：依法依规对申请材料进行告知补证材料，依法受理或不受理。</w:t>
            </w:r>
          </w:p>
        </w:tc>
        <w:tc>
          <w:tcPr>
            <w:tcW w:w="88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太康县</w:t>
            </w:r>
            <w:r>
              <w:rPr>
                <w:rFonts w:hint="eastAsia" w:ascii="仿宋_GB2312" w:hAnsi="宋体" w:eastAsia="仿宋_GB2312" w:cs="仿宋_GB2312"/>
                <w:color w:val="000000"/>
                <w:kern w:val="0"/>
                <w:sz w:val="22"/>
                <w:lang w:val="en-US" w:eastAsia="zh-CN" w:bidi="ar"/>
              </w:rPr>
              <w:t>退役军人事务局</w:t>
            </w:r>
            <w:r>
              <w:rPr>
                <w:rFonts w:hint="eastAsia" w:ascii="仿宋_GB2312" w:hAnsi="宋体" w:eastAsia="仿宋_GB2312" w:cs="仿宋_GB2312"/>
                <w:color w:val="000000"/>
                <w:kern w:val="0"/>
                <w:sz w:val="22"/>
                <w:lang w:bidi="ar"/>
              </w:rPr>
              <w:t>优抚</w:t>
            </w:r>
            <w:r>
              <w:rPr>
                <w:rFonts w:hint="eastAsia" w:ascii="仿宋_GB2312" w:hAnsi="宋体" w:eastAsia="仿宋_GB2312" w:cs="仿宋_GB2312"/>
                <w:color w:val="000000"/>
                <w:kern w:val="0"/>
                <w:sz w:val="22"/>
                <w:lang w:val="en-US" w:eastAsia="zh-CN" w:bidi="ar"/>
              </w:rPr>
              <w:t>和褒扬</w:t>
            </w:r>
            <w:r>
              <w:rPr>
                <w:rFonts w:hint="eastAsia" w:ascii="仿宋_GB2312" w:hAnsi="宋体" w:eastAsia="仿宋_GB2312" w:cs="仿宋_GB2312"/>
                <w:color w:val="000000"/>
                <w:kern w:val="0"/>
                <w:sz w:val="22"/>
                <w:lang w:bidi="ar"/>
              </w:rPr>
              <w:t>股</w:t>
            </w:r>
          </w:p>
        </w:tc>
        <w:tc>
          <w:tcPr>
            <w:tcW w:w="56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5个工作日</w:t>
            </w:r>
          </w:p>
        </w:tc>
        <w:tc>
          <w:tcPr>
            <w:tcW w:w="72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按法定时限办理</w:t>
            </w:r>
          </w:p>
        </w:tc>
        <w:tc>
          <w:tcPr>
            <w:tcW w:w="122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不收费</w:t>
            </w:r>
          </w:p>
        </w:tc>
      </w:tr>
      <w:tr>
        <w:tblPrEx>
          <w:tblCellMar>
            <w:top w:w="15" w:type="dxa"/>
            <w:left w:w="15" w:type="dxa"/>
            <w:bottom w:w="15" w:type="dxa"/>
            <w:right w:w="15" w:type="dxa"/>
          </w:tblCellMar>
        </w:tblPrEx>
        <w:trPr>
          <w:gridAfter w:val="1"/>
          <w:wAfter w:w="96" w:type="dxa"/>
          <w:trHeight w:val="1706" w:hRule="atLeast"/>
        </w:trPr>
        <w:tc>
          <w:tcPr>
            <w:tcW w:w="74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90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45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5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审核</w:t>
            </w:r>
          </w:p>
        </w:tc>
        <w:tc>
          <w:tcPr>
            <w:tcW w:w="127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2、审核责任：根据政策规定对所提供材料认真审核。</w:t>
            </w:r>
          </w:p>
        </w:tc>
        <w:tc>
          <w:tcPr>
            <w:tcW w:w="88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56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22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r>
      <w:tr>
        <w:tblPrEx>
          <w:tblCellMar>
            <w:top w:w="15" w:type="dxa"/>
            <w:left w:w="15" w:type="dxa"/>
            <w:bottom w:w="15" w:type="dxa"/>
            <w:right w:w="15" w:type="dxa"/>
          </w:tblCellMar>
        </w:tblPrEx>
        <w:trPr>
          <w:gridAfter w:val="1"/>
          <w:wAfter w:w="96" w:type="dxa"/>
          <w:trHeight w:val="2001" w:hRule="atLeast"/>
        </w:trPr>
        <w:tc>
          <w:tcPr>
            <w:tcW w:w="74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90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45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5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决定</w:t>
            </w:r>
          </w:p>
        </w:tc>
        <w:tc>
          <w:tcPr>
            <w:tcW w:w="127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3、对符合享受待遇条件的，编制预算，向领导汇报，由同级财政拨付经费。</w:t>
            </w:r>
          </w:p>
        </w:tc>
        <w:tc>
          <w:tcPr>
            <w:tcW w:w="88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56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22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r>
      <w:tr>
        <w:tblPrEx>
          <w:tblCellMar>
            <w:top w:w="15" w:type="dxa"/>
            <w:left w:w="15" w:type="dxa"/>
            <w:bottom w:w="15" w:type="dxa"/>
            <w:right w:w="15" w:type="dxa"/>
          </w:tblCellMar>
        </w:tblPrEx>
        <w:trPr>
          <w:gridAfter w:val="1"/>
          <w:wAfter w:w="96" w:type="dxa"/>
          <w:trHeight w:val="1674" w:hRule="atLeast"/>
        </w:trPr>
        <w:tc>
          <w:tcPr>
            <w:tcW w:w="74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90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45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5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归档</w:t>
            </w:r>
          </w:p>
        </w:tc>
        <w:tc>
          <w:tcPr>
            <w:tcW w:w="127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4、将全部材料录入信息库扫描相关资料，统一归档。</w:t>
            </w:r>
          </w:p>
        </w:tc>
        <w:tc>
          <w:tcPr>
            <w:tcW w:w="88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56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22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r>
      <w:tr>
        <w:tblPrEx>
          <w:tblCellMar>
            <w:top w:w="15" w:type="dxa"/>
            <w:left w:w="15" w:type="dxa"/>
            <w:bottom w:w="15" w:type="dxa"/>
            <w:right w:w="15" w:type="dxa"/>
          </w:tblCellMar>
        </w:tblPrEx>
        <w:trPr>
          <w:gridAfter w:val="1"/>
          <w:wAfter w:w="96" w:type="dxa"/>
          <w:trHeight w:val="983" w:hRule="atLeast"/>
        </w:trPr>
        <w:tc>
          <w:tcPr>
            <w:tcW w:w="74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90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45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5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273"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仿宋_GB2312"/>
                <w:color w:val="000000"/>
                <w:sz w:val="22"/>
              </w:rPr>
            </w:pPr>
          </w:p>
        </w:tc>
        <w:tc>
          <w:tcPr>
            <w:tcW w:w="88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56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22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r>
      <w:tr>
        <w:tblPrEx>
          <w:tblCellMar>
            <w:top w:w="15" w:type="dxa"/>
            <w:left w:w="15" w:type="dxa"/>
            <w:bottom w:w="15" w:type="dxa"/>
            <w:right w:w="15" w:type="dxa"/>
          </w:tblCellMar>
        </w:tblPrEx>
        <w:trPr>
          <w:gridAfter w:val="1"/>
          <w:wAfter w:w="96" w:type="dxa"/>
          <w:trHeight w:val="450" w:hRule="atLeast"/>
        </w:trPr>
        <w:tc>
          <w:tcPr>
            <w:tcW w:w="74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90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45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5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27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88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56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c>
          <w:tcPr>
            <w:tcW w:w="122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仿宋_GB2312"/>
                <w:color w:val="000000"/>
                <w:sz w:val="22"/>
              </w:rPr>
            </w:pPr>
          </w:p>
        </w:tc>
      </w:tr>
      <w:tr>
        <w:tblPrEx>
          <w:tblCellMar>
            <w:top w:w="15" w:type="dxa"/>
            <w:left w:w="15" w:type="dxa"/>
            <w:bottom w:w="15" w:type="dxa"/>
            <w:right w:w="15" w:type="dxa"/>
          </w:tblCellMar>
        </w:tblPrEx>
        <w:trPr>
          <w:gridAfter w:val="1"/>
          <w:wAfter w:w="96" w:type="dxa"/>
          <w:trHeight w:val="418" w:hRule="atLeast"/>
        </w:trPr>
        <w:tc>
          <w:tcPr>
            <w:tcW w:w="9240" w:type="dxa"/>
            <w:gridSpan w:val="13"/>
            <w:tcBorders>
              <w:top w:val="single" w:color="auto" w:sz="4" w:space="0"/>
              <w:left w:val="single" w:color="auto" w:sz="4" w:space="0"/>
              <w:bottom w:val="single" w:color="auto" w:sz="4" w:space="0"/>
              <w:right w:val="single" w:color="auto" w:sz="4" w:space="0"/>
            </w:tcBorders>
            <w:noWrap w:val="0"/>
            <w:vAlign w:val="center"/>
          </w:tcPr>
          <w:p>
            <w:pPr>
              <w:widowControl/>
              <w:textAlignment w:val="center"/>
              <w:rPr>
                <w:rFonts w:hint="eastAsia" w:ascii="仿宋_GB2312" w:hAnsi="宋体" w:eastAsia="仿宋_GB2312" w:cs="仿宋_GB2312"/>
                <w:color w:val="000000"/>
                <w:sz w:val="22"/>
              </w:rPr>
            </w:pPr>
            <w:r>
              <w:rPr>
                <w:rFonts w:hint="eastAsia" w:ascii="仿宋_GB2312" w:hAnsi="黑体" w:eastAsia="仿宋_GB2312" w:cs="宋体"/>
                <w:sz w:val="22"/>
              </w:rPr>
              <w:t>服务电话：0394-</w:t>
            </w:r>
            <w:r>
              <w:rPr>
                <w:rFonts w:hint="eastAsia" w:ascii="仿宋_GB2312" w:hAnsi="黑体" w:eastAsia="仿宋_GB2312" w:cs="宋体"/>
                <w:sz w:val="22"/>
                <w:lang w:val="en-US" w:eastAsia="zh-CN"/>
              </w:rPr>
              <w:t xml:space="preserve">6865199 </w:t>
            </w:r>
            <w:r>
              <w:rPr>
                <w:rFonts w:hint="eastAsia" w:ascii="仿宋_GB2312" w:hAnsi="黑体" w:eastAsia="仿宋_GB2312" w:cs="宋体"/>
                <w:sz w:val="22"/>
              </w:rPr>
              <w:t>投诉机构：太康县</w:t>
            </w:r>
            <w:r>
              <w:rPr>
                <w:rFonts w:hint="eastAsia" w:ascii="仿宋_GB2312" w:hAnsi="黑体" w:eastAsia="仿宋_GB2312" w:cs="宋体"/>
                <w:sz w:val="22"/>
                <w:lang w:val="en-US" w:eastAsia="zh-CN"/>
              </w:rPr>
              <w:t>退役军人事务局</w:t>
            </w:r>
            <w:r>
              <w:rPr>
                <w:rFonts w:hint="eastAsia" w:ascii="仿宋_GB2312" w:hAnsi="黑体" w:eastAsia="仿宋_GB2312" w:cs="宋体"/>
                <w:sz w:val="22"/>
              </w:rPr>
              <w:t xml:space="preserve">       投诉电话：0394-68</w:t>
            </w:r>
            <w:r>
              <w:rPr>
                <w:rFonts w:hint="eastAsia" w:ascii="仿宋_GB2312" w:hAnsi="黑体" w:eastAsia="仿宋_GB2312" w:cs="宋体"/>
                <w:sz w:val="22"/>
                <w:lang w:val="en-US" w:eastAsia="zh-CN"/>
              </w:rPr>
              <w:t>67567</w:t>
            </w:r>
            <w:r>
              <w:rPr>
                <w:rFonts w:hint="eastAsia" w:ascii="仿宋_GB2312" w:hAnsi="宋体" w:eastAsia="仿宋_GB2312" w:cs="仿宋_GB2312"/>
                <w:color w:val="000000"/>
                <w:kern w:val="0"/>
                <w:sz w:val="22"/>
                <w:lang w:bidi="ar"/>
              </w:rPr>
              <w:t xml:space="preserve">  </w:t>
            </w:r>
          </w:p>
        </w:tc>
      </w:tr>
      <w:tr>
        <w:tblPrEx>
          <w:tblCellMar>
            <w:top w:w="15" w:type="dxa"/>
            <w:left w:w="15" w:type="dxa"/>
            <w:bottom w:w="15" w:type="dxa"/>
            <w:right w:w="15" w:type="dxa"/>
          </w:tblCellMar>
        </w:tblPrEx>
        <w:trPr>
          <w:gridAfter w:val="1"/>
          <w:wAfter w:w="96" w:type="dxa"/>
          <w:trHeight w:val="444" w:hRule="atLeast"/>
        </w:trPr>
        <w:tc>
          <w:tcPr>
            <w:tcW w:w="9240" w:type="dxa"/>
            <w:gridSpan w:val="13"/>
            <w:tcBorders>
              <w:top w:val="single" w:color="auto" w:sz="4" w:space="0"/>
              <w:left w:val="single" w:color="auto" w:sz="4" w:space="0"/>
              <w:bottom w:val="single" w:color="auto" w:sz="4" w:space="0"/>
              <w:right w:val="single" w:color="auto" w:sz="4" w:space="0"/>
            </w:tcBorders>
            <w:noWrap w:val="0"/>
            <w:vAlign w:val="center"/>
          </w:tcPr>
          <w:p>
            <w:pPr>
              <w:widowControl/>
              <w:textAlignment w:val="center"/>
              <w:rPr>
                <w:rFonts w:hint="eastAsia" w:ascii="仿宋_GB2312" w:hAnsi="宋体" w:eastAsia="仿宋_GB2312" w:cs="仿宋_GB2312"/>
                <w:color w:val="000000"/>
                <w:sz w:val="22"/>
              </w:rPr>
            </w:pPr>
            <w:r>
              <w:rPr>
                <w:rFonts w:hint="eastAsia" w:ascii="仿宋_GB2312" w:hAnsi="宋体" w:eastAsia="仿宋_GB2312" w:cs="仿宋_GB2312"/>
                <w:color w:val="000000"/>
                <w:kern w:val="0"/>
                <w:sz w:val="22"/>
                <w:lang w:bidi="ar"/>
              </w:rPr>
              <w:t xml:space="preserve">受理地点： </w:t>
            </w:r>
            <w:r>
              <w:rPr>
                <w:rFonts w:hint="eastAsia" w:ascii="仿宋_GB2312" w:hAnsi="黑体" w:eastAsia="仿宋_GB2312" w:cs="宋体"/>
                <w:sz w:val="22"/>
              </w:rPr>
              <w:t>太康县城关镇</w:t>
            </w:r>
            <w:r>
              <w:rPr>
                <w:rFonts w:hint="eastAsia" w:ascii="仿宋_GB2312" w:hAnsi="黑体" w:eastAsia="仿宋_GB2312" w:cs="宋体"/>
                <w:sz w:val="22"/>
                <w:lang w:val="en-US" w:eastAsia="zh-CN"/>
              </w:rPr>
              <w:t>谢安中段退役军人事务局</w:t>
            </w:r>
          </w:p>
        </w:tc>
      </w:tr>
    </w:tbl>
    <w:p>
      <w:pPr>
        <w:rPr>
          <w:rFonts w:hint="eastAsia"/>
        </w:rPr>
      </w:pPr>
    </w:p>
    <w:p/>
    <w:p/>
    <w:p/>
    <w:tbl>
      <w:tblPr>
        <w:tblStyle w:val="4"/>
        <w:tblpPr w:leftFromText="180" w:rightFromText="180" w:vertAnchor="text" w:horzAnchor="page" w:tblpX="937" w:tblpY="876"/>
        <w:tblOverlap w:val="never"/>
        <w:tblW w:w="10376" w:type="dxa"/>
        <w:tblInd w:w="0" w:type="dxa"/>
        <w:tblLayout w:type="fixed"/>
        <w:tblCellMar>
          <w:top w:w="15" w:type="dxa"/>
          <w:left w:w="15" w:type="dxa"/>
          <w:bottom w:w="15" w:type="dxa"/>
          <w:right w:w="15" w:type="dxa"/>
        </w:tblCellMar>
      </w:tblPr>
      <w:tblGrid>
        <w:gridCol w:w="431"/>
        <w:gridCol w:w="728"/>
        <w:gridCol w:w="446"/>
        <w:gridCol w:w="1975"/>
        <w:gridCol w:w="676"/>
        <w:gridCol w:w="4054"/>
        <w:gridCol w:w="565"/>
        <w:gridCol w:w="416"/>
        <w:gridCol w:w="446"/>
        <w:gridCol w:w="639"/>
      </w:tblGrid>
      <w:tr>
        <w:tblPrEx>
          <w:tblCellMar>
            <w:top w:w="15" w:type="dxa"/>
            <w:left w:w="15" w:type="dxa"/>
            <w:bottom w:w="15" w:type="dxa"/>
            <w:right w:w="15" w:type="dxa"/>
          </w:tblCellMar>
        </w:tblPrEx>
        <w:trPr>
          <w:trHeight w:val="1663" w:hRule="atLeast"/>
        </w:trPr>
        <w:tc>
          <w:tcPr>
            <w:tcW w:w="43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黑体" w:hAnsi="宋体" w:eastAsia="黑体" w:cs="黑体"/>
                <w:color w:val="000000"/>
                <w:sz w:val="22"/>
              </w:rPr>
            </w:pPr>
            <w:r>
              <w:rPr>
                <w:rFonts w:hint="eastAsia" w:ascii="黑体" w:hAnsi="宋体" w:eastAsia="黑体" w:cs="黑体"/>
                <w:color w:val="000000"/>
                <w:kern w:val="0"/>
                <w:sz w:val="22"/>
                <w:lang w:bidi="ar"/>
              </w:rPr>
              <w:t>序号</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color w:val="000000" w:themeColor="text1"/>
                <w:sz w:val="22"/>
                <w14:textFill>
                  <w14:solidFill>
                    <w14:schemeClr w14:val="tx1"/>
                  </w14:solidFill>
                </w14:textFill>
              </w:rPr>
            </w:pPr>
            <w:r>
              <w:rPr>
                <w:rFonts w:hint="eastAsia" w:ascii="黑体" w:hAnsi="宋体" w:eastAsia="黑体" w:cs="黑体"/>
                <w:color w:val="000000" w:themeColor="text1"/>
                <w:kern w:val="0"/>
                <w:sz w:val="22"/>
                <w:lang w:bidi="ar"/>
                <w14:textFill>
                  <w14:solidFill>
                    <w14:schemeClr w14:val="tx1"/>
                  </w14:solidFill>
                </w14:textFill>
              </w:rPr>
              <w:t>职权名称</w:t>
            </w: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color w:val="000000" w:themeColor="text1"/>
                <w:sz w:val="22"/>
                <w14:textFill>
                  <w14:solidFill>
                    <w14:schemeClr w14:val="tx1"/>
                  </w14:solidFill>
                </w14:textFill>
              </w:rPr>
            </w:pPr>
            <w:r>
              <w:rPr>
                <w:rFonts w:hint="eastAsia" w:ascii="黑体" w:hAnsi="宋体" w:eastAsia="黑体" w:cs="黑体"/>
                <w:color w:val="000000" w:themeColor="text1"/>
                <w:kern w:val="0"/>
                <w:sz w:val="22"/>
                <w:lang w:bidi="ar"/>
                <w14:textFill>
                  <w14:solidFill>
                    <w14:schemeClr w14:val="tx1"/>
                  </w14:solidFill>
                </w14:textFill>
              </w:rPr>
              <w:t>子项</w:t>
            </w:r>
          </w:p>
        </w:tc>
        <w:tc>
          <w:tcPr>
            <w:tcW w:w="19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color w:val="000000"/>
                <w:sz w:val="22"/>
              </w:rPr>
            </w:pPr>
            <w:r>
              <w:rPr>
                <w:rFonts w:hint="eastAsia" w:ascii="黑体" w:hAnsi="宋体" w:eastAsia="黑体" w:cs="黑体"/>
                <w:color w:val="000000"/>
                <w:kern w:val="0"/>
                <w:sz w:val="22"/>
                <w:lang w:bidi="ar"/>
              </w:rPr>
              <w:t>实施依据</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color w:val="000000"/>
                <w:sz w:val="22"/>
              </w:rPr>
            </w:pPr>
            <w:r>
              <w:rPr>
                <w:rFonts w:hint="eastAsia" w:ascii="黑体" w:hAnsi="宋体" w:eastAsia="黑体" w:cs="黑体"/>
                <w:color w:val="000000"/>
                <w:kern w:val="0"/>
                <w:sz w:val="22"/>
                <w:lang w:bidi="ar"/>
              </w:rPr>
              <w:t>办理环节</w:t>
            </w:r>
          </w:p>
        </w:tc>
        <w:tc>
          <w:tcPr>
            <w:tcW w:w="405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color w:val="000000"/>
                <w:sz w:val="22"/>
              </w:rPr>
            </w:pPr>
            <w:r>
              <w:rPr>
                <w:rFonts w:hint="eastAsia" w:ascii="黑体" w:hAnsi="宋体" w:eastAsia="黑体" w:cs="黑体"/>
                <w:color w:val="000000"/>
                <w:kern w:val="0"/>
                <w:sz w:val="22"/>
                <w:lang w:bidi="ar"/>
              </w:rPr>
              <w:t>责任事项</w:t>
            </w:r>
          </w:p>
        </w:tc>
        <w:tc>
          <w:tcPr>
            <w:tcW w:w="5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color w:val="000000"/>
                <w:sz w:val="22"/>
              </w:rPr>
            </w:pPr>
            <w:r>
              <w:rPr>
                <w:rFonts w:hint="eastAsia" w:ascii="黑体" w:hAnsi="宋体" w:eastAsia="黑体" w:cs="黑体"/>
                <w:color w:val="000000"/>
                <w:kern w:val="0"/>
                <w:sz w:val="22"/>
                <w:lang w:bidi="ar"/>
              </w:rPr>
              <w:t>责任</w:t>
            </w:r>
            <w:r>
              <w:rPr>
                <w:rFonts w:hint="eastAsia" w:ascii="黑体" w:hAnsi="宋体" w:eastAsia="黑体" w:cs="黑体"/>
                <w:color w:val="000000"/>
                <w:kern w:val="0"/>
                <w:sz w:val="22"/>
                <w:lang w:bidi="ar"/>
              </w:rPr>
              <w:br w:type="textWrapping"/>
            </w:r>
            <w:r>
              <w:rPr>
                <w:rFonts w:hint="eastAsia" w:ascii="黑体" w:hAnsi="宋体" w:eastAsia="黑体" w:cs="黑体"/>
                <w:color w:val="000000"/>
                <w:kern w:val="0"/>
                <w:sz w:val="22"/>
                <w:lang w:bidi="ar"/>
              </w:rPr>
              <w:t>科室</w:t>
            </w:r>
          </w:p>
        </w:tc>
        <w:tc>
          <w:tcPr>
            <w:tcW w:w="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color w:val="000000"/>
                <w:sz w:val="22"/>
              </w:rPr>
            </w:pPr>
            <w:r>
              <w:rPr>
                <w:rFonts w:hint="eastAsia" w:ascii="黑体" w:hAnsi="宋体" w:eastAsia="黑体" w:cs="黑体"/>
                <w:color w:val="000000"/>
                <w:kern w:val="0"/>
                <w:sz w:val="22"/>
                <w:lang w:bidi="ar"/>
              </w:rPr>
              <w:t>承诺时限</w:t>
            </w: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color w:val="000000"/>
                <w:sz w:val="22"/>
              </w:rPr>
            </w:pPr>
            <w:r>
              <w:rPr>
                <w:rFonts w:hint="eastAsia" w:ascii="黑体" w:hAnsi="宋体" w:eastAsia="黑体" w:cs="黑体"/>
                <w:color w:val="000000"/>
                <w:kern w:val="0"/>
                <w:sz w:val="22"/>
                <w:lang w:bidi="ar"/>
              </w:rPr>
              <w:t>法定时限</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color w:val="000000"/>
                <w:sz w:val="22"/>
              </w:rPr>
            </w:pPr>
            <w:r>
              <w:rPr>
                <w:rFonts w:hint="eastAsia" w:ascii="黑体" w:hAnsi="宋体" w:eastAsia="黑体" w:cs="黑体"/>
                <w:color w:val="000000"/>
                <w:kern w:val="0"/>
                <w:sz w:val="22"/>
                <w:lang w:bidi="ar"/>
              </w:rPr>
              <w:t>收费情况及依据</w:t>
            </w:r>
          </w:p>
        </w:tc>
      </w:tr>
      <w:tr>
        <w:tblPrEx>
          <w:tblCellMar>
            <w:top w:w="15" w:type="dxa"/>
            <w:left w:w="15" w:type="dxa"/>
            <w:bottom w:w="15" w:type="dxa"/>
            <w:right w:w="15" w:type="dxa"/>
          </w:tblCellMar>
        </w:tblPrEx>
        <w:trPr>
          <w:trHeight w:val="1260" w:hRule="atLeast"/>
        </w:trPr>
        <w:tc>
          <w:tcPr>
            <w:tcW w:w="431"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lang w:val="en-US" w:eastAsia="zh-CN"/>
              </w:rPr>
            </w:pPr>
            <w:r>
              <w:rPr>
                <w:rFonts w:hint="eastAsia" w:ascii="宋体" w:hAnsi="宋体" w:cs="宋体"/>
                <w:color w:val="000000"/>
                <w:sz w:val="22"/>
                <w:lang w:val="en-US" w:eastAsia="zh-CN"/>
              </w:rPr>
              <w:t>3</w:t>
            </w:r>
          </w:p>
        </w:tc>
        <w:tc>
          <w:tcPr>
            <w:tcW w:w="72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符合政府安排工作条件的退役士兵接收安置</w:t>
            </w:r>
          </w:p>
        </w:tc>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197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《退役士兵安置条例》（国务院、中央军委令第608号第二十九条：“退役士兵符合下列条件之一的，由人民政府安排工作：（一）士官服现役满12年</w:t>
            </w:r>
            <w:r>
              <w:rPr>
                <w:rFonts w:hint="eastAsia" w:ascii="宋体" w:hAnsi="宋体" w:cs="宋体"/>
                <w:color w:val="000000"/>
                <w:kern w:val="0"/>
                <w:sz w:val="20"/>
                <w:szCs w:val="20"/>
                <w:lang w:eastAsia="zh-CN" w:bidi="ar"/>
              </w:rPr>
              <w:t>以上</w:t>
            </w:r>
            <w:r>
              <w:rPr>
                <w:rFonts w:hint="eastAsia" w:ascii="宋体" w:hAnsi="宋体" w:cs="宋体"/>
                <w:color w:val="000000"/>
                <w:kern w:val="0"/>
                <w:sz w:val="20"/>
                <w:szCs w:val="20"/>
                <w:lang w:bidi="ar"/>
              </w:rPr>
              <w:t>的；（二）服现役期间平时获二待功以上奖励或者战时荣获三等功以上奖励的：（三）因战致残被评定为5级至8级残疾等级的；（四）是烈士子</w:t>
            </w:r>
            <w:r>
              <w:rPr>
                <w:rFonts w:hint="eastAsia" w:ascii="宋体" w:hAnsi="宋体" w:cs="宋体"/>
                <w:color w:val="000000"/>
                <w:kern w:val="0"/>
                <w:sz w:val="20"/>
                <w:szCs w:val="20"/>
                <w:lang w:eastAsia="zh-CN" w:bidi="ar"/>
              </w:rPr>
              <w:t>女退伍</w:t>
            </w:r>
            <w:r>
              <w:rPr>
                <w:rFonts w:hint="eastAsia" w:ascii="宋体" w:hAnsi="宋体" w:cs="宋体"/>
                <w:color w:val="000000"/>
                <w:kern w:val="0"/>
                <w:sz w:val="20"/>
                <w:szCs w:val="20"/>
                <w:lang w:bidi="ar"/>
              </w:rPr>
              <w:t>的。</w:t>
            </w:r>
          </w:p>
        </w:tc>
        <w:tc>
          <w:tcPr>
            <w:tcW w:w="676"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受理</w:t>
            </w:r>
          </w:p>
        </w:tc>
        <w:tc>
          <w:tcPr>
            <w:tcW w:w="4054" w:type="dxa"/>
            <w:tcBorders>
              <w:top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1、受理责任：依法接收退役士兵档案；一次性告知补正材料；依法受理或不予受理（不予受理告知理由）。</w:t>
            </w:r>
          </w:p>
        </w:tc>
        <w:tc>
          <w:tcPr>
            <w:tcW w:w="56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退伍军人</w:t>
            </w:r>
            <w:r>
              <w:rPr>
                <w:rFonts w:hint="eastAsia" w:ascii="宋体" w:hAnsi="宋体" w:cs="宋体"/>
                <w:color w:val="000000"/>
                <w:kern w:val="0"/>
                <w:sz w:val="22"/>
                <w:lang w:eastAsia="zh-CN" w:bidi="ar"/>
              </w:rPr>
              <w:t>移交</w:t>
            </w:r>
            <w:r>
              <w:rPr>
                <w:rFonts w:hint="eastAsia" w:ascii="宋体" w:hAnsi="宋体" w:cs="宋体"/>
                <w:color w:val="000000"/>
                <w:kern w:val="0"/>
                <w:sz w:val="22"/>
                <w:lang w:bidi="ar"/>
              </w:rPr>
              <w:t>安置股</w:t>
            </w:r>
          </w:p>
        </w:tc>
        <w:tc>
          <w:tcPr>
            <w:tcW w:w="41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80日</w:t>
            </w:r>
          </w:p>
        </w:tc>
        <w:tc>
          <w:tcPr>
            <w:tcW w:w="446" w:type="dxa"/>
            <w:tcBorders>
              <w:top w:val="single" w:color="000000" w:sz="4" w:space="0"/>
              <w:left w:val="single" w:color="000000" w:sz="4" w:space="0"/>
              <w:bottom w:val="single" w:color="000000" w:sz="4" w:space="0"/>
            </w:tcBorders>
            <w:noWrap w:val="0"/>
            <w:vAlign w:val="center"/>
          </w:tcPr>
          <w:p>
            <w:pPr>
              <w:jc w:val="center"/>
              <w:rPr>
                <w:rFonts w:hint="eastAsia" w:ascii="宋体" w:hAnsi="宋体" w:cs="宋体"/>
                <w:color w:val="000000"/>
                <w:sz w:val="22"/>
              </w:rPr>
            </w:pPr>
          </w:p>
        </w:tc>
        <w:tc>
          <w:tcPr>
            <w:tcW w:w="63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不收费</w:t>
            </w:r>
          </w:p>
        </w:tc>
      </w:tr>
      <w:tr>
        <w:tblPrEx>
          <w:tblCellMar>
            <w:top w:w="15" w:type="dxa"/>
            <w:left w:w="15" w:type="dxa"/>
            <w:bottom w:w="15" w:type="dxa"/>
            <w:right w:w="15" w:type="dxa"/>
          </w:tblCellMar>
        </w:tblPrEx>
        <w:trPr>
          <w:trHeight w:val="1388" w:hRule="atLeast"/>
        </w:trPr>
        <w:tc>
          <w:tcPr>
            <w:tcW w:w="4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72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19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0"/>
                <w:szCs w:val="20"/>
              </w:rPr>
            </w:pPr>
          </w:p>
        </w:tc>
        <w:tc>
          <w:tcPr>
            <w:tcW w:w="676"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审查</w:t>
            </w:r>
          </w:p>
        </w:tc>
        <w:tc>
          <w:tcPr>
            <w:tcW w:w="4054" w:type="dxa"/>
            <w:noWrap w:val="0"/>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2、审查责任：审查接收到的退役士兵档案；提出初审意见。</w:t>
            </w:r>
          </w:p>
        </w:tc>
        <w:tc>
          <w:tcPr>
            <w:tcW w:w="5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46" w:type="dxa"/>
            <w:tcBorders>
              <w:top w:val="single" w:color="000000" w:sz="4" w:space="0"/>
              <w:left w:val="single" w:color="000000" w:sz="4" w:space="0"/>
              <w:bottom w:val="single" w:color="000000" w:sz="4" w:space="0"/>
            </w:tcBorders>
            <w:noWrap w:val="0"/>
            <w:vAlign w:val="center"/>
          </w:tcPr>
          <w:p>
            <w:pPr>
              <w:jc w:val="center"/>
              <w:rPr>
                <w:rFonts w:hint="eastAsia" w:ascii="宋体" w:hAnsi="宋体" w:cs="宋体"/>
                <w:color w:val="000000"/>
                <w:sz w:val="22"/>
              </w:rPr>
            </w:pPr>
          </w:p>
        </w:tc>
        <w:tc>
          <w:tcPr>
            <w:tcW w:w="6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r>
      <w:tr>
        <w:tblPrEx>
          <w:tblCellMar>
            <w:top w:w="15" w:type="dxa"/>
            <w:left w:w="15" w:type="dxa"/>
            <w:bottom w:w="15" w:type="dxa"/>
            <w:right w:w="15" w:type="dxa"/>
          </w:tblCellMar>
        </w:tblPrEx>
        <w:trPr>
          <w:trHeight w:val="1059" w:hRule="atLeast"/>
        </w:trPr>
        <w:tc>
          <w:tcPr>
            <w:tcW w:w="4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72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19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0"/>
                <w:szCs w:val="20"/>
              </w:rPr>
            </w:pPr>
          </w:p>
        </w:tc>
        <w:tc>
          <w:tcPr>
            <w:tcW w:w="676"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决定</w:t>
            </w:r>
          </w:p>
        </w:tc>
        <w:tc>
          <w:tcPr>
            <w:tcW w:w="4054" w:type="dxa"/>
            <w:tcBorders>
              <w:top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3、决定责任：作出决定（不予办理的告知理由）；按时办结，法定告知。</w:t>
            </w:r>
          </w:p>
        </w:tc>
        <w:tc>
          <w:tcPr>
            <w:tcW w:w="5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180日</w:t>
            </w:r>
          </w:p>
        </w:tc>
        <w:tc>
          <w:tcPr>
            <w:tcW w:w="446" w:type="dxa"/>
            <w:tcBorders>
              <w:top w:val="single" w:color="000000" w:sz="4" w:space="0"/>
              <w:left w:val="single" w:color="000000" w:sz="4" w:space="0"/>
              <w:bottom w:val="single" w:color="000000" w:sz="4" w:space="0"/>
            </w:tcBorders>
            <w:noWrap w:val="0"/>
            <w:vAlign w:val="center"/>
          </w:tcPr>
          <w:p>
            <w:pPr>
              <w:jc w:val="center"/>
              <w:rPr>
                <w:rFonts w:hint="eastAsia" w:ascii="宋体" w:hAnsi="宋体" w:cs="宋体"/>
                <w:color w:val="000000"/>
                <w:sz w:val="22"/>
              </w:rPr>
            </w:pPr>
          </w:p>
        </w:tc>
        <w:tc>
          <w:tcPr>
            <w:tcW w:w="6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r>
      <w:tr>
        <w:tblPrEx>
          <w:tblCellMar>
            <w:top w:w="15" w:type="dxa"/>
            <w:left w:w="15" w:type="dxa"/>
            <w:bottom w:w="15" w:type="dxa"/>
            <w:right w:w="15" w:type="dxa"/>
          </w:tblCellMar>
        </w:tblPrEx>
        <w:trPr>
          <w:trHeight w:val="1601" w:hRule="atLeast"/>
        </w:trPr>
        <w:tc>
          <w:tcPr>
            <w:tcW w:w="4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72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19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0"/>
                <w:szCs w:val="20"/>
              </w:rPr>
            </w:pPr>
          </w:p>
        </w:tc>
        <w:tc>
          <w:tcPr>
            <w:tcW w:w="676" w:type="dxa"/>
            <w:tcBorders>
              <w:top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送达</w:t>
            </w:r>
          </w:p>
        </w:tc>
        <w:tc>
          <w:tcPr>
            <w:tcW w:w="4054" w:type="dxa"/>
            <w:tcBorders>
              <w:top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4、送达责任：向县直各单位移交安置工作的退役士兵档案。</w:t>
            </w:r>
          </w:p>
        </w:tc>
        <w:tc>
          <w:tcPr>
            <w:tcW w:w="5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10日</w:t>
            </w:r>
          </w:p>
        </w:tc>
        <w:tc>
          <w:tcPr>
            <w:tcW w:w="446" w:type="dxa"/>
            <w:tcBorders>
              <w:top w:val="single" w:color="000000" w:sz="4" w:space="0"/>
              <w:left w:val="single" w:color="000000" w:sz="4" w:space="0"/>
              <w:bottom w:val="single" w:color="000000" w:sz="4" w:space="0"/>
            </w:tcBorders>
            <w:noWrap w:val="0"/>
            <w:vAlign w:val="center"/>
          </w:tcPr>
          <w:p>
            <w:pPr>
              <w:jc w:val="center"/>
              <w:rPr>
                <w:rFonts w:hint="eastAsia" w:ascii="宋体" w:hAnsi="宋体" w:cs="宋体"/>
                <w:color w:val="000000"/>
                <w:sz w:val="22"/>
              </w:rPr>
            </w:pPr>
          </w:p>
        </w:tc>
        <w:tc>
          <w:tcPr>
            <w:tcW w:w="6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r>
      <w:tr>
        <w:tblPrEx>
          <w:tblCellMar>
            <w:top w:w="15" w:type="dxa"/>
            <w:left w:w="15" w:type="dxa"/>
            <w:bottom w:w="15" w:type="dxa"/>
            <w:right w:w="15" w:type="dxa"/>
          </w:tblCellMar>
        </w:tblPrEx>
        <w:trPr>
          <w:trHeight w:val="981" w:hRule="atLeast"/>
        </w:trPr>
        <w:tc>
          <w:tcPr>
            <w:tcW w:w="4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72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19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0"/>
                <w:szCs w:val="20"/>
              </w:rPr>
            </w:pPr>
          </w:p>
        </w:tc>
        <w:tc>
          <w:tcPr>
            <w:tcW w:w="676" w:type="dxa"/>
            <w:tcBorders>
              <w:top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事后监管</w:t>
            </w:r>
          </w:p>
        </w:tc>
        <w:tc>
          <w:tcPr>
            <w:tcW w:w="4054" w:type="dxa"/>
            <w:tcBorders>
              <w:top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5、事后监管责任：督促检查各单位落实退役士兵安置工作上岗情况。</w:t>
            </w:r>
          </w:p>
        </w:tc>
        <w:tc>
          <w:tcPr>
            <w:tcW w:w="5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46" w:type="dxa"/>
            <w:tcBorders>
              <w:top w:val="single" w:color="000000" w:sz="4" w:space="0"/>
              <w:left w:val="single" w:color="000000" w:sz="4" w:space="0"/>
              <w:bottom w:val="single" w:color="000000" w:sz="4" w:space="0"/>
            </w:tcBorders>
            <w:noWrap w:val="0"/>
            <w:vAlign w:val="center"/>
          </w:tcPr>
          <w:p>
            <w:pPr>
              <w:jc w:val="center"/>
              <w:rPr>
                <w:rFonts w:hint="eastAsia" w:ascii="宋体" w:hAnsi="宋体" w:cs="宋体"/>
                <w:color w:val="000000"/>
                <w:sz w:val="22"/>
              </w:rPr>
            </w:pPr>
          </w:p>
        </w:tc>
        <w:tc>
          <w:tcPr>
            <w:tcW w:w="6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r>
      <w:tr>
        <w:tblPrEx>
          <w:tblCellMar>
            <w:top w:w="15" w:type="dxa"/>
            <w:left w:w="15" w:type="dxa"/>
            <w:bottom w:w="15" w:type="dxa"/>
            <w:right w:w="15" w:type="dxa"/>
          </w:tblCellMar>
        </w:tblPrEx>
        <w:trPr>
          <w:trHeight w:val="2163" w:hRule="atLeast"/>
        </w:trPr>
        <w:tc>
          <w:tcPr>
            <w:tcW w:w="4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72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19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0"/>
                <w:szCs w:val="20"/>
              </w:rPr>
            </w:pP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054" w:type="dxa"/>
            <w:tcBorders>
              <w:top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6、其他法律法规规章文件规定应履行的责任。</w:t>
            </w:r>
          </w:p>
        </w:tc>
        <w:tc>
          <w:tcPr>
            <w:tcW w:w="5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c>
          <w:tcPr>
            <w:tcW w:w="446" w:type="dxa"/>
            <w:tcBorders>
              <w:top w:val="single" w:color="000000" w:sz="4" w:space="0"/>
              <w:left w:val="single" w:color="000000" w:sz="4" w:space="0"/>
              <w:bottom w:val="single" w:color="000000" w:sz="4" w:space="0"/>
            </w:tcBorders>
            <w:noWrap w:val="0"/>
            <w:vAlign w:val="center"/>
          </w:tcPr>
          <w:p>
            <w:pPr>
              <w:rPr>
                <w:rFonts w:hint="eastAsia" w:ascii="宋体" w:hAnsi="宋体" w:cs="宋体"/>
                <w:color w:val="000000"/>
                <w:sz w:val="22"/>
              </w:rPr>
            </w:pPr>
          </w:p>
        </w:tc>
        <w:tc>
          <w:tcPr>
            <w:tcW w:w="6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rPr>
            </w:pPr>
          </w:p>
        </w:tc>
      </w:tr>
      <w:tr>
        <w:tblPrEx>
          <w:tblCellMar>
            <w:top w:w="15" w:type="dxa"/>
            <w:left w:w="15" w:type="dxa"/>
            <w:bottom w:w="15" w:type="dxa"/>
            <w:right w:w="15" w:type="dxa"/>
          </w:tblCellMar>
        </w:tblPrEx>
        <w:trPr>
          <w:trHeight w:val="794" w:hRule="atLeast"/>
        </w:trPr>
        <w:tc>
          <w:tcPr>
            <w:tcW w:w="10376" w:type="dxa"/>
            <w:gridSpan w:val="10"/>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Times New Roman"/>
                <w:color w:val="000000"/>
                <w:kern w:val="2"/>
                <w:sz w:val="22"/>
                <w:szCs w:val="22"/>
                <w:lang w:val="en-US" w:eastAsia="zh-CN" w:bidi="ar-SA"/>
              </w:rPr>
            </w:pPr>
            <w:r>
              <w:rPr>
                <w:rFonts w:hint="eastAsia" w:ascii="宋体" w:hAnsi="宋体"/>
                <w:color w:val="000000"/>
                <w:sz w:val="22"/>
              </w:rPr>
              <w:t>服务电话：0394-6822351</w:t>
            </w:r>
          </w:p>
        </w:tc>
      </w:tr>
      <w:tr>
        <w:tblPrEx>
          <w:tblCellMar>
            <w:top w:w="15" w:type="dxa"/>
            <w:left w:w="15" w:type="dxa"/>
            <w:bottom w:w="15" w:type="dxa"/>
            <w:right w:w="15" w:type="dxa"/>
          </w:tblCellMar>
        </w:tblPrEx>
        <w:trPr>
          <w:trHeight w:val="781" w:hRule="atLeast"/>
        </w:trPr>
        <w:tc>
          <w:tcPr>
            <w:tcW w:w="10376" w:type="dxa"/>
            <w:gridSpan w:val="10"/>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Times New Roman"/>
                <w:color w:val="000000"/>
                <w:kern w:val="2"/>
                <w:sz w:val="22"/>
                <w:szCs w:val="22"/>
                <w:lang w:val="en-US" w:eastAsia="zh-CN" w:bidi="ar-SA"/>
              </w:rPr>
            </w:pPr>
            <w:r>
              <w:rPr>
                <w:rFonts w:hint="eastAsia" w:ascii="宋体" w:hAnsi="宋体"/>
                <w:color w:val="000000"/>
                <w:sz w:val="22"/>
              </w:rPr>
              <w:t>受理地点：太康县</w:t>
            </w:r>
            <w:r>
              <w:rPr>
                <w:rFonts w:hint="eastAsia" w:ascii="宋体" w:hAnsi="宋体"/>
                <w:color w:val="000000"/>
                <w:sz w:val="22"/>
                <w:lang w:eastAsia="zh-CN"/>
              </w:rPr>
              <w:t>退役军人事务局移交</w:t>
            </w:r>
            <w:r>
              <w:rPr>
                <w:rFonts w:hint="eastAsia" w:ascii="宋体" w:hAnsi="宋体"/>
                <w:color w:val="000000"/>
                <w:sz w:val="22"/>
              </w:rPr>
              <w:t>安置股</w:t>
            </w:r>
          </w:p>
        </w:tc>
      </w:tr>
    </w:tbl>
    <w:p>
      <w:pPr>
        <w:spacing w:line="560" w:lineRule="exact"/>
        <w:jc w:val="both"/>
      </w:pPr>
      <w:r>
        <w:rPr>
          <w:rFonts w:hint="eastAsia" w:ascii="宋体" w:hAnsi="宋体" w:cs="宋体"/>
          <w:sz w:val="22"/>
        </w:rPr>
        <w:t>职权类别：行政确认</w:t>
      </w:r>
    </w:p>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B37278"/>
    <w:rsid w:val="18B37278"/>
    <w:rsid w:val="37E51545"/>
    <w:rsid w:val="3BE64DCC"/>
    <w:rsid w:val="40F97A26"/>
    <w:rsid w:val="414074FD"/>
    <w:rsid w:val="474463F7"/>
    <w:rsid w:val="705558A8"/>
    <w:rsid w:val="71B60D52"/>
    <w:rsid w:val="7CB97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31"/>
    <w:basedOn w:val="5"/>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2020-01-07T02:06:00Z</dcterms:created>
  <dc:creator>Administrator</dc:creator>
  <cp:lastModifiedBy>Lihui</cp:lastModifiedBy>
  <dcterms:modified xsi:type="dcterms:W3CDTF">2020-01-07T07:45:19Z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