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jc w:val="both"/>
        <w:rPr>
          <w:rFonts w:hint="eastAsia" w:ascii="仿宋" w:hAnsi="仿宋" w:eastAsia="仿宋" w:cs="仿宋"/>
          <w:sz w:val="32"/>
          <w:szCs w:val="32"/>
          <w:lang w:val="en-US" w:eastAsia="zh-CN"/>
        </w:rPr>
      </w:pPr>
    </w:p>
    <w:p>
      <w:pPr>
        <w:keepNext w:val="0"/>
        <w:keepLines w:val="0"/>
        <w:widowControl/>
        <w:suppressLineNumbers w:val="0"/>
        <w:jc w:val="left"/>
        <w:textAlignment w:val="center"/>
        <w:rPr>
          <w:rFonts w:hint="eastAsia" w:ascii="黑体" w:hAnsi="宋体" w:eastAsia="黑体" w:cs="黑体"/>
          <w:i w:val="0"/>
          <w:color w:val="000000"/>
          <w:kern w:val="0"/>
          <w:sz w:val="28"/>
          <w:szCs w:val="28"/>
          <w:u w:val="none"/>
          <w:lang w:val="en-US" w:eastAsia="zh-CN" w:bidi="ar"/>
        </w:rPr>
      </w:pPr>
      <w:r>
        <w:rPr>
          <w:rFonts w:hint="eastAsia" w:ascii="黑体" w:hAnsi="宋体" w:eastAsia="黑体" w:cs="黑体"/>
          <w:i w:val="0"/>
          <w:color w:val="000000"/>
          <w:kern w:val="0"/>
          <w:sz w:val="28"/>
          <w:szCs w:val="28"/>
          <w:u w:val="none"/>
          <w:lang w:val="en-US" w:eastAsia="zh-CN" w:bidi="ar"/>
        </w:rPr>
        <w:t>附件1</w:t>
      </w:r>
    </w:p>
    <w:p>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bCs/>
          <w:sz w:val="36"/>
          <w:szCs w:val="36"/>
          <w:lang w:val="en-US" w:eastAsia="zh-CN"/>
        </w:rPr>
        <w:t>西华县民政局权力清单</w:t>
      </w:r>
    </w:p>
    <w:tbl>
      <w:tblPr>
        <w:tblStyle w:val="2"/>
        <w:tblW w:w="91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1602"/>
        <w:gridCol w:w="4898"/>
        <w:gridCol w:w="935"/>
        <w:gridCol w:w="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02"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职权名称</w:t>
            </w:r>
          </w:p>
        </w:tc>
        <w:tc>
          <w:tcPr>
            <w:tcW w:w="4898"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实  施  依  据</w:t>
            </w:r>
          </w:p>
        </w:tc>
        <w:tc>
          <w:tcPr>
            <w:tcW w:w="935"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承办</w:t>
            </w:r>
          </w:p>
          <w:p>
            <w:pPr>
              <w:autoSpaceDN w:val="0"/>
              <w:jc w:val="center"/>
              <w:rPr>
                <w:rFonts w:hint="eastAsia" w:ascii="仿宋" w:hAnsi="仿宋" w:eastAsia="仿宋" w:cs="仿宋"/>
                <w:sz w:val="24"/>
                <w:szCs w:val="24"/>
              </w:rPr>
            </w:pPr>
            <w:r>
              <w:rPr>
                <w:rFonts w:hint="eastAsia" w:ascii="仿宋" w:hAnsi="仿宋" w:eastAsia="仿宋" w:cs="仿宋"/>
                <w:sz w:val="24"/>
                <w:szCs w:val="24"/>
              </w:rPr>
              <w:t>机构</w:t>
            </w:r>
          </w:p>
        </w:tc>
        <w:tc>
          <w:tcPr>
            <w:tcW w:w="564"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一、</w:t>
            </w:r>
          </w:p>
        </w:tc>
        <w:tc>
          <w:tcPr>
            <w:tcW w:w="1602"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行政许可</w:t>
            </w:r>
          </w:p>
        </w:tc>
        <w:tc>
          <w:tcPr>
            <w:tcW w:w="4898" w:type="dxa"/>
            <w:noWrap w:val="0"/>
            <w:vAlign w:val="top"/>
          </w:tcPr>
          <w:p>
            <w:pPr>
              <w:autoSpaceDN w:val="0"/>
              <w:rPr>
                <w:rFonts w:hint="eastAsia" w:ascii="仿宋" w:hAnsi="仿宋" w:eastAsia="仿宋" w:cs="仿宋"/>
                <w:sz w:val="24"/>
                <w:szCs w:val="24"/>
              </w:rPr>
            </w:pPr>
            <w:r>
              <w:rPr>
                <w:rFonts w:hint="eastAsia" w:ascii="仿宋" w:hAnsi="仿宋" w:eastAsia="仿宋" w:cs="仿宋"/>
                <w:sz w:val="24"/>
                <w:szCs w:val="24"/>
              </w:rPr>
              <w:t>　共</w:t>
            </w:r>
            <w:r>
              <w:rPr>
                <w:rFonts w:hint="eastAsia" w:ascii="仿宋" w:hAnsi="仿宋" w:eastAsia="仿宋" w:cs="仿宋"/>
                <w:sz w:val="24"/>
                <w:szCs w:val="24"/>
                <w:lang w:val="en-US" w:eastAsia="zh-CN"/>
              </w:rPr>
              <w:t>4</w:t>
            </w:r>
            <w:r>
              <w:rPr>
                <w:rFonts w:hint="eastAsia" w:ascii="仿宋" w:hAnsi="仿宋" w:eastAsia="仿宋" w:cs="仿宋"/>
                <w:sz w:val="24"/>
                <w:szCs w:val="24"/>
              </w:rPr>
              <w:t>项</w:t>
            </w:r>
          </w:p>
        </w:tc>
        <w:tc>
          <w:tcPr>
            <w:tcW w:w="935" w:type="dxa"/>
            <w:noWrap w:val="0"/>
            <w:vAlign w:val="center"/>
          </w:tcPr>
          <w:p>
            <w:pPr>
              <w:autoSpaceDN w:val="0"/>
              <w:jc w:val="center"/>
              <w:rPr>
                <w:rFonts w:hint="eastAsia" w:ascii="仿宋" w:hAnsi="仿宋" w:eastAsia="仿宋" w:cs="仿宋"/>
                <w:sz w:val="24"/>
                <w:szCs w:val="24"/>
              </w:rPr>
            </w:pP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1602"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社团登记</w:t>
            </w: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社会团体登记管理条例》第十六条“登记管理机关应当自收到完成筹备工作的社会团体的登记申请书及有关文件之日起30日内完成审查工作。”对没有本条例第十三条所列情形，且筹备工作符合要求、章程内容完备的社会团体，准予登记，发给《社会团体法人登记证书》</w:t>
            </w:r>
          </w:p>
        </w:tc>
        <w:tc>
          <w:tcPr>
            <w:tcW w:w="935" w:type="dxa"/>
            <w:noWrap w:val="0"/>
            <w:vAlign w:val="center"/>
          </w:tcPr>
          <w:p>
            <w:pPr>
              <w:jc w:val="center"/>
              <w:rPr>
                <w:rFonts w:hint="eastAsia" w:ascii="仿宋" w:hAnsi="仿宋" w:eastAsia="仿宋" w:cs="仿宋"/>
                <w:sz w:val="24"/>
                <w:szCs w:val="24"/>
              </w:rPr>
            </w:pPr>
            <w:r>
              <w:rPr>
                <w:rFonts w:hint="eastAsia" w:ascii="仿宋" w:hAnsi="仿宋" w:eastAsia="仿宋" w:cs="仿宋"/>
                <w:bCs/>
                <w:sz w:val="24"/>
                <w:szCs w:val="24"/>
                <w:lang w:eastAsia="zh-CN"/>
              </w:rPr>
              <w:t>社会组织监督管理股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2</w:t>
            </w:r>
          </w:p>
        </w:tc>
        <w:tc>
          <w:tcPr>
            <w:tcW w:w="1602"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民办非企业单位登记</w:t>
            </w: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《民办非企业单位登记管理暂行条例》第十二条“准予登记的民办非企业单位，由登记管理机关登记民办非企业单位的名称、住所、宗旨和业务范围、法定代表人或者负责人、开办资金、业务主管单位。”</w:t>
            </w:r>
          </w:p>
        </w:tc>
        <w:tc>
          <w:tcPr>
            <w:tcW w:w="935" w:type="dxa"/>
            <w:noWrap w:val="0"/>
            <w:vAlign w:val="center"/>
          </w:tcPr>
          <w:p>
            <w:pPr>
              <w:jc w:val="center"/>
              <w:rPr>
                <w:rFonts w:hint="eastAsia" w:ascii="仿宋" w:hAnsi="仿宋" w:eastAsia="仿宋" w:cs="仿宋"/>
                <w:sz w:val="24"/>
                <w:szCs w:val="24"/>
              </w:rPr>
            </w:pPr>
            <w:r>
              <w:rPr>
                <w:rFonts w:hint="eastAsia" w:ascii="仿宋" w:hAnsi="仿宋" w:eastAsia="仿宋" w:cs="仿宋"/>
                <w:bCs/>
                <w:sz w:val="24"/>
                <w:szCs w:val="24"/>
                <w:lang w:eastAsia="zh-CN"/>
              </w:rPr>
              <w:t>社会组织监督管理股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3</w:t>
            </w:r>
          </w:p>
        </w:tc>
        <w:tc>
          <w:tcPr>
            <w:tcW w:w="1602"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社会办养老服务机构</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《周口市人民政府关于加快社会养老服务体系建设的意见》（周政[2013]49号）、《西华县人民政府关于加快全县社会养老服务体系建设的意见》西政[2015]34号</w:t>
            </w:r>
          </w:p>
        </w:tc>
        <w:tc>
          <w:tcPr>
            <w:tcW w:w="935" w:type="dxa"/>
            <w:noWrap w:val="0"/>
            <w:vAlign w:val="center"/>
          </w:tcPr>
          <w:p>
            <w:pPr>
              <w:widowControl/>
              <w:jc w:val="center"/>
              <w:textAlignment w:val="center"/>
              <w:rPr>
                <w:rFonts w:hint="eastAsia" w:ascii="仿宋" w:hAnsi="仿宋" w:eastAsia="仿宋" w:cs="仿宋"/>
                <w:sz w:val="24"/>
                <w:szCs w:val="24"/>
                <w:lang w:eastAsia="zh-CN"/>
              </w:rPr>
            </w:pPr>
            <w:r>
              <w:rPr>
                <w:rFonts w:hint="eastAsia" w:ascii="仿宋" w:hAnsi="仿宋" w:eastAsia="仿宋" w:cs="仿宋"/>
                <w:kern w:val="0"/>
                <w:sz w:val="24"/>
                <w:szCs w:val="24"/>
                <w:lang w:eastAsia="zh-CN"/>
              </w:rPr>
              <w:t>养老服务股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keepNext w:val="0"/>
              <w:keepLines w:val="0"/>
              <w:widowControl/>
              <w:suppressLineNumbers w:val="0"/>
              <w:jc w:val="center"/>
              <w:textAlignment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w:t>
            </w:r>
          </w:p>
        </w:tc>
        <w:tc>
          <w:tcPr>
            <w:tcW w:w="1602" w:type="dxa"/>
            <w:noWrap w:val="0"/>
            <w:vAlign w:val="center"/>
          </w:tcPr>
          <w:p>
            <w:pPr>
              <w:keepNext w:val="0"/>
              <w:keepLines w:val="0"/>
              <w:widowControl/>
              <w:suppressLineNumbers w:val="0"/>
              <w:jc w:val="center"/>
              <w:textAlignment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慈善组织公开募捐资格许可</w:t>
            </w:r>
          </w:p>
        </w:tc>
        <w:tc>
          <w:tcPr>
            <w:tcW w:w="4898" w:type="dxa"/>
            <w:noWrap w:val="0"/>
            <w:vAlign w:val="center"/>
          </w:tcPr>
          <w:p>
            <w:pPr>
              <w:widowControl/>
              <w:ind w:firstLine="480" w:firstLineChars="200"/>
              <w:textAlignment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【法律】《中华人民共和国慈善法》</w:t>
            </w:r>
            <w:r>
              <w:rPr>
                <w:rFonts w:hint="eastAsia" w:ascii="仿宋" w:hAnsi="仿宋" w:eastAsia="仿宋" w:cs="仿宋"/>
                <w:kern w:val="0"/>
                <w:sz w:val="24"/>
                <w:szCs w:val="24"/>
                <w:lang w:val="en-US" w:eastAsia="zh-CN"/>
              </w:rPr>
              <w:br w:type="textWrapping"/>
            </w:r>
            <w:r>
              <w:rPr>
                <w:rFonts w:hint="eastAsia" w:ascii="仿宋" w:hAnsi="仿宋" w:eastAsia="仿宋" w:cs="仿宋"/>
                <w:kern w:val="0"/>
                <w:sz w:val="24"/>
                <w:szCs w:val="24"/>
                <w:lang w:val="en-US" w:eastAsia="zh-CN"/>
              </w:rPr>
              <w:t>第二十二条慈善组织开展公开募捐，应当取得公开募捐资格。依法登记满二年的慈善组织，可以向其登记的民政部门申请公开募捐资格。民政部门应当自受理申请之日起二十日内作出决定。慈善组织符合内部治理结构健全、运作规范的条件的，发给公开募捐资格证书；不符合条件的，不发给公开募捐资格证书并书面说明理由。</w:t>
            </w:r>
            <w:r>
              <w:rPr>
                <w:rFonts w:hint="eastAsia" w:ascii="仿宋" w:hAnsi="仿宋" w:eastAsia="仿宋" w:cs="仿宋"/>
                <w:kern w:val="0"/>
                <w:sz w:val="24"/>
                <w:szCs w:val="24"/>
                <w:lang w:val="en-US" w:eastAsia="zh-CN"/>
              </w:rPr>
              <w:br w:type="textWrapping"/>
            </w:r>
            <w:r>
              <w:rPr>
                <w:rFonts w:hint="eastAsia" w:ascii="仿宋" w:hAnsi="仿宋" w:eastAsia="仿宋" w:cs="仿宋"/>
                <w:kern w:val="0"/>
                <w:sz w:val="24"/>
                <w:szCs w:val="24"/>
                <w:lang w:val="en-US" w:eastAsia="zh-CN"/>
              </w:rPr>
              <w:t>法律、行政法规规定自登记之日起可以公开募捐的基金会和社会团体，由民政部门直接发给公开募捐资格证书。</w:t>
            </w:r>
          </w:p>
        </w:tc>
        <w:tc>
          <w:tcPr>
            <w:tcW w:w="935" w:type="dxa"/>
            <w:noWrap w:val="0"/>
            <w:vAlign w:val="center"/>
          </w:tcPr>
          <w:p>
            <w:pPr>
              <w:widowControl/>
              <w:jc w:val="center"/>
              <w:textAlignment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慈善管理促进股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二、</w:t>
            </w:r>
          </w:p>
        </w:tc>
        <w:tc>
          <w:tcPr>
            <w:tcW w:w="1602"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行政处罚</w:t>
            </w:r>
          </w:p>
        </w:tc>
        <w:tc>
          <w:tcPr>
            <w:tcW w:w="4898"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共5项</w:t>
            </w:r>
          </w:p>
        </w:tc>
        <w:tc>
          <w:tcPr>
            <w:tcW w:w="935" w:type="dxa"/>
            <w:noWrap w:val="0"/>
            <w:vAlign w:val="center"/>
          </w:tcPr>
          <w:p>
            <w:pPr>
              <w:autoSpaceDN w:val="0"/>
              <w:jc w:val="center"/>
              <w:rPr>
                <w:rFonts w:hint="eastAsia" w:ascii="仿宋" w:hAnsi="仿宋" w:eastAsia="仿宋" w:cs="仿宋"/>
                <w:sz w:val="24"/>
                <w:szCs w:val="24"/>
              </w:rPr>
            </w:pP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restart"/>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w:t>
            </w:r>
          </w:p>
        </w:tc>
        <w:tc>
          <w:tcPr>
            <w:tcW w:w="1602" w:type="dxa"/>
            <w:vMerge w:val="restart"/>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社团撤销登记</w:t>
            </w: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《社会团体登记管理条例》：涂改、出租、出借《社会团体法人证书》，或者出租、出借社会团体印章的</w:t>
            </w:r>
          </w:p>
        </w:tc>
        <w:tc>
          <w:tcPr>
            <w:tcW w:w="935" w:type="dxa"/>
            <w:vMerge w:val="restart"/>
            <w:noWrap w:val="0"/>
            <w:vAlign w:val="center"/>
          </w:tcPr>
          <w:p>
            <w:pPr>
              <w:autoSpaceDN w:val="0"/>
              <w:jc w:val="center"/>
              <w:rPr>
                <w:rFonts w:hint="eastAsia" w:ascii="仿宋" w:hAnsi="仿宋" w:eastAsia="仿宋" w:cs="仿宋"/>
                <w:sz w:val="24"/>
                <w:szCs w:val="24"/>
              </w:rPr>
            </w:pPr>
            <w:r>
              <w:rPr>
                <w:rFonts w:hint="eastAsia" w:ascii="仿宋" w:hAnsi="仿宋" w:eastAsia="仿宋" w:cs="仿宋"/>
                <w:bCs/>
                <w:sz w:val="24"/>
                <w:szCs w:val="24"/>
                <w:lang w:eastAsia="zh-CN"/>
              </w:rPr>
              <w:t>社会组织监督管理股</w:t>
            </w:r>
          </w:p>
        </w:tc>
        <w:tc>
          <w:tcPr>
            <w:tcW w:w="564" w:type="dxa"/>
            <w:vMerge w:val="restart"/>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社会团体超出章程规定的宗旨和业务范围进行活动的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社会团体拒不接受或者不按照规定接受监督检查的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社会团体不按照规定办理变更登记的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社会团体擅自设立分支机构、代表机构，或者对分支机构、代表机构疏于管理，造成严重后果的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社会团体从事营利性活动的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社会团体侵占、私分、挪用社会团体资产或者所接受的捐赠、资助的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社会团体违反国家规定收取费用、筹集资金或者接受、使用捐赠、资助的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社会团体未经批准，擅自开展社会团体筹备活动，或者未经登记，擅自以社会团体名义进行活动，以及被撤销登记的社会团体继续以社会团体名义进行活动的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restart"/>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2</w:t>
            </w:r>
          </w:p>
        </w:tc>
        <w:tc>
          <w:tcPr>
            <w:tcW w:w="1602" w:type="dxa"/>
            <w:vMerge w:val="restart"/>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民办非企业单位撤销登记</w:t>
            </w: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《民办非企业单位登记管理暂行条例》：民办非企业单位涂改、出租、出借民办非企业单位登位记；未经登证书擅自以，或者出租、出借民办非企业单位印章的</w:t>
            </w:r>
          </w:p>
        </w:tc>
        <w:tc>
          <w:tcPr>
            <w:tcW w:w="935" w:type="dxa"/>
            <w:vMerge w:val="restart"/>
            <w:noWrap w:val="0"/>
            <w:vAlign w:val="center"/>
          </w:tcPr>
          <w:p>
            <w:pPr>
              <w:autoSpaceDN w:val="0"/>
              <w:jc w:val="center"/>
              <w:rPr>
                <w:rFonts w:hint="eastAsia" w:ascii="仿宋" w:hAnsi="仿宋" w:eastAsia="仿宋" w:cs="仿宋"/>
                <w:sz w:val="24"/>
                <w:szCs w:val="24"/>
              </w:rPr>
            </w:pPr>
            <w:r>
              <w:rPr>
                <w:rFonts w:hint="eastAsia" w:ascii="仿宋" w:hAnsi="仿宋" w:eastAsia="仿宋" w:cs="仿宋"/>
                <w:bCs/>
                <w:sz w:val="24"/>
                <w:szCs w:val="24"/>
                <w:lang w:eastAsia="zh-CN"/>
              </w:rPr>
              <w:t>社会组织监督管理股</w:t>
            </w:r>
          </w:p>
        </w:tc>
        <w:tc>
          <w:tcPr>
            <w:tcW w:w="564" w:type="dxa"/>
            <w:vMerge w:val="restart"/>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民办非企业单位超出其章程规定的宗旨和业务范围进行活动的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民办非企业单位拒不接受或者不按照规定接受监督检查的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民办非企业单位不按规定办理变更登记的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民办非企业单位设立分支机构的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民办非企业单位从事营利性的经营活动的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民办非企业单位侵占、私分、挪用民办非企业单位资产或者所接受的捐赠、资助的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民办非企业单位违反国家有关规定收取费用、筹集资金或者接受、使用捐赠、资助的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Merge w:val="continue"/>
            <w:noWrap w:val="0"/>
            <w:vAlign w:val="center"/>
          </w:tcPr>
          <w:p>
            <w:pPr>
              <w:autoSpaceDN w:val="0"/>
              <w:jc w:val="center"/>
              <w:rPr>
                <w:rFonts w:hint="eastAsia" w:ascii="仿宋" w:hAnsi="仿宋" w:eastAsia="仿宋" w:cs="仿宋"/>
                <w:sz w:val="24"/>
                <w:szCs w:val="24"/>
              </w:rPr>
            </w:pPr>
          </w:p>
        </w:tc>
        <w:tc>
          <w:tcPr>
            <w:tcW w:w="1602" w:type="dxa"/>
            <w:vMerge w:val="continue"/>
            <w:noWrap w:val="0"/>
            <w:vAlign w:val="center"/>
          </w:tcPr>
          <w:p>
            <w:pPr>
              <w:autoSpaceDN w:val="0"/>
              <w:jc w:val="center"/>
              <w:rPr>
                <w:rFonts w:hint="eastAsia" w:ascii="仿宋" w:hAnsi="仿宋" w:eastAsia="仿宋" w:cs="仿宋"/>
                <w:sz w:val="24"/>
                <w:szCs w:val="24"/>
              </w:rPr>
            </w:pPr>
          </w:p>
        </w:tc>
        <w:tc>
          <w:tcPr>
            <w:tcW w:w="4898" w:type="dxa"/>
            <w:noWrap w:val="0"/>
            <w:vAlign w:val="center"/>
          </w:tcPr>
          <w:p>
            <w:pPr>
              <w:autoSpaceDN w:val="0"/>
              <w:ind w:firstLine="480" w:firstLineChars="200"/>
              <w:rPr>
                <w:rFonts w:hint="eastAsia" w:ascii="仿宋" w:hAnsi="仿宋" w:eastAsia="仿宋" w:cs="仿宋"/>
                <w:sz w:val="24"/>
                <w:szCs w:val="24"/>
              </w:rPr>
            </w:pPr>
            <w:r>
              <w:rPr>
                <w:rFonts w:hint="eastAsia" w:ascii="仿宋" w:hAnsi="仿宋" w:eastAsia="仿宋" w:cs="仿宋"/>
                <w:sz w:val="24"/>
                <w:szCs w:val="24"/>
              </w:rPr>
              <w:t>未经登记，擅自以民办非企业单位名义进行活动的，或者被撤销登记的民办非企业单位继续以民办非企业单位名义进行活动的</w:t>
            </w:r>
          </w:p>
        </w:tc>
        <w:tc>
          <w:tcPr>
            <w:tcW w:w="935" w:type="dxa"/>
            <w:vMerge w:val="continue"/>
            <w:noWrap w:val="0"/>
            <w:vAlign w:val="center"/>
          </w:tcPr>
          <w:p>
            <w:pPr>
              <w:autoSpaceDN w:val="0"/>
              <w:jc w:val="center"/>
              <w:rPr>
                <w:rFonts w:hint="eastAsia" w:ascii="仿宋" w:hAnsi="仿宋" w:eastAsia="仿宋" w:cs="仿宋"/>
                <w:sz w:val="24"/>
                <w:szCs w:val="24"/>
              </w:rPr>
            </w:pPr>
          </w:p>
        </w:tc>
        <w:tc>
          <w:tcPr>
            <w:tcW w:w="564" w:type="dxa"/>
            <w:vMerge w:val="continue"/>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3</w:t>
            </w:r>
          </w:p>
        </w:tc>
        <w:tc>
          <w:tcPr>
            <w:tcW w:w="1602" w:type="dxa"/>
            <w:noWrap w:val="0"/>
            <w:vAlign w:val="center"/>
          </w:tcPr>
          <w:p>
            <w:pPr>
              <w:widowControl/>
              <w:textAlignment w:val="center"/>
              <w:rPr>
                <w:rFonts w:hint="eastAsia" w:ascii="仿宋" w:hAnsi="仿宋" w:eastAsia="仿宋" w:cs="仿宋"/>
                <w:sz w:val="24"/>
                <w:szCs w:val="24"/>
              </w:rPr>
            </w:pPr>
            <w:r>
              <w:rPr>
                <w:rFonts w:hint="eastAsia" w:ascii="仿宋" w:hAnsi="仿宋" w:eastAsia="仿宋" w:cs="仿宋"/>
                <w:kern w:val="0"/>
                <w:sz w:val="24"/>
                <w:szCs w:val="24"/>
              </w:rPr>
              <w:t>对故意损毁或者擅自移动界桩或者其他行政区域界线标志物的处罚</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国务院《行政区域界线管理条例》第十七条　违反本条例的规定，故意损毁或者擅自移动界桩或者其他行政区域界线标志物的，应当支付修复标志物的费用，并由所在地负责管理该行政区域界线标志的人民政府民政部门处1000元以下的罚款；构成违反治安管理行为的，并依法给予治安管理处罚。</w:t>
            </w:r>
          </w:p>
        </w:tc>
        <w:tc>
          <w:tcPr>
            <w:tcW w:w="935"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地名办</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4</w:t>
            </w:r>
          </w:p>
        </w:tc>
        <w:tc>
          <w:tcPr>
            <w:tcW w:w="1602" w:type="dxa"/>
            <w:noWrap w:val="0"/>
            <w:vAlign w:val="center"/>
          </w:tcPr>
          <w:p>
            <w:pPr>
              <w:widowControl/>
              <w:textAlignment w:val="center"/>
              <w:rPr>
                <w:rFonts w:hint="eastAsia" w:ascii="仿宋" w:hAnsi="仿宋" w:eastAsia="仿宋" w:cs="仿宋"/>
                <w:sz w:val="24"/>
                <w:szCs w:val="24"/>
              </w:rPr>
            </w:pPr>
            <w:r>
              <w:rPr>
                <w:rFonts w:hint="eastAsia" w:ascii="仿宋" w:hAnsi="仿宋" w:eastAsia="仿宋" w:cs="仿宋"/>
                <w:kern w:val="0"/>
                <w:sz w:val="24"/>
                <w:szCs w:val="24"/>
              </w:rPr>
              <w:t>对擅自编制行政区域界线详图，或者绘制的地图的行政区域界线的画法与行政区域界线详图的画法不一致的处罚</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《行政区域界线管理条例》第十八条　违反本条例的规定，擅自编制行政区域界线详图，或者绘制的地图的行政区域界线的画法与行政区域界线详图的画法不一致的，由有关人民政府民政部门责令停止违法行为，没收违法编制的行政区域界线详图和违法所得，并处1万元以下的罚款。</w:t>
            </w:r>
          </w:p>
        </w:tc>
        <w:tc>
          <w:tcPr>
            <w:tcW w:w="935"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地名办</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5</w:t>
            </w:r>
          </w:p>
        </w:tc>
        <w:tc>
          <w:tcPr>
            <w:tcW w:w="1602" w:type="dxa"/>
            <w:noWrap w:val="0"/>
            <w:vAlign w:val="center"/>
          </w:tcPr>
          <w:p>
            <w:pPr>
              <w:widowControl/>
              <w:textAlignment w:val="center"/>
              <w:rPr>
                <w:rFonts w:hint="eastAsia" w:ascii="仿宋" w:hAnsi="仿宋" w:eastAsia="仿宋" w:cs="仿宋"/>
                <w:sz w:val="24"/>
                <w:szCs w:val="24"/>
              </w:rPr>
            </w:pPr>
            <w:r>
              <w:rPr>
                <w:rFonts w:hint="eastAsia" w:ascii="仿宋" w:hAnsi="仿宋" w:eastAsia="仿宋" w:cs="仿宋"/>
                <w:kern w:val="0"/>
                <w:sz w:val="24"/>
                <w:szCs w:val="24"/>
              </w:rPr>
              <w:t>对公开使用未经批准地名；擅自对地名进行命名、更名；擅自设置、移动、涂改、损坏、玷污和遮挡地名标志等规定行为的处罚</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河南省人民政府令第156号既《河南省地名管理办法》第三十二条，对公开使用未经批准地名；擅自对地名进行命名、更名；擅自设置、移动、涂改、损坏、玷污和遮挡地名标志等规定行为的处以200元以上1000元以下罚款。</w:t>
            </w:r>
          </w:p>
        </w:tc>
        <w:tc>
          <w:tcPr>
            <w:tcW w:w="935"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地名办</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三、</w:t>
            </w:r>
          </w:p>
        </w:tc>
        <w:tc>
          <w:tcPr>
            <w:tcW w:w="1602"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行政强制</w:t>
            </w:r>
          </w:p>
        </w:tc>
        <w:tc>
          <w:tcPr>
            <w:tcW w:w="4898" w:type="dxa"/>
            <w:noWrap w:val="0"/>
            <w:vAlign w:val="center"/>
          </w:tcPr>
          <w:p>
            <w:pPr>
              <w:autoSpaceDN w:val="0"/>
              <w:rPr>
                <w:rFonts w:hint="eastAsia" w:ascii="仿宋" w:hAnsi="仿宋" w:eastAsia="仿宋" w:cs="仿宋"/>
                <w:sz w:val="24"/>
                <w:szCs w:val="24"/>
              </w:rPr>
            </w:pPr>
            <w:r>
              <w:rPr>
                <w:rFonts w:hint="eastAsia" w:ascii="仿宋" w:hAnsi="仿宋" w:eastAsia="仿宋" w:cs="仿宋"/>
                <w:sz w:val="24"/>
                <w:szCs w:val="24"/>
              </w:rPr>
              <w:t>共4项</w:t>
            </w:r>
          </w:p>
        </w:tc>
        <w:tc>
          <w:tcPr>
            <w:tcW w:w="935" w:type="dxa"/>
            <w:noWrap w:val="0"/>
            <w:vAlign w:val="center"/>
          </w:tcPr>
          <w:p>
            <w:pPr>
              <w:autoSpaceDN w:val="0"/>
              <w:jc w:val="center"/>
              <w:rPr>
                <w:rFonts w:hint="eastAsia" w:ascii="仿宋" w:hAnsi="仿宋" w:eastAsia="仿宋" w:cs="仿宋"/>
                <w:sz w:val="24"/>
                <w:szCs w:val="24"/>
              </w:rPr>
            </w:pP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1</w:t>
            </w:r>
          </w:p>
        </w:tc>
        <w:tc>
          <w:tcPr>
            <w:tcW w:w="1602" w:type="dxa"/>
            <w:noWrap w:val="0"/>
            <w:vAlign w:val="center"/>
          </w:tcPr>
          <w:p>
            <w:pPr>
              <w:autoSpaceDN w:val="0"/>
              <w:rPr>
                <w:rFonts w:hint="eastAsia" w:ascii="仿宋" w:hAnsi="仿宋" w:eastAsia="仿宋" w:cs="仿宋"/>
                <w:sz w:val="24"/>
                <w:szCs w:val="24"/>
              </w:rPr>
            </w:pPr>
            <w:r>
              <w:rPr>
                <w:rFonts w:hint="eastAsia" w:ascii="仿宋" w:hAnsi="仿宋" w:eastAsia="仿宋" w:cs="仿宋"/>
                <w:sz w:val="24"/>
                <w:szCs w:val="24"/>
              </w:rPr>
              <w:t>封存被责令限期停止活动的《社会团体法人登记证书》、印章和财务凭证</w:t>
            </w:r>
          </w:p>
        </w:tc>
        <w:tc>
          <w:tcPr>
            <w:tcW w:w="4898" w:type="dxa"/>
            <w:noWrap w:val="0"/>
            <w:vAlign w:val="center"/>
          </w:tcPr>
          <w:p>
            <w:pPr>
              <w:autoSpaceDN w:val="0"/>
              <w:ind w:firstLine="480" w:firstLineChars="200"/>
              <w:rPr>
                <w:rFonts w:hint="eastAsia" w:ascii="仿宋" w:hAnsi="仿宋" w:eastAsia="仿宋" w:cs="仿宋"/>
                <w:sz w:val="24"/>
                <w:szCs w:val="24"/>
              </w:rPr>
            </w:pPr>
            <w:r>
              <w:rPr>
                <w:rFonts w:hint="eastAsia" w:ascii="仿宋" w:hAnsi="仿宋" w:eastAsia="仿宋" w:cs="仿宋"/>
                <w:sz w:val="24"/>
                <w:szCs w:val="24"/>
              </w:rPr>
              <w:t>《社会团体登记管理条例》第三十六条第一款“社会团体被责令限期停止活动的，由登记管理机关封存《社会团体法人登记证书》、印章和财务凭证”</w:t>
            </w:r>
          </w:p>
        </w:tc>
        <w:tc>
          <w:tcPr>
            <w:tcW w:w="935"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bCs/>
                <w:sz w:val="24"/>
                <w:szCs w:val="24"/>
                <w:lang w:eastAsia="zh-CN"/>
              </w:rPr>
              <w:t>社会组织监督管理股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8" w:hRule="atLeast"/>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2</w:t>
            </w:r>
          </w:p>
        </w:tc>
        <w:tc>
          <w:tcPr>
            <w:tcW w:w="1602" w:type="dxa"/>
            <w:noWrap w:val="0"/>
            <w:vAlign w:val="center"/>
          </w:tcPr>
          <w:p>
            <w:pPr>
              <w:autoSpaceDN w:val="0"/>
              <w:rPr>
                <w:rFonts w:hint="eastAsia" w:ascii="仿宋" w:hAnsi="仿宋" w:eastAsia="仿宋" w:cs="仿宋"/>
                <w:sz w:val="24"/>
                <w:szCs w:val="24"/>
              </w:rPr>
            </w:pPr>
            <w:r>
              <w:rPr>
                <w:rFonts w:hint="eastAsia" w:ascii="仿宋" w:hAnsi="仿宋" w:eastAsia="仿宋" w:cs="仿宋"/>
                <w:sz w:val="24"/>
                <w:szCs w:val="24"/>
              </w:rPr>
              <w:t>封存被限期停止活动的民办非企业单位的登记证书、印章和财务凭证</w:t>
            </w:r>
          </w:p>
        </w:tc>
        <w:tc>
          <w:tcPr>
            <w:tcW w:w="4898" w:type="dxa"/>
            <w:noWrap w:val="0"/>
            <w:vAlign w:val="center"/>
          </w:tcPr>
          <w:p>
            <w:pPr>
              <w:autoSpaceDN w:val="0"/>
              <w:ind w:firstLine="480" w:firstLineChars="200"/>
              <w:rPr>
                <w:rFonts w:hint="eastAsia" w:ascii="仿宋" w:hAnsi="仿宋" w:eastAsia="仿宋" w:cs="仿宋"/>
                <w:sz w:val="24"/>
                <w:szCs w:val="24"/>
              </w:rPr>
            </w:pPr>
            <w:r>
              <w:rPr>
                <w:rFonts w:hint="eastAsia" w:ascii="仿宋" w:hAnsi="仿宋" w:eastAsia="仿宋" w:cs="仿宋"/>
                <w:sz w:val="24"/>
                <w:szCs w:val="24"/>
              </w:rPr>
              <w:t>《民办非企业单位登记管理暂行条例》第二十八条第一款“民办非企业单位被限期停止活动的，由登记管理机关封存其登记证书、印章和财务凭证”</w:t>
            </w:r>
          </w:p>
        </w:tc>
        <w:tc>
          <w:tcPr>
            <w:tcW w:w="935"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bCs/>
                <w:sz w:val="24"/>
                <w:szCs w:val="24"/>
                <w:lang w:eastAsia="zh-CN"/>
              </w:rPr>
              <w:t>社会组织监督管理股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3</w:t>
            </w:r>
          </w:p>
        </w:tc>
        <w:tc>
          <w:tcPr>
            <w:tcW w:w="1602" w:type="dxa"/>
            <w:noWrap w:val="0"/>
            <w:vAlign w:val="center"/>
          </w:tcPr>
          <w:p>
            <w:pPr>
              <w:autoSpaceDN w:val="0"/>
              <w:rPr>
                <w:rFonts w:hint="eastAsia" w:ascii="仿宋" w:hAnsi="仿宋" w:eastAsia="仿宋" w:cs="仿宋"/>
                <w:sz w:val="24"/>
                <w:szCs w:val="24"/>
              </w:rPr>
            </w:pPr>
            <w:r>
              <w:rPr>
                <w:rFonts w:hint="eastAsia" w:ascii="仿宋" w:hAnsi="仿宋" w:eastAsia="仿宋" w:cs="仿宋"/>
                <w:sz w:val="24"/>
                <w:szCs w:val="24"/>
              </w:rPr>
              <w:t>取缔未经批准，擅自开展的社会团体筹备活动，或者未经登记，擅自以社会团体名义进行活动，以及被撤销登记的社会团体继续以社会团体名义进行活动的</w:t>
            </w:r>
          </w:p>
        </w:tc>
        <w:tc>
          <w:tcPr>
            <w:tcW w:w="4898" w:type="dxa"/>
            <w:noWrap w:val="0"/>
            <w:vAlign w:val="center"/>
          </w:tcPr>
          <w:p>
            <w:pPr>
              <w:autoSpaceDN w:val="0"/>
              <w:ind w:firstLine="480" w:firstLineChars="200"/>
              <w:rPr>
                <w:rFonts w:hint="eastAsia" w:ascii="仿宋" w:hAnsi="仿宋" w:eastAsia="仿宋" w:cs="仿宋"/>
                <w:sz w:val="24"/>
                <w:szCs w:val="24"/>
              </w:rPr>
            </w:pPr>
            <w:r>
              <w:rPr>
                <w:rFonts w:hint="eastAsia" w:ascii="仿宋" w:hAnsi="仿宋" w:eastAsia="仿宋" w:cs="仿宋"/>
                <w:sz w:val="24"/>
                <w:szCs w:val="24"/>
              </w:rPr>
              <w:t>《社会团体登记管理条例》第三十五条“未经批准，擅自开展社会团体筹备活动，或者未经登记，擅自以社会团体名义进行活动，以及被撤销登记的社会团体继续以社会团体名义进行活动的，由登记管理机关予以取缔，没收非法财产；构成犯罪的，依法追究刑事责任；尚不构成犯罪的，依法给予治安管理处罚。”</w:t>
            </w:r>
          </w:p>
        </w:tc>
        <w:tc>
          <w:tcPr>
            <w:tcW w:w="935"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bCs/>
                <w:sz w:val="24"/>
                <w:szCs w:val="24"/>
                <w:lang w:eastAsia="zh-CN"/>
              </w:rPr>
              <w:t>社会组织监督管理股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4</w:t>
            </w:r>
          </w:p>
        </w:tc>
        <w:tc>
          <w:tcPr>
            <w:tcW w:w="1602" w:type="dxa"/>
            <w:noWrap w:val="0"/>
            <w:vAlign w:val="center"/>
          </w:tcPr>
          <w:p>
            <w:pPr>
              <w:autoSpaceDN w:val="0"/>
              <w:rPr>
                <w:rFonts w:hint="eastAsia" w:ascii="仿宋" w:hAnsi="仿宋" w:eastAsia="仿宋" w:cs="仿宋"/>
                <w:sz w:val="24"/>
                <w:szCs w:val="24"/>
              </w:rPr>
            </w:pPr>
            <w:r>
              <w:rPr>
                <w:rFonts w:hint="eastAsia" w:ascii="仿宋" w:hAnsi="仿宋" w:eastAsia="仿宋" w:cs="仿宋"/>
                <w:sz w:val="24"/>
                <w:szCs w:val="24"/>
              </w:rPr>
              <w:t>取缔未经登记，擅自以民办非企业单位名义进行活动的，或者被撤销登记的民办非企业单位继续以民办非企业单位名义进行活动的</w:t>
            </w:r>
          </w:p>
        </w:tc>
        <w:tc>
          <w:tcPr>
            <w:tcW w:w="4898" w:type="dxa"/>
            <w:noWrap w:val="0"/>
            <w:vAlign w:val="center"/>
          </w:tcPr>
          <w:p>
            <w:pPr>
              <w:autoSpaceDN w:val="0"/>
              <w:ind w:firstLine="480" w:firstLineChars="200"/>
              <w:rPr>
                <w:rFonts w:hint="eastAsia" w:ascii="仿宋" w:hAnsi="仿宋" w:eastAsia="仿宋" w:cs="仿宋"/>
                <w:sz w:val="24"/>
                <w:szCs w:val="24"/>
              </w:rPr>
            </w:pPr>
            <w:r>
              <w:rPr>
                <w:rFonts w:hint="eastAsia" w:ascii="仿宋" w:hAnsi="仿宋" w:eastAsia="仿宋" w:cs="仿宋"/>
                <w:sz w:val="24"/>
                <w:szCs w:val="24"/>
              </w:rPr>
              <w:t>《民办非企业单位登记管理暂行条例》第二十七条“未经登记，擅自以民办非企业单位名义进行活动的，或者被撤销登记的民办非企业单位继续以民办非企业单位名义进行活动的予以取缔，没收非法财产；构成犯罪的，依法追究刑事责任；尚不构成犯罪的，依法给予治安管理处罚。”</w:t>
            </w:r>
          </w:p>
        </w:tc>
        <w:tc>
          <w:tcPr>
            <w:tcW w:w="935"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bCs/>
                <w:sz w:val="24"/>
                <w:szCs w:val="24"/>
                <w:lang w:eastAsia="zh-CN"/>
              </w:rPr>
              <w:t>社会组织监督管理股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四、</w:t>
            </w:r>
          </w:p>
        </w:tc>
        <w:tc>
          <w:tcPr>
            <w:tcW w:w="1602"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行政征收</w:t>
            </w:r>
          </w:p>
        </w:tc>
        <w:tc>
          <w:tcPr>
            <w:tcW w:w="4898" w:type="dxa"/>
            <w:noWrap w:val="0"/>
            <w:vAlign w:val="center"/>
          </w:tcPr>
          <w:p>
            <w:pPr>
              <w:autoSpaceDN w:val="0"/>
              <w:ind w:firstLine="480" w:firstLineChars="200"/>
              <w:rPr>
                <w:rFonts w:hint="eastAsia" w:ascii="仿宋" w:hAnsi="仿宋" w:eastAsia="仿宋" w:cs="仿宋"/>
                <w:sz w:val="24"/>
                <w:szCs w:val="24"/>
              </w:rPr>
            </w:pPr>
            <w:r>
              <w:rPr>
                <w:rFonts w:hint="eastAsia" w:ascii="仿宋" w:hAnsi="仿宋" w:eastAsia="仿宋" w:cs="仿宋"/>
                <w:sz w:val="24"/>
                <w:szCs w:val="24"/>
              </w:rPr>
              <w:t>　共×项</w:t>
            </w:r>
          </w:p>
        </w:tc>
        <w:tc>
          <w:tcPr>
            <w:tcW w:w="935" w:type="dxa"/>
            <w:noWrap w:val="0"/>
            <w:vAlign w:val="center"/>
          </w:tcPr>
          <w:p>
            <w:pPr>
              <w:autoSpaceDN w:val="0"/>
              <w:jc w:val="center"/>
              <w:rPr>
                <w:rFonts w:hint="eastAsia" w:ascii="仿宋" w:hAnsi="仿宋" w:eastAsia="仿宋" w:cs="仿宋"/>
                <w:sz w:val="24"/>
                <w:szCs w:val="24"/>
              </w:rPr>
            </w:pP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五、</w:t>
            </w:r>
          </w:p>
        </w:tc>
        <w:tc>
          <w:tcPr>
            <w:tcW w:w="1602"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行政给付</w:t>
            </w:r>
          </w:p>
        </w:tc>
        <w:tc>
          <w:tcPr>
            <w:tcW w:w="4898" w:type="dxa"/>
            <w:noWrap w:val="0"/>
            <w:vAlign w:val="center"/>
          </w:tcPr>
          <w:p>
            <w:pPr>
              <w:autoSpaceDN w:val="0"/>
              <w:ind w:firstLine="480" w:firstLineChars="200"/>
              <w:rPr>
                <w:rFonts w:hint="eastAsia" w:ascii="仿宋" w:hAnsi="仿宋" w:eastAsia="仿宋" w:cs="仿宋"/>
                <w:sz w:val="24"/>
                <w:szCs w:val="24"/>
              </w:rPr>
            </w:pPr>
            <w:r>
              <w:rPr>
                <w:rFonts w:hint="eastAsia" w:ascii="仿宋" w:hAnsi="仿宋" w:eastAsia="仿宋" w:cs="仿宋"/>
                <w:sz w:val="24"/>
                <w:szCs w:val="24"/>
              </w:rPr>
              <w:t>　共</w:t>
            </w:r>
            <w:r>
              <w:rPr>
                <w:rFonts w:hint="eastAsia" w:ascii="仿宋" w:hAnsi="仿宋" w:eastAsia="仿宋" w:cs="仿宋"/>
                <w:sz w:val="24"/>
                <w:szCs w:val="24"/>
                <w:lang w:val="en-US" w:eastAsia="zh-CN"/>
              </w:rPr>
              <w:t>6</w:t>
            </w:r>
            <w:r>
              <w:rPr>
                <w:rFonts w:hint="eastAsia" w:ascii="仿宋" w:hAnsi="仿宋" w:eastAsia="仿宋" w:cs="仿宋"/>
                <w:sz w:val="24"/>
                <w:szCs w:val="24"/>
              </w:rPr>
              <w:t>项</w:t>
            </w:r>
          </w:p>
        </w:tc>
        <w:tc>
          <w:tcPr>
            <w:tcW w:w="935" w:type="dxa"/>
            <w:noWrap w:val="0"/>
            <w:vAlign w:val="center"/>
          </w:tcPr>
          <w:p>
            <w:pPr>
              <w:autoSpaceDN w:val="0"/>
              <w:jc w:val="center"/>
              <w:rPr>
                <w:rFonts w:hint="eastAsia" w:ascii="仿宋" w:hAnsi="仿宋" w:eastAsia="仿宋" w:cs="仿宋"/>
                <w:sz w:val="24"/>
                <w:szCs w:val="24"/>
              </w:rPr>
            </w:pP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602"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城镇居民最低生活保障金给付</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《社会救助暂行办法》（国务院令第649号）、《城乡居民最低生活保障条例》（国务院令271号）、《河南省社会救助实施办法》（豫政[2014]92号</w:t>
            </w:r>
          </w:p>
        </w:tc>
        <w:tc>
          <w:tcPr>
            <w:tcW w:w="935"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城镇低 保股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602"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农村低保</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《社会救助暂行办法》国务院第649号令、河南省人民政府关于进一步做好城乡居民最低生活保障工作的意见》（豫政[2013]51号）</w:t>
            </w:r>
          </w:p>
        </w:tc>
        <w:tc>
          <w:tcPr>
            <w:tcW w:w="935"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社会救 助股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602"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农村五保</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《社会救助暂行办法》国务院第649号令、《农村五保供养工作条例》国务院第456号令</w:t>
            </w:r>
          </w:p>
        </w:tc>
        <w:tc>
          <w:tcPr>
            <w:tcW w:w="935"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社会救 助股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602"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临时救助</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《社会救助暂行办法》国务院第649号令、河南省人民政府关于全面实施临时救助制度的意见（豫政[2015]32号）</w:t>
            </w:r>
          </w:p>
        </w:tc>
        <w:tc>
          <w:tcPr>
            <w:tcW w:w="935"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社会救</w:t>
            </w:r>
          </w:p>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助股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1602"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孤儿救助</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《河南省人民政府办公厅关于加强孤儿保障工作的意见》</w:t>
            </w:r>
          </w:p>
        </w:tc>
        <w:tc>
          <w:tcPr>
            <w:tcW w:w="935"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社会救 助股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widowControl/>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1602"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90岁以上高龄补贴</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《国务院关于加快发展养老服务业的若干意见》（国发[2013]35号）《周口市人民政府关于加快社会养老服务体系建设的意见》（周政[2013]49号）</w:t>
            </w:r>
          </w:p>
        </w:tc>
        <w:tc>
          <w:tcPr>
            <w:tcW w:w="935"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eastAsia="zh-CN"/>
              </w:rPr>
              <w:t>养老服务股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eastAsia="zh-CN"/>
              </w:rPr>
            </w:pPr>
            <w:r>
              <w:rPr>
                <w:rFonts w:hint="eastAsia" w:ascii="仿宋" w:hAnsi="仿宋" w:eastAsia="仿宋" w:cs="仿宋"/>
                <w:sz w:val="24"/>
                <w:szCs w:val="24"/>
              </w:rPr>
              <w:t>六、</w:t>
            </w:r>
          </w:p>
        </w:tc>
        <w:tc>
          <w:tcPr>
            <w:tcW w:w="1602"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行政裁决</w:t>
            </w:r>
          </w:p>
        </w:tc>
        <w:tc>
          <w:tcPr>
            <w:tcW w:w="4898" w:type="dxa"/>
            <w:noWrap w:val="0"/>
            <w:vAlign w:val="center"/>
          </w:tcPr>
          <w:p>
            <w:pPr>
              <w:autoSpaceDN w:val="0"/>
              <w:ind w:firstLine="480" w:firstLineChars="200"/>
              <w:rPr>
                <w:rFonts w:hint="eastAsia" w:ascii="仿宋" w:hAnsi="仿宋" w:eastAsia="仿宋" w:cs="仿宋"/>
                <w:sz w:val="24"/>
                <w:szCs w:val="24"/>
              </w:rPr>
            </w:pPr>
            <w:r>
              <w:rPr>
                <w:rFonts w:hint="eastAsia" w:ascii="仿宋" w:hAnsi="仿宋" w:eastAsia="仿宋" w:cs="仿宋"/>
                <w:sz w:val="24"/>
                <w:szCs w:val="24"/>
              </w:rPr>
              <w:t>共1项</w:t>
            </w:r>
          </w:p>
        </w:tc>
        <w:tc>
          <w:tcPr>
            <w:tcW w:w="935" w:type="dxa"/>
            <w:noWrap w:val="0"/>
            <w:vAlign w:val="center"/>
          </w:tcPr>
          <w:p>
            <w:pPr>
              <w:autoSpaceDN w:val="0"/>
              <w:jc w:val="center"/>
              <w:rPr>
                <w:rFonts w:hint="eastAsia" w:ascii="仿宋" w:hAnsi="仿宋" w:eastAsia="仿宋" w:cs="仿宋"/>
                <w:sz w:val="24"/>
                <w:szCs w:val="24"/>
              </w:rPr>
            </w:pP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eastAsia="zh-CN"/>
              </w:rPr>
            </w:pPr>
            <w:r>
              <w:rPr>
                <w:rFonts w:hint="eastAsia" w:ascii="仿宋" w:hAnsi="仿宋" w:eastAsia="仿宋" w:cs="仿宋"/>
                <w:sz w:val="24"/>
                <w:szCs w:val="24"/>
              </w:rPr>
              <w:t>1</w:t>
            </w:r>
          </w:p>
        </w:tc>
        <w:tc>
          <w:tcPr>
            <w:tcW w:w="1602"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处理行政区域边界争议</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《行政区域边界争议处理条例》（行政法规。国务院令第26号，自1989年2月3日起施行）第六条第二款 县级以上的地方各级人民政府的民政部门是本级人民政府处理边界争议的主管部门。</w:t>
            </w:r>
          </w:p>
        </w:tc>
        <w:tc>
          <w:tcPr>
            <w:tcW w:w="935"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地名办</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eastAsia="zh-CN"/>
              </w:rPr>
            </w:pPr>
            <w:r>
              <w:rPr>
                <w:rFonts w:hint="eastAsia" w:ascii="仿宋" w:hAnsi="仿宋" w:eastAsia="仿宋" w:cs="仿宋"/>
                <w:sz w:val="24"/>
                <w:szCs w:val="24"/>
              </w:rPr>
              <w:t>七、</w:t>
            </w:r>
          </w:p>
        </w:tc>
        <w:tc>
          <w:tcPr>
            <w:tcW w:w="1602"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行政确认</w:t>
            </w: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共</w:t>
            </w:r>
            <w:r>
              <w:rPr>
                <w:rFonts w:hint="eastAsia" w:ascii="仿宋" w:hAnsi="仿宋" w:eastAsia="仿宋" w:cs="仿宋"/>
                <w:sz w:val="24"/>
                <w:szCs w:val="24"/>
                <w:lang w:val="en-US" w:eastAsia="zh-CN"/>
              </w:rPr>
              <w:t>8</w:t>
            </w:r>
            <w:r>
              <w:rPr>
                <w:rFonts w:hint="eastAsia" w:ascii="仿宋" w:hAnsi="仿宋" w:eastAsia="仿宋" w:cs="仿宋"/>
                <w:sz w:val="24"/>
                <w:szCs w:val="24"/>
              </w:rPr>
              <w:t>项</w:t>
            </w:r>
          </w:p>
        </w:tc>
        <w:tc>
          <w:tcPr>
            <w:tcW w:w="935" w:type="dxa"/>
            <w:noWrap w:val="0"/>
            <w:vAlign w:val="center"/>
          </w:tcPr>
          <w:p>
            <w:pPr>
              <w:jc w:val="center"/>
              <w:rPr>
                <w:rFonts w:hint="eastAsia" w:ascii="仿宋" w:hAnsi="仿宋" w:eastAsia="仿宋" w:cs="仿宋"/>
                <w:sz w:val="24"/>
                <w:szCs w:val="24"/>
              </w:rPr>
            </w:pP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rPr>
              <w:t>1</w:t>
            </w:r>
          </w:p>
        </w:tc>
        <w:tc>
          <w:tcPr>
            <w:tcW w:w="1602"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结婚登记</w:t>
            </w: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《婚姻法》第八条“要求结婚的男女双方必须亲自到婚姻登记机关进行结婚登记”</w:t>
            </w:r>
          </w:p>
        </w:tc>
        <w:tc>
          <w:tcPr>
            <w:tcW w:w="93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婚姻登</w:t>
            </w:r>
          </w:p>
          <w:p>
            <w:pPr>
              <w:jc w:val="center"/>
              <w:rPr>
                <w:rFonts w:hint="eastAsia" w:ascii="仿宋" w:hAnsi="仿宋" w:eastAsia="仿宋" w:cs="仿宋"/>
                <w:sz w:val="24"/>
                <w:szCs w:val="24"/>
              </w:rPr>
            </w:pPr>
            <w:r>
              <w:rPr>
                <w:rFonts w:hint="eastAsia" w:ascii="仿宋" w:hAnsi="仿宋" w:eastAsia="仿宋" w:cs="仿宋"/>
                <w:sz w:val="24"/>
                <w:szCs w:val="24"/>
              </w:rPr>
              <w:t>记所</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rPr>
              <w:t>2</w:t>
            </w:r>
          </w:p>
        </w:tc>
        <w:tc>
          <w:tcPr>
            <w:tcW w:w="1602"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离婚登记</w:t>
            </w: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《婚姻法》第三十一条“男女双方自愿离婚的，准予离婚。双方必须到婚姻登记机关申请离婚。”</w:t>
            </w:r>
          </w:p>
        </w:tc>
        <w:tc>
          <w:tcPr>
            <w:tcW w:w="93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婚姻登</w:t>
            </w:r>
          </w:p>
          <w:p>
            <w:pPr>
              <w:jc w:val="center"/>
              <w:rPr>
                <w:rFonts w:hint="eastAsia" w:ascii="仿宋" w:hAnsi="仿宋" w:eastAsia="仿宋" w:cs="仿宋"/>
                <w:sz w:val="24"/>
                <w:szCs w:val="24"/>
                <w:lang w:eastAsia="zh-CN"/>
              </w:rPr>
            </w:pPr>
            <w:r>
              <w:rPr>
                <w:rFonts w:hint="eastAsia" w:ascii="仿宋" w:hAnsi="仿宋" w:eastAsia="仿宋" w:cs="仿宋"/>
                <w:sz w:val="24"/>
                <w:szCs w:val="24"/>
              </w:rPr>
              <w:t>记所</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3</w:t>
            </w:r>
          </w:p>
        </w:tc>
        <w:tc>
          <w:tcPr>
            <w:tcW w:w="1602"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sz w:val="24"/>
                <w:szCs w:val="24"/>
              </w:rPr>
              <w:t>收养登记</w:t>
            </w:r>
          </w:p>
        </w:tc>
        <w:tc>
          <w:tcPr>
            <w:tcW w:w="4898" w:type="dxa"/>
            <w:noWrap w:val="0"/>
            <w:vAlign w:val="center"/>
          </w:tcPr>
          <w:p>
            <w:pPr>
              <w:ind w:firstLine="480" w:firstLineChars="200"/>
              <w:rPr>
                <w:rFonts w:hint="eastAsia" w:ascii="仿宋" w:hAnsi="仿宋" w:eastAsia="仿宋" w:cs="仿宋"/>
                <w:kern w:val="0"/>
                <w:sz w:val="24"/>
                <w:szCs w:val="24"/>
              </w:rPr>
            </w:pPr>
            <w:r>
              <w:rPr>
                <w:rFonts w:hint="eastAsia" w:ascii="仿宋" w:hAnsi="仿宋" w:eastAsia="仿宋" w:cs="仿宋"/>
                <w:sz w:val="24"/>
                <w:szCs w:val="24"/>
              </w:rPr>
              <w:t>《中华人民共和国收养法》第十五条“收养应当向县级以上人民政府民政部门登记。收养关系自登记之日起成立。”</w:t>
            </w:r>
          </w:p>
        </w:tc>
        <w:tc>
          <w:tcPr>
            <w:tcW w:w="935" w:type="dxa"/>
            <w:noWrap w:val="0"/>
            <w:vAlign w:val="center"/>
          </w:tcPr>
          <w:p>
            <w:pPr>
              <w:jc w:val="center"/>
              <w:rPr>
                <w:rFonts w:hint="eastAsia" w:ascii="仿宋" w:hAnsi="仿宋" w:eastAsia="仿宋" w:cs="仿宋"/>
                <w:kern w:val="0"/>
                <w:sz w:val="24"/>
                <w:szCs w:val="24"/>
              </w:rPr>
            </w:pPr>
            <w:r>
              <w:rPr>
                <w:rFonts w:hint="eastAsia" w:ascii="仿宋" w:hAnsi="仿宋" w:eastAsia="仿宋" w:cs="仿宋"/>
                <w:bCs/>
                <w:sz w:val="24"/>
                <w:szCs w:val="24"/>
                <w:lang w:eastAsia="zh-CN"/>
              </w:rPr>
              <w:t>社会组织监督管理股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4</w:t>
            </w:r>
          </w:p>
        </w:tc>
        <w:tc>
          <w:tcPr>
            <w:tcW w:w="1602"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社会团体变更、注销登记</w:t>
            </w:r>
          </w:p>
        </w:tc>
        <w:tc>
          <w:tcPr>
            <w:tcW w:w="4898" w:type="dxa"/>
            <w:noWrap w:val="0"/>
            <w:vAlign w:val="center"/>
          </w:tcPr>
          <w:p>
            <w:pPr>
              <w:autoSpaceDN w:val="0"/>
              <w:ind w:firstLine="480" w:firstLineChars="200"/>
              <w:rPr>
                <w:rFonts w:hint="eastAsia" w:ascii="仿宋" w:hAnsi="仿宋" w:eastAsia="仿宋" w:cs="仿宋"/>
                <w:sz w:val="24"/>
                <w:szCs w:val="24"/>
              </w:rPr>
            </w:pPr>
            <w:r>
              <w:rPr>
                <w:rFonts w:hint="eastAsia" w:ascii="仿宋" w:hAnsi="仿宋" w:eastAsia="仿宋" w:cs="仿宋"/>
                <w:sz w:val="24"/>
                <w:szCs w:val="24"/>
              </w:rPr>
              <w:t>《社会团体登记管理条例》第二十条“社会团体的登记事项、备案事项需要变更的，应当自业务主管单位审查同意之日起30日内，向登记管理机关申请变更登记、变更备案”。第二十一条“社会团体有下列情形之一的，应当在业务主管单位审查同意后，向登记管理机关申请注销登记、注销备案。”</w:t>
            </w:r>
          </w:p>
        </w:tc>
        <w:tc>
          <w:tcPr>
            <w:tcW w:w="935"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bCs/>
                <w:sz w:val="24"/>
                <w:szCs w:val="24"/>
                <w:lang w:eastAsia="zh-CN"/>
              </w:rPr>
              <w:t>社会组织监督管理股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5</w:t>
            </w:r>
          </w:p>
        </w:tc>
        <w:tc>
          <w:tcPr>
            <w:tcW w:w="1602" w:type="dxa"/>
            <w:noWrap w:val="0"/>
            <w:vAlign w:val="center"/>
          </w:tcPr>
          <w:p>
            <w:pPr>
              <w:autoSpaceDN w:val="0"/>
              <w:jc w:val="center"/>
              <w:rPr>
                <w:rFonts w:hint="eastAsia" w:ascii="仿宋" w:hAnsi="仿宋" w:eastAsia="仿宋" w:cs="仿宋"/>
                <w:kern w:val="0"/>
                <w:sz w:val="24"/>
                <w:szCs w:val="24"/>
              </w:rPr>
            </w:pPr>
            <w:r>
              <w:rPr>
                <w:rFonts w:hint="eastAsia" w:ascii="仿宋" w:hAnsi="仿宋" w:eastAsia="仿宋" w:cs="仿宋"/>
                <w:sz w:val="24"/>
                <w:szCs w:val="24"/>
              </w:rPr>
              <w:t>民办非企业单位变更、注销登记</w:t>
            </w:r>
          </w:p>
        </w:tc>
        <w:tc>
          <w:tcPr>
            <w:tcW w:w="4898" w:type="dxa"/>
            <w:noWrap w:val="0"/>
            <w:vAlign w:val="center"/>
          </w:tcPr>
          <w:p>
            <w:pPr>
              <w:autoSpaceDN w:val="0"/>
              <w:ind w:firstLine="480" w:firstLineChars="200"/>
              <w:rPr>
                <w:rFonts w:hint="eastAsia" w:ascii="仿宋" w:hAnsi="仿宋" w:eastAsia="仿宋" w:cs="仿宋"/>
                <w:sz w:val="24"/>
                <w:szCs w:val="24"/>
              </w:rPr>
            </w:pPr>
            <w:r>
              <w:rPr>
                <w:rFonts w:hint="eastAsia" w:ascii="仿宋" w:hAnsi="仿宋" w:eastAsia="仿宋" w:cs="仿宋"/>
                <w:sz w:val="24"/>
                <w:szCs w:val="24"/>
              </w:rPr>
              <w:t>《民办非企业单位登记管理暂行条例》第十五条“民办非企业单位的登记事项需要变更的，应当自业务主管单位审查同意之日起30日内，向登记管理机关申请变更登记。”第十六条“民办非企业单位自行解散的，分立、合并的，或者由于其他原因需要注销登记的应当向登记管理机关办理注销登记。”</w:t>
            </w:r>
          </w:p>
        </w:tc>
        <w:tc>
          <w:tcPr>
            <w:tcW w:w="935" w:type="dxa"/>
            <w:noWrap w:val="0"/>
            <w:vAlign w:val="top"/>
          </w:tcPr>
          <w:p>
            <w:pPr>
              <w:autoSpaceDN w:val="0"/>
              <w:jc w:val="center"/>
              <w:rPr>
                <w:rFonts w:hint="eastAsia" w:ascii="仿宋" w:hAnsi="仿宋" w:eastAsia="仿宋" w:cs="仿宋"/>
                <w:sz w:val="24"/>
                <w:szCs w:val="24"/>
              </w:rPr>
            </w:pPr>
          </w:p>
          <w:p>
            <w:pPr>
              <w:autoSpaceDN w:val="0"/>
              <w:jc w:val="center"/>
              <w:rPr>
                <w:rFonts w:hint="eastAsia" w:ascii="仿宋" w:hAnsi="仿宋" w:eastAsia="仿宋" w:cs="仿宋"/>
                <w:sz w:val="24"/>
                <w:szCs w:val="24"/>
              </w:rPr>
            </w:pPr>
            <w:r>
              <w:rPr>
                <w:rFonts w:hint="eastAsia" w:ascii="仿宋" w:hAnsi="仿宋" w:eastAsia="仿宋" w:cs="仿宋"/>
                <w:bCs/>
                <w:sz w:val="24"/>
                <w:szCs w:val="24"/>
                <w:lang w:eastAsia="zh-CN"/>
              </w:rPr>
              <w:t>社会组织监督管理股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602"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主管本行政区域的地名工作</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《地名管理条例实施细则》（民政部关于颁发《地名管理条例实施细则》的通知）第七条 县级以上民政管理部门（或地名委员会）主管本行政区域的地名工作。其职责是：贯彻执行国家关于地名工作的方针、政策、法律、法规；落实全国地名工作规划；审核、承办本辖区地名的命名、更名；推行地名的标准化、规范化；设置地名标志；管理地名档案；完成国家其它地名工作任务。</w:t>
            </w:r>
          </w:p>
        </w:tc>
        <w:tc>
          <w:tcPr>
            <w:tcW w:w="935"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地名办</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1602" w:type="dxa"/>
            <w:noWrap w:val="0"/>
            <w:vAlign w:val="center"/>
          </w:tcPr>
          <w:p>
            <w:pPr>
              <w:widowControl/>
              <w:jc w:val="center"/>
              <w:textAlignment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社会团体慈善组织认定</w:t>
            </w:r>
          </w:p>
        </w:tc>
        <w:tc>
          <w:tcPr>
            <w:tcW w:w="4898"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【法律】《中华人民共和国慈善法》</w:t>
            </w:r>
            <w:r>
              <w:rPr>
                <w:rFonts w:hint="eastAsia" w:ascii="仿宋" w:hAnsi="仿宋" w:eastAsia="仿宋" w:cs="仿宋"/>
                <w:kern w:val="0"/>
                <w:sz w:val="24"/>
                <w:szCs w:val="24"/>
                <w:lang w:val="en-US" w:eastAsia="zh-CN"/>
              </w:rPr>
              <w:br w:type="textWrapping"/>
            </w:r>
            <w:r>
              <w:rPr>
                <w:rFonts w:hint="eastAsia" w:ascii="仿宋" w:hAnsi="仿宋" w:eastAsia="仿宋" w:cs="仿宋"/>
                <w:kern w:val="0"/>
                <w:sz w:val="24"/>
                <w:szCs w:val="24"/>
                <w:lang w:val="en-US" w:eastAsia="zh-CN"/>
              </w:rPr>
              <w:t>第十条第二款本法公布前已经设立的基金会、社会团体、社会服务机构等非营利性组织，可以向其登记的民政部门申请认定为慈善组织，民政部门应当自受理申请之日起二十日内作出决定。符合慈善组织条件的，予以认定并向社会公告；不符合慈善组织条件的，不予认定并书面说明理由。</w:t>
            </w:r>
          </w:p>
        </w:tc>
        <w:tc>
          <w:tcPr>
            <w:tcW w:w="935"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慈善管理促进股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1602" w:type="dxa"/>
            <w:noWrap w:val="0"/>
            <w:vAlign w:val="center"/>
          </w:tcPr>
          <w:p>
            <w:pPr>
              <w:widowControl/>
              <w:jc w:val="center"/>
              <w:textAlignment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民办非企业单位慈善组织认定</w:t>
            </w:r>
          </w:p>
        </w:tc>
        <w:tc>
          <w:tcPr>
            <w:tcW w:w="4898" w:type="dxa"/>
            <w:noWrap w:val="0"/>
            <w:vAlign w:val="center"/>
          </w:tcPr>
          <w:p>
            <w:pPr>
              <w:widowControl/>
              <w:jc w:val="center"/>
              <w:textAlignment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【法律】《中华人民共和国慈善法》</w:t>
            </w:r>
            <w:r>
              <w:rPr>
                <w:rFonts w:hint="eastAsia" w:ascii="仿宋" w:hAnsi="仿宋" w:eastAsia="仿宋" w:cs="仿宋"/>
                <w:kern w:val="0"/>
                <w:sz w:val="24"/>
                <w:szCs w:val="24"/>
                <w:lang w:val="en-US" w:eastAsia="zh-CN"/>
              </w:rPr>
              <w:br w:type="textWrapping"/>
            </w:r>
            <w:r>
              <w:rPr>
                <w:rFonts w:hint="eastAsia" w:ascii="仿宋" w:hAnsi="仿宋" w:eastAsia="仿宋" w:cs="仿宋"/>
                <w:kern w:val="0"/>
                <w:sz w:val="24"/>
                <w:szCs w:val="24"/>
                <w:lang w:val="en-US" w:eastAsia="zh-CN"/>
              </w:rPr>
              <w:t>第十条第二款本法公布前已经设立的基金会、社会团体、社会服务机构等非营利性组织，可以向其登记的民政部门申请认定为慈善组织，民政部门应当自受理申请之日起二十日内作出决定。符合慈善组织条件的，予以认定并向社会公告；不符合慈善组织条件的，不予认定并书面说明理由。</w:t>
            </w:r>
          </w:p>
        </w:tc>
        <w:tc>
          <w:tcPr>
            <w:tcW w:w="935"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lang w:eastAsia="zh-CN"/>
              </w:rPr>
              <w:t>慈善管理促进股</w:t>
            </w:r>
          </w:p>
        </w:tc>
        <w:tc>
          <w:tcPr>
            <w:tcW w:w="564" w:type="dxa"/>
            <w:noWrap w:val="0"/>
            <w:vAlign w:val="center"/>
          </w:tcPr>
          <w:p>
            <w:pPr>
              <w:autoSpaceDN w:val="0"/>
              <w:jc w:val="center"/>
              <w:rPr>
                <w:rFonts w:hint="eastAsia" w:ascii="仿宋" w:hAnsi="仿宋" w:eastAsia="仿宋" w:cs="仿宋"/>
                <w:sz w:val="24"/>
                <w:szCs w:val="24"/>
              </w:rPr>
            </w:pPr>
          </w:p>
        </w:tc>
      </w:tr>
      <w:tr>
        <w:tblPrEx>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八</w:t>
            </w:r>
          </w:p>
        </w:tc>
        <w:tc>
          <w:tcPr>
            <w:tcW w:w="1602"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行政奖励</w:t>
            </w:r>
          </w:p>
        </w:tc>
        <w:tc>
          <w:tcPr>
            <w:tcW w:w="4898" w:type="dxa"/>
            <w:noWrap w:val="0"/>
            <w:vAlign w:val="center"/>
          </w:tcPr>
          <w:p>
            <w:pPr>
              <w:autoSpaceDN w:val="0"/>
              <w:ind w:firstLine="480" w:firstLineChars="200"/>
              <w:rPr>
                <w:rFonts w:hint="eastAsia" w:ascii="仿宋" w:hAnsi="仿宋" w:eastAsia="仿宋" w:cs="仿宋"/>
                <w:sz w:val="24"/>
                <w:szCs w:val="24"/>
              </w:rPr>
            </w:pPr>
            <w:r>
              <w:rPr>
                <w:rFonts w:hint="eastAsia" w:ascii="仿宋" w:hAnsi="仿宋" w:eastAsia="仿宋" w:cs="仿宋"/>
                <w:sz w:val="24"/>
                <w:szCs w:val="24"/>
              </w:rPr>
              <w:t>共</w:t>
            </w:r>
            <w:r>
              <w:rPr>
                <w:rFonts w:hint="eastAsia" w:ascii="仿宋" w:hAnsi="仿宋" w:eastAsia="仿宋" w:cs="仿宋"/>
                <w:sz w:val="24"/>
                <w:szCs w:val="24"/>
                <w:lang w:val="en-US" w:eastAsia="zh-CN"/>
              </w:rPr>
              <w:t>1</w:t>
            </w:r>
            <w:r>
              <w:rPr>
                <w:rFonts w:hint="eastAsia" w:ascii="仿宋" w:hAnsi="仿宋" w:eastAsia="仿宋" w:cs="仿宋"/>
                <w:sz w:val="24"/>
                <w:szCs w:val="24"/>
              </w:rPr>
              <w:t>项</w:t>
            </w:r>
          </w:p>
        </w:tc>
        <w:tc>
          <w:tcPr>
            <w:tcW w:w="935" w:type="dxa"/>
            <w:noWrap w:val="0"/>
            <w:vAlign w:val="center"/>
          </w:tcPr>
          <w:p>
            <w:pPr>
              <w:autoSpaceDN w:val="0"/>
              <w:jc w:val="center"/>
              <w:rPr>
                <w:rFonts w:hint="eastAsia" w:ascii="仿宋" w:hAnsi="仿宋" w:eastAsia="仿宋" w:cs="仿宋"/>
                <w:sz w:val="24"/>
                <w:szCs w:val="24"/>
              </w:rPr>
            </w:pP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widowControl/>
              <w:jc w:val="center"/>
              <w:textAlignment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w:t>
            </w:r>
          </w:p>
        </w:tc>
        <w:tc>
          <w:tcPr>
            <w:tcW w:w="1602" w:type="dxa"/>
            <w:noWrap w:val="0"/>
            <w:vAlign w:val="center"/>
          </w:tcPr>
          <w:p>
            <w:pPr>
              <w:widowControl/>
              <w:jc w:val="center"/>
              <w:textAlignment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慈善表彰</w:t>
            </w:r>
          </w:p>
        </w:tc>
        <w:tc>
          <w:tcPr>
            <w:tcW w:w="4898" w:type="dxa"/>
            <w:noWrap w:val="0"/>
            <w:vAlign w:val="center"/>
          </w:tcPr>
          <w:p>
            <w:pPr>
              <w:widowControl/>
              <w:jc w:val="center"/>
              <w:textAlignment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《中华人民共和国慈善法》第九十一条 “国家建立慈善表彰制度，对在慈善事业发展中做出突出贡献的自然人、法人和其他组织由县级以上人民政府或有关部门予以表彰”。</w:t>
            </w:r>
          </w:p>
        </w:tc>
        <w:tc>
          <w:tcPr>
            <w:tcW w:w="935" w:type="dxa"/>
            <w:noWrap w:val="0"/>
            <w:vAlign w:val="center"/>
          </w:tcPr>
          <w:p>
            <w:pPr>
              <w:widowControl/>
              <w:jc w:val="center"/>
              <w:textAlignment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慈善管理促进股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九</w:t>
            </w:r>
          </w:p>
        </w:tc>
        <w:tc>
          <w:tcPr>
            <w:tcW w:w="1602"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sz w:val="24"/>
                <w:szCs w:val="24"/>
              </w:rPr>
              <w:t>其他行政权力</w:t>
            </w:r>
          </w:p>
        </w:tc>
        <w:tc>
          <w:tcPr>
            <w:tcW w:w="4898" w:type="dxa"/>
            <w:noWrap w:val="0"/>
            <w:vAlign w:val="center"/>
          </w:tcPr>
          <w:p>
            <w:pPr>
              <w:autoSpaceDN w:val="0"/>
              <w:ind w:firstLine="480" w:firstLineChars="200"/>
              <w:rPr>
                <w:rFonts w:hint="eastAsia" w:ascii="仿宋" w:hAnsi="仿宋" w:eastAsia="仿宋" w:cs="仿宋"/>
                <w:sz w:val="24"/>
                <w:szCs w:val="24"/>
              </w:rPr>
            </w:pPr>
            <w:r>
              <w:rPr>
                <w:rFonts w:hint="eastAsia" w:ascii="仿宋" w:hAnsi="仿宋" w:eastAsia="仿宋" w:cs="仿宋"/>
                <w:sz w:val="24"/>
                <w:szCs w:val="24"/>
              </w:rPr>
              <w:t>共1</w:t>
            </w:r>
            <w:r>
              <w:rPr>
                <w:rFonts w:hint="eastAsia" w:ascii="仿宋" w:hAnsi="仿宋" w:eastAsia="仿宋" w:cs="仿宋"/>
                <w:sz w:val="24"/>
                <w:szCs w:val="24"/>
                <w:lang w:val="en-US" w:eastAsia="zh-CN"/>
              </w:rPr>
              <w:t>0</w:t>
            </w:r>
            <w:r>
              <w:rPr>
                <w:rFonts w:hint="eastAsia" w:ascii="仿宋" w:hAnsi="仿宋" w:eastAsia="仿宋" w:cs="仿宋"/>
                <w:sz w:val="24"/>
                <w:szCs w:val="24"/>
              </w:rPr>
              <w:t>项</w:t>
            </w:r>
          </w:p>
        </w:tc>
        <w:tc>
          <w:tcPr>
            <w:tcW w:w="935" w:type="dxa"/>
            <w:noWrap w:val="0"/>
            <w:vAlign w:val="center"/>
          </w:tcPr>
          <w:p>
            <w:pPr>
              <w:autoSpaceDN w:val="0"/>
              <w:jc w:val="center"/>
              <w:rPr>
                <w:rFonts w:hint="eastAsia" w:ascii="仿宋" w:hAnsi="仿宋" w:eastAsia="仿宋" w:cs="仿宋"/>
                <w:sz w:val="24"/>
                <w:szCs w:val="24"/>
              </w:rPr>
            </w:pP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602"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低保对象家庭信息核查</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《社会救助暂行办法》（国务院令第649号）、《城乡居民最低生活保障条例》（国务院令271号）、《河南省社会救助实施办法》（豫政[2014]92号</w:t>
            </w:r>
          </w:p>
        </w:tc>
        <w:tc>
          <w:tcPr>
            <w:tcW w:w="935"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城镇低 保股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602"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老年证办理（60岁以上）</w:t>
            </w:r>
          </w:p>
        </w:tc>
        <w:tc>
          <w:tcPr>
            <w:tcW w:w="4898" w:type="dxa"/>
            <w:noWrap w:val="0"/>
            <w:vAlign w:val="center"/>
          </w:tcPr>
          <w:p>
            <w:pPr>
              <w:widowControl/>
              <w:ind w:firstLine="480" w:firstLineChars="200"/>
              <w:textAlignment w:val="center"/>
              <w:rPr>
                <w:rFonts w:hint="eastAsia" w:ascii="仿宋" w:hAnsi="仿宋" w:eastAsia="仿宋" w:cs="仿宋"/>
                <w:kern w:val="0"/>
                <w:sz w:val="24"/>
                <w:szCs w:val="24"/>
              </w:rPr>
            </w:pPr>
            <w:r>
              <w:rPr>
                <w:rFonts w:hint="eastAsia" w:ascii="仿宋" w:hAnsi="仿宋" w:eastAsia="仿宋" w:cs="仿宋"/>
                <w:kern w:val="0"/>
                <w:sz w:val="24"/>
                <w:szCs w:val="24"/>
              </w:rPr>
              <w:t>《周口市人民政府关于加快社会养老服务体系建设的意见》（周政[2013]49号）</w:t>
            </w:r>
          </w:p>
        </w:tc>
        <w:tc>
          <w:tcPr>
            <w:tcW w:w="935"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sz w:val="24"/>
                <w:szCs w:val="24"/>
                <w:shd w:val="clear" w:color="auto" w:fill="FFFFFF"/>
                <w:lang w:eastAsia="zh-CN"/>
              </w:rPr>
              <w:t>养老服务股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602"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门牌号码编制</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河南省人民政府令第156号既《河南省地名管理办法》第十四条，民政部门负责统一编制门牌号码后发放</w:t>
            </w:r>
          </w:p>
        </w:tc>
        <w:tc>
          <w:tcPr>
            <w:tcW w:w="935"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地名办</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602"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地名标志设置</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河南省人民政府令第156号既《河南省地名管理办法》第二十七条，民政部门负责设置、维护和管理行政区域界位、居民地、门牌号、专业区和重要自然地理实体的地名标志。</w:t>
            </w:r>
          </w:p>
        </w:tc>
        <w:tc>
          <w:tcPr>
            <w:tcW w:w="935"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地名办</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1602" w:type="dxa"/>
            <w:noWrap w:val="0"/>
            <w:vAlign w:val="center"/>
          </w:tcPr>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地名出版物编纂</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河南省人民政府令第156号既《河南省地名管理办法》第二十四条，标准地名出版物由民政部门负责编纂</w:t>
            </w:r>
          </w:p>
        </w:tc>
        <w:tc>
          <w:tcPr>
            <w:tcW w:w="935" w:type="dxa"/>
            <w:noWrap w:val="0"/>
            <w:vAlign w:val="center"/>
          </w:tcPr>
          <w:p>
            <w:pPr>
              <w:autoSpaceDN w:val="0"/>
              <w:jc w:val="center"/>
              <w:rPr>
                <w:rFonts w:hint="eastAsia" w:ascii="仿宋" w:hAnsi="仿宋" w:eastAsia="仿宋" w:cs="仿宋"/>
                <w:sz w:val="24"/>
                <w:szCs w:val="24"/>
              </w:rPr>
            </w:pPr>
            <w:r>
              <w:rPr>
                <w:rFonts w:hint="eastAsia" w:ascii="仿宋" w:hAnsi="仿宋" w:eastAsia="仿宋" w:cs="仿宋"/>
                <w:sz w:val="24"/>
                <w:szCs w:val="24"/>
              </w:rPr>
              <w:t>地名办</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w:t>
            </w:r>
          </w:p>
        </w:tc>
        <w:tc>
          <w:tcPr>
            <w:tcW w:w="1602"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殡葬管理公墓建设审核和审批</w:t>
            </w:r>
          </w:p>
        </w:tc>
        <w:tc>
          <w:tcPr>
            <w:tcW w:w="4898" w:type="dxa"/>
            <w:noWrap w:val="0"/>
            <w:vAlign w:val="center"/>
          </w:tcPr>
          <w:p>
            <w:pPr>
              <w:widowControl/>
              <w:ind w:firstLine="480" w:firstLineChars="200"/>
              <w:textAlignment w:val="center"/>
              <w:rPr>
                <w:rFonts w:hint="eastAsia" w:ascii="仿宋" w:hAnsi="仿宋" w:eastAsia="仿宋" w:cs="仿宋"/>
                <w:sz w:val="24"/>
                <w:szCs w:val="24"/>
              </w:rPr>
            </w:pPr>
            <w:r>
              <w:rPr>
                <w:rFonts w:hint="eastAsia" w:ascii="仿宋" w:hAnsi="仿宋" w:eastAsia="仿宋" w:cs="仿宋"/>
                <w:kern w:val="0"/>
                <w:sz w:val="24"/>
                <w:szCs w:val="24"/>
              </w:rPr>
              <w:t>《殡葬管理条例》</w:t>
            </w:r>
          </w:p>
        </w:tc>
        <w:tc>
          <w:tcPr>
            <w:tcW w:w="935" w:type="dxa"/>
            <w:noWrap w:val="0"/>
            <w:vAlign w:val="center"/>
          </w:tcPr>
          <w:p>
            <w:pPr>
              <w:widowControl/>
              <w:jc w:val="center"/>
              <w:textAlignment w:val="center"/>
              <w:rPr>
                <w:rFonts w:hint="eastAsia" w:ascii="仿宋" w:hAnsi="仿宋" w:eastAsia="仿宋" w:cs="仿宋"/>
                <w:kern w:val="0"/>
                <w:sz w:val="24"/>
                <w:szCs w:val="24"/>
              </w:rPr>
            </w:pPr>
            <w:r>
              <w:rPr>
                <w:rFonts w:hint="eastAsia" w:ascii="仿宋" w:hAnsi="仿宋" w:eastAsia="仿宋" w:cs="仿宋"/>
                <w:kern w:val="0"/>
                <w:sz w:val="24"/>
                <w:szCs w:val="24"/>
              </w:rPr>
              <w:t>社会事</w:t>
            </w:r>
          </w:p>
          <w:p>
            <w:pPr>
              <w:widowControl/>
              <w:jc w:val="center"/>
              <w:textAlignment w:val="center"/>
              <w:rPr>
                <w:rFonts w:hint="eastAsia" w:ascii="仿宋" w:hAnsi="仿宋" w:eastAsia="仿宋" w:cs="仿宋"/>
                <w:sz w:val="24"/>
                <w:szCs w:val="24"/>
              </w:rPr>
            </w:pPr>
            <w:r>
              <w:rPr>
                <w:rFonts w:hint="eastAsia" w:ascii="仿宋" w:hAnsi="仿宋" w:eastAsia="仿宋" w:cs="仿宋"/>
                <w:kern w:val="0"/>
                <w:sz w:val="24"/>
                <w:szCs w:val="24"/>
              </w:rPr>
              <w:t>务股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5" w:hRule="atLeast"/>
          <w:jc w:val="center"/>
        </w:trPr>
        <w:tc>
          <w:tcPr>
            <w:tcW w:w="1186" w:type="dxa"/>
            <w:noWrap w:val="0"/>
            <w:vAlign w:val="center"/>
          </w:tcPr>
          <w:p>
            <w:pPr>
              <w:autoSpaceDN w:val="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1602"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社团年检</w:t>
            </w:r>
          </w:p>
        </w:tc>
        <w:tc>
          <w:tcPr>
            <w:tcW w:w="4898" w:type="dxa"/>
            <w:noWrap w:val="0"/>
            <w:vAlign w:val="center"/>
          </w:tcPr>
          <w:p>
            <w:pPr>
              <w:tabs>
                <w:tab w:val="left" w:pos="762"/>
              </w:tabs>
              <w:ind w:firstLine="480" w:firstLineChars="200"/>
              <w:rPr>
                <w:rFonts w:hint="eastAsia" w:ascii="仿宋" w:hAnsi="仿宋" w:eastAsia="仿宋" w:cs="仿宋"/>
                <w:sz w:val="24"/>
                <w:szCs w:val="24"/>
              </w:rPr>
            </w:pPr>
            <w:r>
              <w:rPr>
                <w:rFonts w:hint="eastAsia" w:ascii="仿宋" w:hAnsi="仿宋" w:eastAsia="仿宋" w:cs="仿宋"/>
                <w:sz w:val="24"/>
                <w:szCs w:val="24"/>
              </w:rPr>
              <w:t>《社会团体登记管理条例》第三十一条“社会团体应当于每年3月31日前向业务主管单位报送上一年度的工作报告，经业务主管单位初审同意后，于5月31日前报送登记管理机关，接受年度检查。”</w:t>
            </w:r>
          </w:p>
        </w:tc>
        <w:tc>
          <w:tcPr>
            <w:tcW w:w="935" w:type="dxa"/>
            <w:noWrap w:val="0"/>
            <w:vAlign w:val="center"/>
          </w:tcPr>
          <w:p>
            <w:pPr>
              <w:jc w:val="center"/>
              <w:rPr>
                <w:rFonts w:hint="eastAsia" w:ascii="仿宋" w:hAnsi="仿宋" w:eastAsia="仿宋" w:cs="仿宋"/>
                <w:sz w:val="24"/>
                <w:szCs w:val="24"/>
              </w:rPr>
            </w:pPr>
            <w:r>
              <w:rPr>
                <w:rFonts w:hint="eastAsia" w:ascii="仿宋" w:hAnsi="仿宋" w:eastAsia="仿宋" w:cs="仿宋"/>
                <w:bCs/>
                <w:sz w:val="24"/>
                <w:szCs w:val="24"/>
                <w:lang w:eastAsia="zh-CN"/>
              </w:rPr>
              <w:t>社会组织监督管理股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1602"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民办非企业单位年检</w:t>
            </w:r>
          </w:p>
        </w:tc>
        <w:tc>
          <w:tcPr>
            <w:tcW w:w="4898" w:type="dxa"/>
            <w:noWrap w:val="0"/>
            <w:vAlign w:val="center"/>
          </w:tcPr>
          <w:p>
            <w:pPr>
              <w:ind w:firstLine="480" w:firstLineChars="200"/>
              <w:rPr>
                <w:rFonts w:hint="eastAsia" w:ascii="仿宋" w:hAnsi="仿宋" w:eastAsia="仿宋" w:cs="仿宋"/>
                <w:sz w:val="24"/>
                <w:szCs w:val="24"/>
              </w:rPr>
            </w:pPr>
            <w:r>
              <w:rPr>
                <w:rFonts w:hint="eastAsia" w:ascii="仿宋" w:hAnsi="仿宋" w:eastAsia="仿宋" w:cs="仿宋"/>
                <w:sz w:val="24"/>
                <w:szCs w:val="24"/>
              </w:rPr>
              <w:t>《民办非企业单位登记管理暂行条例》第二十三条“民办非企业单位应当于每年3月31日前向业务主管单位报送上一年度的工作报告，经业务主管单位初审同意后，于5月31日前报送登记管理机关，接受年度检查。”</w:t>
            </w:r>
          </w:p>
        </w:tc>
        <w:tc>
          <w:tcPr>
            <w:tcW w:w="935" w:type="dxa"/>
            <w:noWrap w:val="0"/>
            <w:vAlign w:val="center"/>
          </w:tcPr>
          <w:p>
            <w:pPr>
              <w:jc w:val="center"/>
              <w:rPr>
                <w:rFonts w:hint="eastAsia" w:ascii="仿宋" w:hAnsi="仿宋" w:eastAsia="仿宋" w:cs="仿宋"/>
                <w:sz w:val="24"/>
                <w:szCs w:val="24"/>
              </w:rPr>
            </w:pPr>
            <w:r>
              <w:rPr>
                <w:rFonts w:hint="eastAsia" w:ascii="仿宋" w:hAnsi="仿宋" w:eastAsia="仿宋" w:cs="仿宋"/>
                <w:bCs/>
                <w:sz w:val="24"/>
                <w:szCs w:val="24"/>
                <w:lang w:eastAsia="zh-CN"/>
              </w:rPr>
              <w:t>社会组织监督管理股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1602"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慈善信托设立备案</w:t>
            </w:r>
          </w:p>
        </w:tc>
        <w:tc>
          <w:tcPr>
            <w:tcW w:w="4898"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《中华人民共和国慈善法》第四十五条 受托人应当在慈善信托文件签订之日起七日内，将相关文件向受托人所在地县级以上人民政府民政部门备案</w:t>
            </w:r>
          </w:p>
        </w:tc>
        <w:tc>
          <w:tcPr>
            <w:tcW w:w="93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shd w:val="clear" w:color="auto" w:fill="FFFFFF"/>
                <w:lang w:eastAsia="zh-CN"/>
              </w:rPr>
              <w:t>养老服务股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w:t>
            </w:r>
          </w:p>
        </w:tc>
        <w:tc>
          <w:tcPr>
            <w:tcW w:w="1602"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慈善信托重新备案</w:t>
            </w:r>
          </w:p>
        </w:tc>
        <w:tc>
          <w:tcPr>
            <w:tcW w:w="4898"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《中华人民共和国慈善法》第四十五条 受托人应当在慈善信托文件签订之日起七日内，将相关文件向受托人所在地县级以上人民政府民政部门备案</w:t>
            </w:r>
          </w:p>
        </w:tc>
        <w:tc>
          <w:tcPr>
            <w:tcW w:w="93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shd w:val="clear" w:color="auto" w:fill="FFFFFF"/>
                <w:lang w:eastAsia="zh-CN"/>
              </w:rPr>
              <w:t>养老服务股</w:t>
            </w: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jc w:val="center"/>
              <w:rPr>
                <w:rFonts w:hint="eastAsia" w:ascii="仿宋" w:hAnsi="仿宋" w:eastAsia="仿宋" w:cs="仿宋"/>
                <w:sz w:val="24"/>
                <w:szCs w:val="24"/>
              </w:rPr>
            </w:pPr>
          </w:p>
        </w:tc>
        <w:tc>
          <w:tcPr>
            <w:tcW w:w="1602" w:type="dxa"/>
            <w:noWrap w:val="0"/>
            <w:vAlign w:val="center"/>
          </w:tcPr>
          <w:p>
            <w:pPr>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p>
        </w:tc>
        <w:tc>
          <w:tcPr>
            <w:tcW w:w="935" w:type="dxa"/>
            <w:noWrap w:val="0"/>
            <w:vAlign w:val="center"/>
          </w:tcPr>
          <w:p>
            <w:pPr>
              <w:jc w:val="center"/>
              <w:rPr>
                <w:rFonts w:hint="eastAsia" w:ascii="仿宋" w:hAnsi="仿宋" w:eastAsia="仿宋" w:cs="仿宋"/>
                <w:sz w:val="24"/>
                <w:szCs w:val="24"/>
              </w:rPr>
            </w:pP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jc w:val="center"/>
              <w:rPr>
                <w:rFonts w:hint="eastAsia" w:ascii="仿宋" w:hAnsi="仿宋" w:eastAsia="仿宋" w:cs="仿宋"/>
                <w:sz w:val="24"/>
                <w:szCs w:val="24"/>
              </w:rPr>
            </w:pPr>
          </w:p>
        </w:tc>
        <w:tc>
          <w:tcPr>
            <w:tcW w:w="1602" w:type="dxa"/>
            <w:noWrap w:val="0"/>
            <w:vAlign w:val="center"/>
          </w:tcPr>
          <w:p>
            <w:pPr>
              <w:jc w:val="center"/>
              <w:rPr>
                <w:rFonts w:hint="eastAsia" w:ascii="仿宋" w:hAnsi="仿宋" w:eastAsia="仿宋" w:cs="仿宋"/>
                <w:sz w:val="24"/>
                <w:szCs w:val="24"/>
              </w:rPr>
            </w:pPr>
          </w:p>
        </w:tc>
        <w:tc>
          <w:tcPr>
            <w:tcW w:w="4898" w:type="dxa"/>
            <w:noWrap w:val="0"/>
            <w:vAlign w:val="center"/>
          </w:tcPr>
          <w:p>
            <w:pPr>
              <w:ind w:firstLine="480" w:firstLineChars="200"/>
              <w:rPr>
                <w:rFonts w:hint="eastAsia" w:ascii="仿宋" w:hAnsi="仿宋" w:eastAsia="仿宋" w:cs="仿宋"/>
                <w:sz w:val="24"/>
                <w:szCs w:val="24"/>
              </w:rPr>
            </w:pPr>
          </w:p>
        </w:tc>
        <w:tc>
          <w:tcPr>
            <w:tcW w:w="935" w:type="dxa"/>
            <w:noWrap w:val="0"/>
            <w:vAlign w:val="center"/>
          </w:tcPr>
          <w:p>
            <w:pPr>
              <w:jc w:val="center"/>
              <w:rPr>
                <w:rFonts w:hint="eastAsia" w:ascii="仿宋" w:hAnsi="仿宋" w:eastAsia="仿宋" w:cs="仿宋"/>
                <w:sz w:val="24"/>
                <w:szCs w:val="24"/>
              </w:rPr>
            </w:pPr>
          </w:p>
        </w:tc>
        <w:tc>
          <w:tcPr>
            <w:tcW w:w="564" w:type="dxa"/>
            <w:noWrap w:val="0"/>
            <w:vAlign w:val="center"/>
          </w:tcPr>
          <w:p>
            <w:pPr>
              <w:autoSpaceDN w:val="0"/>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noWrap w:val="0"/>
            <w:vAlign w:val="center"/>
          </w:tcPr>
          <w:p>
            <w:pPr>
              <w:jc w:val="center"/>
              <w:rPr>
                <w:rFonts w:hint="eastAsia" w:ascii="仿宋" w:hAnsi="仿宋" w:eastAsia="仿宋" w:cs="仿宋"/>
                <w:sz w:val="24"/>
                <w:szCs w:val="24"/>
              </w:rPr>
            </w:pPr>
          </w:p>
        </w:tc>
        <w:tc>
          <w:tcPr>
            <w:tcW w:w="1602" w:type="dxa"/>
            <w:noWrap w:val="0"/>
            <w:vAlign w:val="center"/>
          </w:tcPr>
          <w:p>
            <w:pPr>
              <w:jc w:val="center"/>
              <w:rPr>
                <w:rFonts w:hint="eastAsia" w:ascii="仿宋" w:hAnsi="仿宋" w:eastAsia="仿宋" w:cs="仿宋"/>
                <w:kern w:val="0"/>
                <w:sz w:val="24"/>
                <w:szCs w:val="24"/>
              </w:rPr>
            </w:pPr>
          </w:p>
        </w:tc>
        <w:tc>
          <w:tcPr>
            <w:tcW w:w="4898" w:type="dxa"/>
            <w:noWrap w:val="0"/>
            <w:vAlign w:val="center"/>
          </w:tcPr>
          <w:p>
            <w:pPr>
              <w:ind w:firstLine="480" w:firstLineChars="200"/>
              <w:rPr>
                <w:rFonts w:hint="eastAsia" w:ascii="仿宋" w:hAnsi="仿宋" w:eastAsia="仿宋" w:cs="仿宋"/>
                <w:kern w:val="0"/>
                <w:sz w:val="24"/>
                <w:szCs w:val="24"/>
              </w:rPr>
            </w:pPr>
          </w:p>
        </w:tc>
        <w:tc>
          <w:tcPr>
            <w:tcW w:w="935" w:type="dxa"/>
            <w:noWrap w:val="0"/>
            <w:vAlign w:val="center"/>
          </w:tcPr>
          <w:p>
            <w:pPr>
              <w:jc w:val="center"/>
              <w:rPr>
                <w:rFonts w:hint="eastAsia" w:ascii="仿宋" w:hAnsi="仿宋" w:eastAsia="仿宋" w:cs="仿宋"/>
                <w:sz w:val="24"/>
                <w:szCs w:val="24"/>
              </w:rPr>
            </w:pPr>
          </w:p>
        </w:tc>
        <w:tc>
          <w:tcPr>
            <w:tcW w:w="564" w:type="dxa"/>
            <w:noWrap w:val="0"/>
            <w:vAlign w:val="center"/>
          </w:tcPr>
          <w:p>
            <w:pPr>
              <w:autoSpaceDN w:val="0"/>
              <w:jc w:val="center"/>
              <w:rPr>
                <w:rFonts w:hint="eastAsia" w:ascii="仿宋" w:hAnsi="仿宋" w:eastAsia="仿宋" w:cs="仿宋"/>
                <w:sz w:val="24"/>
                <w:szCs w:val="24"/>
              </w:rPr>
            </w:pPr>
          </w:p>
        </w:tc>
      </w:tr>
    </w:tbl>
    <w:p>
      <w:pPr>
        <w:rPr>
          <w:rFonts w:ascii="宋体" w:cs="仿宋_GB2312"/>
          <w:szCs w:val="21"/>
        </w:rPr>
      </w:pPr>
    </w:p>
    <w:p>
      <w:pPr>
        <w:spacing w:line="600" w:lineRule="exact"/>
        <w:jc w:val="both"/>
        <w:rPr>
          <w:rFonts w:hint="default" w:ascii="仿宋" w:hAnsi="仿宋" w:eastAsia="仿宋" w:cs="仿宋"/>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4C64D4"/>
    <w:rsid w:val="13E844E4"/>
    <w:rsid w:val="13EF5835"/>
    <w:rsid w:val="15D10726"/>
    <w:rsid w:val="20117596"/>
    <w:rsid w:val="21AC7459"/>
    <w:rsid w:val="2AF76E2B"/>
    <w:rsid w:val="314518D8"/>
    <w:rsid w:val="382856A9"/>
    <w:rsid w:val="3C7B32B0"/>
    <w:rsid w:val="41C20D2F"/>
    <w:rsid w:val="45E919AB"/>
    <w:rsid w:val="4D6F5015"/>
    <w:rsid w:val="51AC7430"/>
    <w:rsid w:val="6498548B"/>
    <w:rsid w:val="6FD61304"/>
    <w:rsid w:val="7B0F3D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2019-12-05T09:52:00Z</cp:lastPrinted>
  <dcterms:modified xsi:type="dcterms:W3CDTF">2019-12-27T09:05:06Z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