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w:t>
      </w:r>
    </w:p>
    <w:p>
      <w:pPr>
        <w:jc w:val="center"/>
        <w:rPr>
          <w:rFonts w:hint="eastAsia" w:ascii="方正小标宋简体" w:hAnsi="方正小标宋简体" w:eastAsia="方正小标宋简体" w:cs="方正小标宋简体"/>
          <w:sz w:val="44"/>
          <w:szCs w:val="44"/>
          <w:lang w:val="en-US" w:eastAsia="zh-CN"/>
        </w:rPr>
      </w:pPr>
      <w:r>
        <w:rPr>
          <w:rFonts w:hint="eastAsia" w:ascii="宋体" w:hAnsi="宋体" w:eastAsia="宋体" w:cs="宋体"/>
          <w:b/>
          <w:bCs/>
          <w:sz w:val="44"/>
          <w:szCs w:val="44"/>
          <w:lang w:val="en-US" w:eastAsia="zh-CN"/>
        </w:rPr>
        <w:t>西华县民族宗教事务局权力清单</w:t>
      </w:r>
    </w:p>
    <w:p>
      <w:pPr>
        <w:jc w:val="center"/>
        <w:rPr>
          <w:rFonts w:hint="eastAsia" w:ascii="方正小标宋简体" w:hAnsi="方正小标宋简体" w:eastAsia="方正小标宋简体" w:cs="方正小标宋简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（一）行政权力登记表</w:t>
      </w:r>
    </w:p>
    <w:tbl>
      <w:tblPr>
        <w:tblStyle w:val="2"/>
        <w:tblW w:w="9764" w:type="dxa"/>
        <w:jc w:val="center"/>
        <w:tblCellSpacing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852"/>
        <w:gridCol w:w="1720"/>
        <w:gridCol w:w="5730"/>
        <w:gridCol w:w="1462"/>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67"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序号</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职权名称</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事 实 依 据</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承办机构</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行政许可（共2项）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984"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宗教团体、宗教活动场所接受</w:t>
            </w:r>
            <w:r>
              <w:rPr>
                <w:rFonts w:hint="eastAsia" w:ascii="仿宋" w:hAnsi="仿宋" w:eastAsia="仿宋" w:cs="仿宋"/>
                <w:b w:val="0"/>
                <w:bCs w:val="0"/>
                <w:sz w:val="24"/>
                <w:szCs w:val="24"/>
                <w:lang w:eastAsia="zh-CN"/>
              </w:rPr>
              <w:t>境外组织和个人</w:t>
            </w:r>
            <w:r>
              <w:rPr>
                <w:rFonts w:hint="eastAsia" w:ascii="仿宋" w:hAnsi="仿宋" w:eastAsia="仿宋" w:cs="仿宋"/>
                <w:b w:val="0"/>
                <w:bCs w:val="0"/>
                <w:sz w:val="24"/>
                <w:szCs w:val="24"/>
              </w:rPr>
              <w:t>捐赠</w:t>
            </w:r>
            <w:r>
              <w:rPr>
                <w:rFonts w:hint="eastAsia" w:ascii="仿宋" w:hAnsi="仿宋" w:eastAsia="仿宋" w:cs="仿宋"/>
                <w:b w:val="0"/>
                <w:bCs w:val="0"/>
                <w:sz w:val="24"/>
                <w:szCs w:val="24"/>
                <w:lang w:eastAsia="zh-CN"/>
              </w:rPr>
              <w:t>（超过</w:t>
            </w:r>
            <w:r>
              <w:rPr>
                <w:rFonts w:hint="eastAsia" w:ascii="仿宋" w:hAnsi="仿宋" w:eastAsia="仿宋" w:cs="仿宋"/>
                <w:b w:val="0"/>
                <w:bCs w:val="0"/>
                <w:sz w:val="24"/>
                <w:szCs w:val="24"/>
                <w:lang w:val="en-US" w:eastAsia="zh-CN"/>
              </w:rPr>
              <w:t>10万元)的审批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《宗教事务条例》</w:t>
            </w:r>
            <w:r>
              <w:rPr>
                <w:rFonts w:hint="eastAsia" w:ascii="仿宋" w:hAnsi="仿宋" w:eastAsia="仿宋" w:cs="仿宋"/>
                <w:b w:val="0"/>
                <w:bCs w:val="0"/>
                <w:sz w:val="24"/>
                <w:szCs w:val="24"/>
                <w:lang w:eastAsia="zh-CN"/>
              </w:rPr>
              <w:t>第七章</w:t>
            </w:r>
            <w:r>
              <w:rPr>
                <w:rFonts w:hint="eastAsia" w:ascii="仿宋" w:hAnsi="仿宋" w:eastAsia="仿宋" w:cs="仿宋"/>
                <w:b w:val="0"/>
                <w:bCs w:val="0"/>
                <w:color w:val="000000"/>
                <w:sz w:val="24"/>
                <w:szCs w:val="24"/>
                <w:shd w:val="clear" w:color="auto" w:fill="FFFFFF"/>
              </w:rPr>
              <w:t>第</w:t>
            </w:r>
            <w:r>
              <w:rPr>
                <w:rFonts w:hint="eastAsia" w:ascii="仿宋" w:hAnsi="仿宋" w:eastAsia="仿宋" w:cs="仿宋"/>
                <w:b w:val="0"/>
                <w:bCs w:val="0"/>
                <w:color w:val="000000"/>
                <w:sz w:val="24"/>
                <w:szCs w:val="24"/>
                <w:shd w:val="clear" w:color="auto" w:fill="FFFFFF"/>
                <w:lang w:eastAsia="zh-CN"/>
              </w:rPr>
              <w:t>五十七</w:t>
            </w:r>
            <w:r>
              <w:rPr>
                <w:rFonts w:hint="eastAsia" w:ascii="仿宋" w:hAnsi="仿宋" w:eastAsia="仿宋" w:cs="仿宋"/>
                <w:b w:val="0"/>
                <w:bCs w:val="0"/>
                <w:color w:val="000000"/>
                <w:sz w:val="24"/>
                <w:szCs w:val="24"/>
                <w:shd w:val="clear" w:color="auto" w:fill="FFFFFF"/>
              </w:rPr>
              <w:t>条 宗教团体、宗教活动场所可以按照国家有关规定接受境内外组织和个人的捐赠，用于</w:t>
            </w:r>
            <w:r>
              <w:rPr>
                <w:rFonts w:hint="eastAsia" w:ascii="仿宋" w:hAnsi="仿宋" w:eastAsia="仿宋" w:cs="仿宋"/>
                <w:b w:val="0"/>
                <w:bCs w:val="0"/>
                <w:color w:val="000000"/>
                <w:sz w:val="24"/>
                <w:szCs w:val="24"/>
                <w:shd w:val="clear" w:color="auto" w:fill="FFFFFF"/>
                <w:lang w:eastAsia="zh-CN"/>
              </w:rPr>
              <w:t>与其</w:t>
            </w:r>
            <w:r>
              <w:rPr>
                <w:rFonts w:hint="eastAsia" w:ascii="仿宋" w:hAnsi="仿宋" w:eastAsia="仿宋" w:cs="仿宋"/>
                <w:b w:val="0"/>
                <w:bCs w:val="0"/>
                <w:color w:val="000000"/>
                <w:sz w:val="24"/>
                <w:szCs w:val="24"/>
                <w:shd w:val="clear" w:color="auto" w:fill="FFFFFF"/>
              </w:rPr>
              <w:t>宗旨相符的活动</w:t>
            </w:r>
            <w:r>
              <w:rPr>
                <w:rFonts w:hint="eastAsia" w:ascii="仿宋" w:hAnsi="仿宋" w:eastAsia="仿宋" w:cs="仿宋"/>
                <w:b w:val="0"/>
                <w:bCs w:val="0"/>
                <w:color w:val="000000"/>
                <w:sz w:val="24"/>
                <w:szCs w:val="24"/>
                <w:shd w:val="clear" w:color="auto" w:fill="FFFFFF"/>
                <w:lang w:eastAsia="zh-CN"/>
              </w:rPr>
              <w:t>。宗教团体、宗教院校、宗教活动场所不得接受境外组织和个人附带条件的捐赠，接受金额超过</w:t>
            </w:r>
            <w:r>
              <w:rPr>
                <w:rFonts w:hint="eastAsia" w:ascii="仿宋" w:hAnsi="仿宋" w:eastAsia="仿宋" w:cs="仿宋"/>
                <w:b w:val="0"/>
                <w:bCs w:val="0"/>
                <w:color w:val="000000"/>
                <w:sz w:val="24"/>
                <w:szCs w:val="24"/>
                <w:shd w:val="clear" w:color="auto" w:fill="FFFFFF"/>
                <w:lang w:val="en-US" w:eastAsia="zh-CN"/>
              </w:rPr>
              <w:t>10万元的，应当报县级以上人民政府宗教事务部门审批。</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宗教监管股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93"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举办大型宗教活动和宗教团体举办培训班审批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color w:val="000000"/>
                <w:sz w:val="24"/>
                <w:szCs w:val="24"/>
                <w:shd w:val="clear" w:color="auto" w:fill="FFFFFF"/>
              </w:rPr>
            </w:pPr>
            <w:r>
              <w:rPr>
                <w:rFonts w:hint="eastAsia" w:ascii="仿宋" w:hAnsi="仿宋" w:eastAsia="仿宋" w:cs="仿宋"/>
                <w:b w:val="0"/>
                <w:bCs w:val="0"/>
                <w:color w:val="000000"/>
                <w:sz w:val="24"/>
                <w:szCs w:val="24"/>
                <w:shd w:val="clear" w:color="auto" w:fill="FFFFFF"/>
                <w:lang w:eastAsia="zh-CN"/>
              </w:rPr>
              <w:t>《</w:t>
            </w:r>
            <w:r>
              <w:rPr>
                <w:rFonts w:hint="eastAsia" w:ascii="仿宋" w:hAnsi="仿宋" w:eastAsia="仿宋" w:cs="仿宋"/>
                <w:b w:val="0"/>
                <w:bCs w:val="0"/>
                <w:color w:val="000000"/>
                <w:sz w:val="24"/>
                <w:szCs w:val="24"/>
                <w:shd w:val="clear" w:color="auto" w:fill="FFFFFF"/>
              </w:rPr>
              <w:t>河南省宗教事务条例》第</w:t>
            </w:r>
            <w:r>
              <w:rPr>
                <w:rFonts w:hint="eastAsia" w:ascii="仿宋" w:hAnsi="仿宋" w:eastAsia="仿宋" w:cs="仿宋"/>
                <w:b w:val="0"/>
                <w:bCs w:val="0"/>
                <w:color w:val="000000"/>
                <w:sz w:val="24"/>
                <w:szCs w:val="24"/>
                <w:shd w:val="clear" w:color="auto" w:fill="FFFFFF"/>
                <w:lang w:eastAsia="zh-CN"/>
              </w:rPr>
              <w:t>四章第</w:t>
            </w:r>
            <w:r>
              <w:rPr>
                <w:rFonts w:hint="eastAsia" w:ascii="仿宋" w:hAnsi="仿宋" w:eastAsia="仿宋" w:cs="仿宋"/>
                <w:b w:val="0"/>
                <w:bCs w:val="0"/>
                <w:color w:val="000000"/>
                <w:sz w:val="24"/>
                <w:szCs w:val="24"/>
                <w:shd w:val="clear" w:color="auto" w:fill="FFFFFF"/>
              </w:rPr>
              <w:t>二十三条</w:t>
            </w:r>
            <w:r>
              <w:rPr>
                <w:rFonts w:hint="eastAsia" w:ascii="仿宋" w:hAnsi="仿宋" w:eastAsia="仿宋" w:cs="仿宋"/>
                <w:b w:val="0"/>
                <w:bCs w:val="0"/>
                <w:color w:val="000000"/>
                <w:sz w:val="24"/>
                <w:szCs w:val="24"/>
                <w:shd w:val="clear" w:color="auto" w:fill="FFFFFF"/>
                <w:lang w:val="en-US" w:eastAsia="zh-CN"/>
              </w:rPr>
              <w:t xml:space="preserve"> </w:t>
            </w:r>
            <w:r>
              <w:rPr>
                <w:rFonts w:hint="eastAsia" w:ascii="仿宋" w:hAnsi="仿宋" w:eastAsia="仿宋" w:cs="仿宋"/>
                <w:b w:val="0"/>
                <w:bCs w:val="0"/>
                <w:color w:val="000000"/>
                <w:sz w:val="24"/>
                <w:szCs w:val="24"/>
                <w:shd w:val="clear" w:color="auto" w:fill="FFFFFF"/>
              </w:rPr>
              <w:t>跨省辖市、县（市、区）举行超过宗教活动场所容纳规模的大型宗教活动，或者在宗教活动场所外举行大型宗教活动，应当由主办的宗教团体、寺观教堂在拟举办日的三十日前，分别向举办地的省辖市、县（市、区）人民政府宗教事务部门提出申请。宗教事务部门应当自接到申请之日起十五日内作出批准或者不予批准的决定。</w:t>
            </w:r>
          </w:p>
          <w:p>
            <w:pPr>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kern w:val="0"/>
                <w:sz w:val="24"/>
                <w:szCs w:val="24"/>
              </w:rPr>
              <w:t>《河南省宗教事务条例》</w:t>
            </w:r>
            <w:r>
              <w:rPr>
                <w:rFonts w:hint="eastAsia" w:ascii="仿宋" w:hAnsi="仿宋" w:eastAsia="仿宋" w:cs="仿宋"/>
                <w:b w:val="0"/>
                <w:bCs w:val="0"/>
                <w:color w:val="000000"/>
                <w:kern w:val="0"/>
                <w:sz w:val="24"/>
                <w:szCs w:val="24"/>
                <w:lang w:eastAsia="zh-CN"/>
              </w:rPr>
              <w:t>第二章</w:t>
            </w:r>
            <w:r>
              <w:rPr>
                <w:rFonts w:hint="eastAsia" w:ascii="仿宋" w:hAnsi="仿宋" w:eastAsia="仿宋" w:cs="仿宋"/>
                <w:b w:val="0"/>
                <w:bCs w:val="0"/>
                <w:color w:val="000000"/>
                <w:kern w:val="0"/>
                <w:sz w:val="24"/>
                <w:szCs w:val="24"/>
              </w:rPr>
              <w:t>第十一条</w:t>
            </w:r>
            <w:r>
              <w:rPr>
                <w:rFonts w:hint="eastAsia" w:ascii="仿宋" w:hAnsi="仿宋" w:eastAsia="仿宋" w:cs="仿宋"/>
                <w:b w:val="0"/>
                <w:bCs w:val="0"/>
                <w:color w:val="000000"/>
                <w:kern w:val="0"/>
                <w:sz w:val="24"/>
                <w:szCs w:val="24"/>
                <w:lang w:val="en-US" w:eastAsia="zh-CN"/>
              </w:rPr>
              <w:t xml:space="preserve"> </w:t>
            </w:r>
            <w:r>
              <w:rPr>
                <w:rFonts w:hint="eastAsia" w:ascii="仿宋" w:hAnsi="仿宋" w:eastAsia="仿宋" w:cs="仿宋"/>
                <w:b w:val="0"/>
                <w:bCs w:val="0"/>
                <w:color w:val="000000"/>
                <w:kern w:val="0"/>
                <w:sz w:val="24"/>
                <w:szCs w:val="24"/>
              </w:rPr>
              <w:t>“省、省辖市、县(市、区)宗教团体举办宗教培训班，应当分别向省、省辖市、县(市、区)人民政府宗教事务部门提出申请。宗教事务部门应当自接到申请之日起二十日内，按照本条例第十条规定的条件，作出批准或者不予批准的决定。”</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宗教监管股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行政处罚（0项）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行政强制（0项）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行政征收（0项）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五</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行政给付（0项）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六</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行政确认（0项）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七</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行政监督检查（0）</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八</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其他职权</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（一）行政奖励（0项）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（二）年检（0）</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（三）备案（1）</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宗教教职人员备案</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《宗教事务条例》第五章第三十六条：宗教教职人员经宗教团体认定，报县级以上人民政府宗教事务部门备案，可以从事宗教教务活动。</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宗教监管股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（四）财政专项资金分配（）</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（五）其他事项核准（1）</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宗教活动场所内改建或新建建筑物批准</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sz w:val="24"/>
                <w:szCs w:val="24"/>
                <w:shd w:val="clear" w:color="auto" w:fill="FFFFFF"/>
              </w:rPr>
              <w:t>《</w:t>
            </w:r>
            <w:r>
              <w:rPr>
                <w:rFonts w:hint="eastAsia" w:ascii="仿宋" w:hAnsi="仿宋" w:eastAsia="仿宋" w:cs="仿宋"/>
                <w:b w:val="0"/>
                <w:bCs w:val="0"/>
                <w:color w:val="000000"/>
                <w:sz w:val="24"/>
                <w:szCs w:val="24"/>
                <w:shd w:val="clear" w:color="auto" w:fill="FFFFFF"/>
                <w:lang w:eastAsia="zh-CN"/>
              </w:rPr>
              <w:t>宗教事务条例》第四章第三十三条</w:t>
            </w:r>
            <w:r>
              <w:rPr>
                <w:rFonts w:hint="eastAsia" w:ascii="仿宋" w:hAnsi="仿宋" w:eastAsia="仿宋" w:cs="仿宋"/>
                <w:b w:val="0"/>
                <w:bCs w:val="0"/>
                <w:color w:val="000000"/>
                <w:sz w:val="24"/>
                <w:szCs w:val="24"/>
                <w:shd w:val="clear" w:color="auto" w:fill="FFFFFF"/>
                <w:lang w:val="en-US" w:eastAsia="zh-CN"/>
              </w:rPr>
              <w:t xml:space="preserve"> </w:t>
            </w:r>
            <w:r>
              <w:rPr>
                <w:rFonts w:hint="eastAsia" w:ascii="仿宋" w:hAnsi="仿宋" w:eastAsia="仿宋" w:cs="仿宋"/>
                <w:b w:val="0"/>
                <w:bCs w:val="0"/>
                <w:color w:val="000000"/>
                <w:sz w:val="24"/>
                <w:szCs w:val="24"/>
                <w:shd w:val="clear" w:color="auto" w:fill="FFFFFF"/>
                <w:lang w:eastAsia="zh-CN"/>
              </w:rPr>
              <w:t>在宗教活动场所内改建或者新建建筑物，应当经所在地县级以上地方人民政府宗教事务部门批准后，依法办理规划、建设手续。</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宗教监管股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（六）审核转报（共2项）</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25"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设立宗教活动场所的初审</w:t>
            </w:r>
          </w:p>
        </w:tc>
        <w:tc>
          <w:tcPr>
            <w:tcW w:w="5730"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sz w:val="24"/>
                <w:szCs w:val="24"/>
                <w:shd w:val="clear" w:color="auto" w:fill="FFFFFF"/>
              </w:rPr>
              <w:t>《</w:t>
            </w:r>
            <w:r>
              <w:rPr>
                <w:rFonts w:hint="eastAsia" w:ascii="仿宋" w:hAnsi="仿宋" w:eastAsia="仿宋" w:cs="仿宋"/>
                <w:b w:val="0"/>
                <w:bCs w:val="0"/>
                <w:color w:val="000000"/>
                <w:sz w:val="24"/>
                <w:szCs w:val="24"/>
                <w:shd w:val="clear" w:color="auto" w:fill="FFFFFF"/>
                <w:lang w:eastAsia="zh-CN"/>
              </w:rPr>
              <w:t>宗教事务条例》第四章第二十一条</w:t>
            </w:r>
            <w:r>
              <w:rPr>
                <w:rFonts w:hint="eastAsia" w:ascii="仿宋" w:hAnsi="仿宋" w:eastAsia="仿宋" w:cs="仿宋"/>
                <w:b w:val="0"/>
                <w:bCs w:val="0"/>
                <w:color w:val="000000"/>
                <w:sz w:val="24"/>
                <w:szCs w:val="24"/>
                <w:shd w:val="clear" w:color="auto" w:fill="FFFFFF"/>
                <w:lang w:val="en-US" w:eastAsia="zh-CN"/>
              </w:rPr>
              <w:t xml:space="preserve"> </w:t>
            </w:r>
            <w:r>
              <w:rPr>
                <w:rFonts w:hint="eastAsia" w:ascii="仿宋" w:hAnsi="仿宋" w:eastAsia="仿宋" w:cs="仿宋"/>
                <w:b w:val="0"/>
                <w:bCs w:val="0"/>
                <w:color w:val="000000"/>
                <w:sz w:val="24"/>
                <w:szCs w:val="24"/>
                <w:shd w:val="clear" w:color="auto" w:fill="FFFFFF"/>
                <w:lang w:eastAsia="zh-CN"/>
              </w:rPr>
              <w:t>筹备设立宗教活动场所，由宗教团体向拟设立的宗教活动活动所在地的县级人民政府宗教事务部门提出申请。县级人民政府宗教事务部门应当自收到申请之日起</w:t>
            </w:r>
            <w:r>
              <w:rPr>
                <w:rFonts w:hint="eastAsia" w:ascii="仿宋" w:hAnsi="仿宋" w:eastAsia="仿宋" w:cs="仿宋"/>
                <w:b w:val="0"/>
                <w:bCs w:val="0"/>
                <w:color w:val="000000"/>
                <w:sz w:val="24"/>
                <w:szCs w:val="24"/>
                <w:shd w:val="clear" w:color="auto" w:fill="FFFFFF"/>
                <w:lang w:val="en-US" w:eastAsia="zh-CN"/>
              </w:rPr>
              <w:t>30日内提出审核意见，报设区的市级人民政府宗教事务部门。设区的市级人民政府宗教事务部门应当自收到县级人民政府宗教事务部门报送的材料之日起30日内，对申请设立其他固定宗教活动场所的，作出批准或者不予批准的决定；对申请设立寺观教堂的，提出审核意见，报省、自治区、直辖市人民政府宗教事务部门审批。</w:t>
            </w:r>
          </w:p>
        </w:tc>
        <w:tc>
          <w:tcPr>
            <w:tcW w:w="1462" w:type="dxa"/>
            <w:tcBorders>
              <w:top w:val="outset" w:color="000000" w:sz="6" w:space="0"/>
              <w:left w:val="outset" w:color="000000" w:sz="6" w:space="0"/>
              <w:bottom w:val="outset" w:color="000000" w:sz="6" w:space="0"/>
              <w:right w:val="outset" w:color="000000" w:sz="6" w:space="0"/>
            </w:tcBorders>
            <w:noWrap w:val="0"/>
            <w:vAlign w:val="center"/>
          </w:tcPr>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宗教监管股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25"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w:t>
            </w:r>
          </w:p>
        </w:tc>
        <w:tc>
          <w:tcPr>
            <w:tcW w:w="1720"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公民申请变更民族成份的初审</w:t>
            </w:r>
          </w:p>
        </w:tc>
        <w:tc>
          <w:tcPr>
            <w:tcW w:w="5730" w:type="dxa"/>
            <w:tcBorders>
              <w:top w:val="outset" w:color="000000" w:sz="6" w:space="0"/>
              <w:left w:val="outset" w:color="000000" w:sz="6" w:space="0"/>
              <w:bottom w:val="outset" w:color="000000" w:sz="6" w:space="0"/>
              <w:right w:val="outset" w:color="000000" w:sz="6" w:space="0"/>
            </w:tcBorders>
            <w:noWrap w:val="0"/>
            <w:vAlign w:val="top"/>
          </w:tcPr>
          <w:p>
            <w:pPr>
              <w:keepNext w:val="0"/>
              <w:keepLines w:val="0"/>
              <w:pageBreakBefore w:val="0"/>
              <w:widowControl w:val="0"/>
              <w:kinsoku/>
              <w:wordWrap/>
              <w:overflowPunct/>
              <w:topLinePunct w:val="0"/>
              <w:autoSpaceDE/>
              <w:autoSpaceDN/>
              <w:bidi w:val="0"/>
              <w:adjustRightInd/>
              <w:snapToGrid/>
              <w:spacing w:before="0" w:beforeLines="0" w:after="0" w:afterLines="0" w:line="168" w:lineRule="auto"/>
              <w:ind w:left="0" w:leftChars="0" w:right="0" w:rightChars="0" w:firstLine="0" w:firstLineChars="0"/>
              <w:jc w:val="both"/>
              <w:textAlignment w:val="auto"/>
              <w:outlineLvl w:val="9"/>
              <w:rPr>
                <w:rFonts w:hint="eastAsia" w:ascii="仿宋" w:hAnsi="仿宋" w:eastAsia="仿宋" w:cs="仿宋"/>
                <w:b w:val="0"/>
                <w:bCs w:val="0"/>
                <w:color w:val="000000"/>
                <w:sz w:val="24"/>
                <w:szCs w:val="24"/>
                <w:shd w:val="clear" w:color="auto" w:fill="FFFFFF"/>
              </w:rPr>
            </w:pPr>
            <w:r>
              <w:rPr>
                <w:rFonts w:hint="eastAsia" w:ascii="仿宋" w:hAnsi="仿宋" w:eastAsia="仿宋" w:cs="仿宋"/>
                <w:b w:val="0"/>
                <w:bCs w:val="0"/>
                <w:color w:val="000000"/>
                <w:kern w:val="0"/>
                <w:sz w:val="24"/>
                <w:szCs w:val="24"/>
                <w:lang w:eastAsia="zh-CN"/>
              </w:rPr>
              <w:t>《河南省公民民族成份登记管理实施细则》第十一条</w:t>
            </w:r>
            <w:r>
              <w:rPr>
                <w:rFonts w:hint="eastAsia" w:ascii="仿宋" w:hAnsi="仿宋" w:eastAsia="仿宋" w:cs="仿宋"/>
                <w:b w:val="0"/>
                <w:bCs w:val="0"/>
                <w:color w:val="000000"/>
                <w:kern w:val="0"/>
                <w:sz w:val="24"/>
                <w:szCs w:val="24"/>
                <w:lang w:val="en-US" w:eastAsia="zh-CN"/>
              </w:rPr>
              <w:t xml:space="preserve"> </w:t>
            </w:r>
            <w:r>
              <w:rPr>
                <w:rFonts w:hint="eastAsia" w:ascii="仿宋" w:hAnsi="仿宋" w:eastAsia="仿宋" w:cs="仿宋"/>
                <w:b w:val="0"/>
                <w:bCs w:val="0"/>
                <w:i w:val="0"/>
                <w:snapToGrid/>
                <w:color w:val="000000"/>
                <w:sz w:val="24"/>
                <w:szCs w:val="24"/>
                <w:shd w:val="clear" w:color="auto" w:fill="FFFFFF"/>
                <w:lang w:eastAsia="zh-CN"/>
              </w:rPr>
              <w:t>省辖市的公民申请变更民族成份的，按下列程序办理：申请人向户籍所在地的县级人民政府民族事务部门提出申请，填写《河南省公民变更民族成份申请表》，并提交相关证明材料；县级人民政府民族事务部门对申请表、证明材料进行初审，必要时应进行实地调查，并提出初审意见，对不符合条件的予以退回，并书面说明不予受理的理由；对符合条件的，自受理之日起的10个工作日内上报省辖市人民政府民族事务部门审批；对于10个工作日内不能提出初审意见的，经县级人民政府民族事务部门主要负责人批准，可以延长10个工作日；省辖市人民政府民族事务部门应当在收到审批申请之日起的10个工作日内，出具《河南省公民变更民族成份审批意见书》，并反馈给县级人民政府民族事务部门；县级人民政府民族事务部门应当在收到《河南省公民变更民族成份审批意见书》的10个工作日内，将审批意见告知申请人。审批同意的，将审批意见、公民申请书及相关证明材料抄送县级公安机关治安（户政）部门；公安派出所受理公民变更民族成份申请后，应当依据省辖市人民政府民族事务部门审批意见，经县级公安机关治安（户政）部门审核，且与民族事务部门抄送信息一致的，应当在15个工作日内为公民办理民族成份变更登记。</w:t>
            </w:r>
          </w:p>
        </w:tc>
        <w:tc>
          <w:tcPr>
            <w:tcW w:w="1462"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民族事务股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85"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tc>
        <w:tc>
          <w:tcPr>
            <w:tcW w:w="1720"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i w:val="0"/>
                <w:snapToGrid/>
                <w:color w:val="000000"/>
                <w:sz w:val="24"/>
                <w:szCs w:val="24"/>
                <w:shd w:val="clear" w:color="auto" w:fill="FFFFFF"/>
                <w:lang w:eastAsia="zh-CN"/>
              </w:rPr>
            </w:pPr>
            <w:r>
              <w:rPr>
                <w:rFonts w:hint="eastAsia" w:ascii="仿宋" w:hAnsi="仿宋" w:eastAsia="仿宋" w:cs="仿宋"/>
                <w:b w:val="0"/>
                <w:bCs w:val="0"/>
                <w:sz w:val="24"/>
                <w:szCs w:val="24"/>
                <w:lang w:val="en-US" w:eastAsia="zh-CN"/>
              </w:rPr>
              <w:t>（其他1项）</w:t>
            </w:r>
          </w:p>
        </w:tc>
        <w:tc>
          <w:tcPr>
            <w:tcW w:w="5730" w:type="dxa"/>
            <w:tcBorders>
              <w:top w:val="outset" w:color="000000" w:sz="6" w:space="0"/>
              <w:left w:val="outset" w:color="000000" w:sz="6" w:space="0"/>
              <w:bottom w:val="outset" w:color="000000" w:sz="6" w:space="0"/>
              <w:right w:val="outset" w:color="000000" w:sz="6" w:space="0"/>
            </w:tcBorders>
            <w:noWrap w:val="0"/>
            <w:vAlign w:val="top"/>
          </w:tcPr>
          <w:p>
            <w:pPr>
              <w:ind w:left="0" w:leftChars="0"/>
              <w:jc w:val="center"/>
              <w:rPr>
                <w:rFonts w:hint="eastAsia" w:ascii="仿宋" w:hAnsi="仿宋" w:eastAsia="仿宋" w:cs="仿宋"/>
                <w:b w:val="0"/>
                <w:bCs w:val="0"/>
                <w:color w:val="000000"/>
                <w:kern w:val="0"/>
                <w:sz w:val="24"/>
                <w:szCs w:val="24"/>
                <w:lang w:eastAsia="zh-CN"/>
              </w:rPr>
            </w:pPr>
          </w:p>
        </w:tc>
        <w:tc>
          <w:tcPr>
            <w:tcW w:w="1462"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25" w:hRule="atLeast"/>
          <w:tblCellSpacing w:w="0" w:type="dxa"/>
          <w:jc w:val="center"/>
        </w:trPr>
        <w:tc>
          <w:tcPr>
            <w:tcW w:w="852"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w:t>
            </w:r>
          </w:p>
        </w:tc>
        <w:tc>
          <w:tcPr>
            <w:tcW w:w="1720" w:type="dxa"/>
            <w:tcBorders>
              <w:top w:val="outset" w:color="000000" w:sz="6" w:space="0"/>
              <w:left w:val="outset" w:color="000000" w:sz="6" w:space="0"/>
              <w:bottom w:val="outset" w:color="000000" w:sz="6" w:space="0"/>
              <w:right w:val="outset" w:color="000000" w:sz="6" w:space="0"/>
            </w:tcBorders>
            <w:noWrap w:val="0"/>
            <w:vAlign w:val="top"/>
          </w:tcPr>
          <w:p>
            <w:pPr>
              <w:jc w:val="both"/>
              <w:rPr>
                <w:rFonts w:hint="eastAsia" w:ascii="仿宋" w:hAnsi="仿宋" w:eastAsia="仿宋" w:cs="仿宋"/>
                <w:b w:val="0"/>
                <w:bCs w:val="0"/>
                <w:sz w:val="24"/>
                <w:szCs w:val="24"/>
                <w:lang w:val="en-US" w:eastAsia="zh-CN"/>
              </w:rPr>
            </w:pPr>
          </w:p>
          <w:p>
            <w:pPr>
              <w:jc w:val="both"/>
              <w:rPr>
                <w:rFonts w:hint="eastAsia" w:ascii="仿宋" w:hAnsi="仿宋" w:eastAsia="仿宋" w:cs="仿宋"/>
                <w:b w:val="0"/>
                <w:bCs w:val="0"/>
                <w:sz w:val="24"/>
                <w:szCs w:val="24"/>
                <w:lang w:val="en-US" w:eastAsia="zh-CN"/>
              </w:rPr>
            </w:pPr>
          </w:p>
          <w:p>
            <w:pPr>
              <w:jc w:val="both"/>
              <w:rPr>
                <w:rFonts w:hint="eastAsia" w:ascii="仿宋" w:hAnsi="仿宋" w:eastAsia="仿宋" w:cs="仿宋"/>
                <w:b w:val="0"/>
                <w:bCs w:val="0"/>
                <w:sz w:val="24"/>
                <w:szCs w:val="24"/>
                <w:lang w:val="en-US" w:eastAsia="zh-CN"/>
              </w:rPr>
            </w:pPr>
          </w:p>
          <w:p>
            <w:pPr>
              <w:jc w:val="both"/>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i w:val="0"/>
                <w:snapToGrid/>
                <w:color w:val="000000"/>
                <w:sz w:val="24"/>
                <w:szCs w:val="24"/>
                <w:shd w:val="clear" w:color="auto" w:fill="FFFFFF"/>
                <w:lang w:eastAsia="zh-CN"/>
              </w:rPr>
              <w:t>对全县宗教团体筹备、成立、变更、注销、年检的监督管理</w:t>
            </w:r>
          </w:p>
        </w:tc>
        <w:tc>
          <w:tcPr>
            <w:tcW w:w="5730" w:type="dxa"/>
            <w:tcBorders>
              <w:top w:val="outset" w:color="000000" w:sz="6" w:space="0"/>
              <w:left w:val="outset" w:color="000000" w:sz="6" w:space="0"/>
              <w:bottom w:val="outset" w:color="000000" w:sz="6" w:space="0"/>
              <w:right w:val="outset" w:color="000000" w:sz="6" w:space="0"/>
            </w:tcBorders>
            <w:noWrap w:val="0"/>
            <w:vAlign w:val="top"/>
          </w:tcPr>
          <w:p>
            <w:pPr>
              <w:shd w:val="solid" w:color="FFFFFF" w:fill="auto"/>
              <w:kinsoku/>
              <w:autoSpaceDE/>
              <w:autoSpaceDN w:val="0"/>
              <w:spacing w:beforeAutospacing="1" w:afterAutospacing="1" w:line="320" w:lineRule="atLeast"/>
              <w:ind w:firstLine="0"/>
              <w:jc w:val="both"/>
              <w:rPr>
                <w:rFonts w:hint="eastAsia" w:ascii="仿宋" w:hAnsi="仿宋" w:eastAsia="仿宋" w:cs="仿宋"/>
                <w:b w:val="0"/>
                <w:bCs w:val="0"/>
                <w:color w:val="000000"/>
                <w:kern w:val="0"/>
                <w:sz w:val="24"/>
                <w:szCs w:val="24"/>
                <w:lang w:eastAsia="zh-CN"/>
              </w:rPr>
            </w:pPr>
            <w:r>
              <w:rPr>
                <w:rFonts w:hint="eastAsia" w:ascii="仿宋" w:hAnsi="仿宋" w:eastAsia="仿宋" w:cs="仿宋"/>
                <w:b w:val="0"/>
                <w:bCs w:val="0"/>
                <w:i w:val="0"/>
                <w:snapToGrid/>
                <w:color w:val="000000"/>
                <w:sz w:val="24"/>
                <w:szCs w:val="24"/>
                <w:shd w:val="clear" w:color="auto" w:fill="FFFFFF"/>
                <w:lang w:eastAsia="zh-CN"/>
              </w:rPr>
              <w:t>《宗教事务条例》(国务院令第426号)第六条: “宗教团体的成立、变更和注销,应当依照《社会团体登记管理条例》(国务院令第250号)的规定办理登记”。《社会团体登记管理条例》(国务院令第250号)第三条第一款: “成立社会团体,应当经其业务主管单位审查同意,并依照本条例的规定进行登记。”第九条: “申请成立社会团体,应当经其业务主管单位审查同意,由发起人向登记管理机关申请筹备。”第二十八条: “业务主管单位履行下列监督管理职责：（一）负责社会团体筹备申请、成立登记、变更登记、注销登记前的审查；（二）监督、指导社会团体遵守宪法、法律、法规和国家政策，依据其章程开展活动；（三）负责社会团体年度检查的初审；（四）协助登记管理机关和其他有关部门查处社会团体的违法行为；（五）会同有关机关指导社会团体的清算事宜。业务主管单位履行前款规定的职责，不得向社会团体收取费用。”</w:t>
            </w:r>
          </w:p>
        </w:tc>
        <w:tc>
          <w:tcPr>
            <w:tcW w:w="1462" w:type="dxa"/>
            <w:tcBorders>
              <w:top w:val="outset" w:color="000000" w:sz="6" w:space="0"/>
              <w:left w:val="outset" w:color="000000" w:sz="6" w:space="0"/>
              <w:bottom w:val="outset" w:color="000000" w:sz="6" w:space="0"/>
              <w:right w:val="outset" w:color="000000" w:sz="6" w:space="0"/>
            </w:tcBorders>
            <w:noWrap w:val="0"/>
            <w:vAlign w:val="top"/>
          </w:tcPr>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p>
          <w:p>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宗教监管股</w:t>
            </w:r>
          </w:p>
        </w:tc>
      </w:tr>
    </w:tbl>
    <w:p>
      <w:pPr>
        <w:jc w:val="both"/>
        <w:rPr>
          <w:rFonts w:hint="eastAsia" w:ascii="方正小标宋简体" w:hAnsi="方正小标宋简体" w:eastAsia="方正小标宋简体" w:cs="方正小标宋简体"/>
          <w:b/>
          <w:bCs/>
          <w:sz w:val="36"/>
          <w:szCs w:val="36"/>
          <w:lang w:val="en-US" w:eastAsia="zh-CN"/>
        </w:rPr>
      </w:pPr>
      <w:r>
        <w:rPr>
          <w:rFonts w:hint="eastAsia" w:ascii="方正小标宋简体" w:hAnsi="方正小标宋简体" w:eastAsia="方正小标宋简体" w:cs="方正小标宋简体"/>
          <w:b/>
          <w:bCs/>
          <w:sz w:val="36"/>
          <w:szCs w:val="36"/>
          <w:lang w:val="en-US" w:eastAsia="zh-CN"/>
        </w:rPr>
        <w:t xml:space="preserve">       </w:t>
      </w:r>
    </w:p>
    <w:p>
      <w:pPr>
        <w:jc w:val="both"/>
        <w:rPr>
          <w:rFonts w:hint="eastAsia" w:ascii="方正小标宋简体" w:hAnsi="方正小标宋简体" w:eastAsia="方正小标宋简体" w:cs="方正小标宋简体"/>
          <w:b/>
          <w:bCs/>
          <w:sz w:val="36"/>
          <w:szCs w:val="36"/>
          <w:lang w:val="en-US" w:eastAsia="zh-CN"/>
        </w:rPr>
      </w:pPr>
    </w:p>
    <w:p>
      <w:pPr>
        <w:jc w:val="both"/>
        <w:rPr>
          <w:rFonts w:hint="eastAsia" w:ascii="方正小标宋简体" w:hAnsi="方正小标宋简体" w:eastAsia="方正小标宋简体" w:cs="方正小标宋简体"/>
          <w:b/>
          <w:bCs/>
          <w:sz w:val="36"/>
          <w:szCs w:val="36"/>
          <w:lang w:val="en-US" w:eastAsia="zh-CN"/>
        </w:rPr>
      </w:pPr>
    </w:p>
    <w:p>
      <w:pPr>
        <w:jc w:val="both"/>
        <w:rPr>
          <w:rFonts w:hint="eastAsia" w:ascii="方正小标宋简体" w:hAnsi="方正小标宋简体" w:eastAsia="方正小标宋简体" w:cs="方正小标宋简体"/>
          <w:b/>
          <w:bCs/>
          <w:sz w:val="36"/>
          <w:szCs w:val="36"/>
          <w:lang w:val="en-US" w:eastAsia="zh-CN"/>
        </w:rPr>
      </w:pPr>
    </w:p>
    <w:p>
      <w:pPr>
        <w:jc w:val="both"/>
        <w:rPr>
          <w:rFonts w:hint="eastAsia" w:ascii="方正小标宋简体" w:hAnsi="方正小标宋简体" w:eastAsia="方正小标宋简体" w:cs="方正小标宋简体"/>
          <w:b/>
          <w:bCs/>
          <w:sz w:val="36"/>
          <w:szCs w:val="36"/>
          <w:lang w:val="en-US" w:eastAsia="zh-CN"/>
        </w:rPr>
      </w:pPr>
    </w:p>
    <w:p>
      <w:pPr>
        <w:jc w:val="both"/>
        <w:rPr>
          <w:rFonts w:hint="eastAsia" w:ascii="方正小标宋简体" w:hAnsi="方正小标宋简体" w:eastAsia="方正小标宋简体" w:cs="方正小标宋简体"/>
          <w:b/>
          <w:bCs/>
          <w:sz w:val="36"/>
          <w:szCs w:val="36"/>
          <w:lang w:val="en-US" w:eastAsia="zh-CN"/>
        </w:rPr>
      </w:pPr>
    </w:p>
    <w:p>
      <w:pPr>
        <w:jc w:val="both"/>
        <w:rPr>
          <w:rFonts w:hint="eastAsia" w:ascii="方正小标宋简体" w:hAnsi="方正小标宋简体" w:eastAsia="方正小标宋简体" w:cs="方正小标宋简体"/>
          <w:b/>
          <w:bCs/>
          <w:sz w:val="36"/>
          <w:szCs w:val="36"/>
          <w:lang w:val="en-US" w:eastAsia="zh-CN"/>
        </w:rPr>
      </w:pPr>
    </w:p>
    <w:p>
      <w:p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E844E4"/>
    <w:rsid w:val="13EF5835"/>
    <w:rsid w:val="265F2262"/>
    <w:rsid w:val="2AF76E2B"/>
    <w:rsid w:val="314518D8"/>
    <w:rsid w:val="382856A9"/>
    <w:rsid w:val="3C7B32B0"/>
    <w:rsid w:val="41C20D2F"/>
    <w:rsid w:val="45E919AB"/>
    <w:rsid w:val="4BD054B6"/>
    <w:rsid w:val="4D6F5015"/>
    <w:rsid w:val="51AC7430"/>
    <w:rsid w:val="6498548B"/>
    <w:rsid w:val="72F15498"/>
    <w:rsid w:val="750626C3"/>
    <w:rsid w:val="7B0F3DDC"/>
    <w:rsid w:val="7E622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22"/>
    <w:rPr>
      <w:rFonts w:cs="Times New Roman"/>
      <w:b/>
      <w:bCs/>
    </w:rPr>
  </w:style>
  <w:style w:type="paragraph" w:customStyle="1" w:styleId="5">
    <w:name w:val="无间隔"/>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6">
    <w:name w:val="样式5"/>
    <w:basedOn w:val="1"/>
    <w:qFormat/>
    <w:uiPriority w:val="0"/>
    <w:rPr>
      <w:sz w:val="24"/>
    </w:rPr>
  </w:style>
  <w:style w:type="paragraph" w:customStyle="1" w:styleId="7">
    <w:name w:val="样式2"/>
    <w:basedOn w:val="1"/>
    <w:qFormat/>
    <w:uiPriority w:val="0"/>
    <w:pPr>
      <w:jc w:val="center"/>
    </w:pPr>
    <w:rPr>
      <w:rFonts w:ascii="方正小标宋_GBK" w:hAnsi="楷体_GB2312" w:eastAsia="方正小标宋_GBK" w:cs="楷体_GB2312"/>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2019-12-05T09:51:00Z</cp:lastPrinted>
  <dcterms:modified xsi:type="dcterms:W3CDTF">2019-12-27T09:06:12Z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