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w:t>
      </w:r>
    </w:p>
    <w:p>
      <w:pPr>
        <w:widowControl w:val="0"/>
        <w:numPr>
          <w:ilvl w:val="0"/>
          <w:numId w:val="0"/>
        </w:numPr>
        <w:jc w:val="center"/>
        <w:rPr>
          <w:rFonts w:hint="eastAsia" w:ascii="方正小标宋_GBK" w:hAnsi="方正小标宋_GBK" w:eastAsia="方正小标宋_GBK" w:cs="方正小标宋_GBK"/>
          <w:sz w:val="36"/>
          <w:szCs w:val="36"/>
          <w:lang w:val="en-US" w:eastAsia="zh-CN"/>
        </w:rPr>
      </w:pPr>
      <w:r>
        <w:rPr>
          <w:rFonts w:hint="eastAsia" w:ascii="方正小标宋_GBK" w:hAnsi="方正小标宋_GBK" w:eastAsia="方正小标宋_GBK" w:cs="方正小标宋_GBK"/>
          <w:sz w:val="36"/>
          <w:szCs w:val="36"/>
          <w:lang w:val="en-US" w:eastAsia="zh-CN"/>
        </w:rPr>
        <w:t>西华县人力资源和社会保障局权力清单</w:t>
      </w:r>
    </w:p>
    <w:p>
      <w:pPr>
        <w:rPr>
          <w:rFonts w:hint="eastAsia" w:ascii="仿宋_GB2312" w:hAnsi="仿宋_GB2312" w:eastAsia="仿宋_GB2312" w:cs="仿宋_GB2312"/>
          <w:sz w:val="18"/>
          <w:szCs w:val="18"/>
        </w:rPr>
      </w:pPr>
    </w:p>
    <w:tbl>
      <w:tblPr>
        <w:tblStyle w:val="2"/>
        <w:tblpPr w:leftFromText="180" w:rightFromText="180" w:vertAnchor="text" w:horzAnchor="page" w:tblpX="1686" w:tblpY="237"/>
        <w:tblOverlap w:val="never"/>
        <w:tblW w:w="0" w:type="auto"/>
        <w:tblCellSpacing w:w="0" w:type="dxa"/>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510"/>
        <w:gridCol w:w="781"/>
        <w:gridCol w:w="1679"/>
        <w:gridCol w:w="4558"/>
        <w:gridCol w:w="567"/>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序号</w:t>
            </w: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类   别</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职权名称</w:t>
            </w: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实施依据</w:t>
            </w: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承办机构</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97" w:hRule="atLeast"/>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一</w:t>
            </w: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b/>
                <w:sz w:val="18"/>
                <w:szCs w:val="18"/>
              </w:rPr>
              <w:t>行政许可</w:t>
            </w:r>
            <w:r>
              <w:rPr>
                <w:rFonts w:hint="eastAsia" w:ascii="仿宋_GB2312" w:hAnsi="仿宋_GB2312" w:eastAsia="仿宋_GB2312" w:cs="仿宋_GB2312"/>
                <w:sz w:val="18"/>
                <w:szCs w:val="18"/>
              </w:rPr>
              <w:t>（</w:t>
            </w:r>
            <w:r>
              <w:rPr>
                <w:rFonts w:hint="eastAsia" w:ascii="仿宋_GB2312" w:hAnsi="仿宋_GB2312" w:eastAsia="仿宋_GB2312" w:cs="仿宋_GB2312"/>
                <w:sz w:val="18"/>
                <w:szCs w:val="18"/>
                <w:lang w:val="en-US" w:eastAsia="zh-CN"/>
              </w:rPr>
              <w:t>4</w:t>
            </w:r>
            <w:r>
              <w:rPr>
                <w:rFonts w:hint="eastAsia" w:ascii="仿宋_GB2312" w:hAnsi="仿宋_GB2312" w:eastAsia="仿宋_GB2312" w:cs="仿宋_GB2312"/>
                <w:sz w:val="18"/>
                <w:szCs w:val="18"/>
              </w:rPr>
              <w:t>项）</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1</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对企业实行综合计算工时工作制和不定时工作制的审批</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 xml:space="preserve"> 1.《中华人民共和国劳动法》第39条之规定：企业因生产特点不能实行本法第三十六条、第三十八条规定的，经劳动行政部门批准，可以实行其他工作和休息办法； 2.《关于企业实行不定时工作制和综合计算工时工作制的审批办法》（劳部发[1994]503号）。3.豫人社[2009]493号</w:t>
            </w: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宋体" w:cs="仿宋_GB2312"/>
                <w:sz w:val="18"/>
                <w:szCs w:val="18"/>
                <w:lang w:eastAsia="zh-CN"/>
              </w:rPr>
            </w:pPr>
            <w:r>
              <w:rPr>
                <w:rFonts w:hint="eastAsia"/>
                <w:szCs w:val="21"/>
              </w:rPr>
              <w:t>劳</w:t>
            </w:r>
            <w:r>
              <w:rPr>
                <w:rFonts w:hint="eastAsia"/>
                <w:szCs w:val="21"/>
                <w:lang w:eastAsia="zh-CN"/>
              </w:rPr>
              <w:t>动保障监察股</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2</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实施以职业技能为主的职业资格培训、职业技能培训的民办学校设定、变更、终止审批</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中华人民共和国民办教育促进法》第十一条：举办实施以职业技能为主的职业资格培训、职业技能培训的民办学校，由县级以上人民政府劳动和社会保障行政部门按照国家规定的权限审批，并抄送同级教育行政部门备案。</w:t>
            </w: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职业能力建设股</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073" w:hRule="atLeast"/>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3</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24"/>
                <w:szCs w:val="24"/>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24"/>
                <w:szCs w:val="24"/>
                <w:lang w:eastAsia="zh-CN"/>
              </w:rPr>
            </w:pPr>
            <w:r>
              <w:rPr>
                <w:rFonts w:hint="eastAsia" w:ascii="宋体" w:hAnsi="宋体" w:eastAsia="宋体" w:cs="宋体"/>
                <w:sz w:val="18"/>
                <w:szCs w:val="18"/>
                <w:lang w:eastAsia="zh-CN"/>
              </w:rPr>
              <w:t>人力资源服务许可证办理</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（一）《国务院对确需保留的行政审批项目设定行政许可的决定》中华人民共和国国务院令412号第88项，2004年6月29日发布，自2004年7月1日起实施；实施机关：省级人民政府劳动保障行政主管部门</w:t>
            </w:r>
          </w:p>
          <w:p>
            <w:pPr>
              <w:rPr>
                <w:rFonts w:hint="eastAsia"/>
                <w:szCs w:val="21"/>
              </w:rPr>
            </w:pPr>
            <w:r>
              <w:rPr>
                <w:rFonts w:hint="eastAsia"/>
                <w:szCs w:val="21"/>
              </w:rPr>
              <w:t>（二）《劳动力市场管理规定》（中华人民共和国劳动和社会保障部令第10号，2000年12月8日）第四章第十七条：　职业介绍实行行政许可制度。开办职业介绍机构或其他机构开展职业介绍活动，须经劳动保障行政部门批准。</w:t>
            </w:r>
          </w:p>
          <w:p>
            <w:pPr>
              <w:rPr>
                <w:rFonts w:hint="eastAsia"/>
                <w:szCs w:val="21"/>
              </w:rPr>
            </w:pPr>
            <w:r>
              <w:rPr>
                <w:rFonts w:hint="eastAsia"/>
                <w:szCs w:val="21"/>
              </w:rPr>
              <w:t>　　劳动保障行政部门接到开办职业介绍机构或其他机构开展职业介绍活动的申请后，应当自接到申请之日起30日内审理完毕。对符合条件的，应予以批准；不予批准的，应当说明理由。</w:t>
            </w:r>
          </w:p>
          <w:p>
            <w:pPr>
              <w:rPr>
                <w:rFonts w:hint="eastAsia"/>
                <w:szCs w:val="21"/>
              </w:rPr>
            </w:pPr>
            <w:r>
              <w:rPr>
                <w:rFonts w:hint="eastAsia"/>
                <w:szCs w:val="21"/>
              </w:rPr>
              <w:t>　　各类职业介绍机构的审批权限和程序以及具体开办条件，由省级劳动保障行政部门统一规定。</w:t>
            </w:r>
          </w:p>
          <w:p>
            <w:pPr>
              <w:rPr>
                <w:rFonts w:hint="eastAsia" w:ascii="仿宋_GB2312" w:hAnsi="仿宋_GB2312" w:eastAsia="仿宋_GB2312" w:cs="仿宋_GB2312"/>
                <w:sz w:val="18"/>
                <w:szCs w:val="18"/>
              </w:rPr>
            </w:pPr>
            <w:r>
              <w:rPr>
                <w:rFonts w:hint="eastAsia"/>
                <w:szCs w:val="21"/>
              </w:rPr>
              <w:t>　　劳动保障行政部门对经批准开办的职业介绍机构实行年度审验。</w:t>
            </w: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人力资源市场股</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030" w:hRule="atLeast"/>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4</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宋体" w:hAnsi="宋体" w:eastAsia="宋体" w:cs="宋体"/>
                <w:sz w:val="24"/>
                <w:szCs w:val="24"/>
                <w:lang w:eastAsia="zh-CN"/>
              </w:rPr>
            </w:pPr>
            <w:r>
              <w:rPr>
                <w:rFonts w:hint="eastAsia" w:ascii="宋体" w:hAnsi="宋体" w:eastAsia="宋体" w:cs="宋体"/>
                <w:sz w:val="21"/>
                <w:szCs w:val="21"/>
                <w:lang w:eastAsia="zh-CN"/>
              </w:rPr>
              <w:t>劳务派遣许可证办理</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宋体" w:hAnsi="宋体" w:eastAsia="宋体" w:cs="宋体"/>
                <w:sz w:val="24"/>
                <w:szCs w:val="24"/>
                <w:lang w:eastAsia="zh-CN"/>
              </w:rPr>
            </w:pPr>
            <w:r>
              <w:rPr>
                <w:rFonts w:hint="eastAsia" w:ascii="宋体" w:hAnsi="宋体" w:eastAsia="宋体" w:cs="宋体"/>
                <w:sz w:val="18"/>
                <w:szCs w:val="18"/>
                <w:lang w:eastAsia="zh-CN"/>
              </w:rPr>
              <w:t>《中华人民共和国劳动合同法》第五十七条、《劳务派遣许可实施办法》第八条、《河南省劳务派遣行政许可工作指南的通知》（豫人社</w:t>
            </w:r>
            <w:r>
              <w:rPr>
                <w:rFonts w:hint="eastAsia" w:ascii="宋体" w:hAnsi="宋体" w:eastAsia="宋体" w:cs="宋体"/>
                <w:sz w:val="18"/>
                <w:szCs w:val="18"/>
                <w:lang w:val="en-US" w:eastAsia="zh-CN"/>
              </w:rPr>
              <w:t>[2013]75号</w:t>
            </w:r>
            <w:r>
              <w:rPr>
                <w:rFonts w:hint="eastAsia" w:ascii="宋体" w:hAnsi="宋体" w:eastAsia="宋体" w:cs="宋体"/>
                <w:sz w:val="18"/>
                <w:szCs w:val="18"/>
                <w:lang w:eastAsia="zh-CN"/>
              </w:rPr>
              <w:t>）</w:t>
            </w: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人力资源市场</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lang w:eastAsia="zh-CN"/>
              </w:rPr>
            </w:pPr>
            <w:r>
              <w:rPr>
                <w:rFonts w:hint="eastAsia" w:ascii="宋体" w:hAnsi="宋体" w:eastAsia="宋体" w:cs="宋体"/>
                <w:sz w:val="24"/>
                <w:szCs w:val="24"/>
                <w:lang w:eastAsia="zh-CN"/>
              </w:rPr>
              <w:t>二</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宋体" w:hAnsi="宋体" w:eastAsia="宋体" w:cs="宋体"/>
                <w:sz w:val="18"/>
                <w:szCs w:val="18"/>
                <w:lang w:eastAsia="zh-CN"/>
              </w:rPr>
            </w:pPr>
            <w:r>
              <w:rPr>
                <w:rFonts w:hint="eastAsia" w:ascii="宋体" w:hAnsi="宋体" w:eastAsia="宋体" w:cs="宋体"/>
                <w:sz w:val="18"/>
                <w:szCs w:val="18"/>
                <w:lang w:eastAsia="zh-CN"/>
              </w:rPr>
              <w:t>行政处罚（</w:t>
            </w:r>
            <w:r>
              <w:rPr>
                <w:rFonts w:hint="eastAsia" w:ascii="宋体" w:hAnsi="宋体" w:eastAsia="宋体" w:cs="宋体"/>
                <w:sz w:val="18"/>
                <w:szCs w:val="18"/>
                <w:lang w:val="en-US" w:eastAsia="zh-CN"/>
              </w:rPr>
              <w:t>42项</w:t>
            </w:r>
            <w:r>
              <w:rPr>
                <w:rFonts w:hint="eastAsia" w:ascii="宋体" w:hAnsi="宋体" w:eastAsia="宋体" w:cs="宋体"/>
                <w:sz w:val="18"/>
                <w:szCs w:val="18"/>
                <w:lang w:eastAsia="zh-CN"/>
              </w:rPr>
              <w:t>）</w:t>
            </w: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宋体" w:hAnsi="宋体" w:eastAsia="宋体" w:cs="宋体"/>
                <w:sz w:val="18"/>
                <w:szCs w:val="18"/>
              </w:rPr>
            </w:pPr>
            <w:r>
              <w:rPr>
                <w:rFonts w:hint="eastAsia" w:ascii="宋体" w:hAnsi="宋体" w:eastAsia="宋体" w:cs="宋体"/>
                <w:sz w:val="18"/>
                <w:szCs w:val="18"/>
              </w:rPr>
              <w:t>用人单位不按规定与招用的劳动者订立劳动合同或者集体合同的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河南省劳动保障监察条例》第二十条“用人单位不按规定与招用的劳动者订立劳动合同或者集体合同，由劳动保障行政部门责令改正，不按规定签订劳动合同的，按每使用一人处以五百元罚款；不按规定签订集体合同的，处以三千元以上一万元以下罚款”</w:t>
            </w:r>
          </w:p>
        </w:tc>
        <w:tc>
          <w:tcPr>
            <w:tcW w:w="567" w:type="dxa"/>
            <w:vMerge w:val="restart"/>
            <w:tcBorders>
              <w:top w:val="outset" w:color="000000" w:sz="6" w:space="0"/>
              <w:left w:val="outset" w:color="000000" w:sz="6" w:space="0"/>
            </w:tcBorders>
            <w:noWrap w:val="0"/>
            <w:vAlign w:val="top"/>
          </w:tcPr>
          <w:p>
            <w:pPr>
              <w:rPr>
                <w:rFonts w:ascii="仿宋_GB2312" w:hAnsi="仿宋_GB2312" w:eastAsia="仿宋_GB2312" w:cs="仿宋_GB2312"/>
                <w:sz w:val="18"/>
                <w:szCs w:val="18"/>
              </w:rPr>
            </w:pPr>
            <w:r>
              <w:rPr>
                <w:rFonts w:hint="eastAsia"/>
                <w:szCs w:val="21"/>
              </w:rPr>
              <w:t>劳动监察大队</w:t>
            </w:r>
          </w:p>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p>
            <w:pPr>
              <w:rPr>
                <w:rFonts w:hint="eastAsia" w:ascii="仿宋_GB2312" w:hAnsi="仿宋_GB2312" w:eastAsia="仿宋_GB2312" w:cs="仿宋_GB2312"/>
                <w:sz w:val="18"/>
                <w:szCs w:val="18"/>
              </w:rPr>
            </w:pPr>
            <w:r>
              <w:rPr>
                <w:rFonts w:hint="eastAsia"/>
                <w:szCs w:val="21"/>
              </w:rPr>
              <w:t>2</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p>
            <w:pPr>
              <w:rPr>
                <w:rFonts w:hint="eastAsia" w:ascii="仿宋_GB2312" w:hAnsi="仿宋_GB2312" w:eastAsia="仿宋_GB2312" w:cs="仿宋_GB2312"/>
                <w:sz w:val="18"/>
                <w:szCs w:val="18"/>
              </w:rPr>
            </w:pPr>
            <w:r>
              <w:rPr>
                <w:rFonts w:hint="eastAsia"/>
                <w:szCs w:val="21"/>
              </w:rPr>
              <w:t>用人单位制定的劳动规章制度违反法律、法规规定的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p>
            <w:pPr>
              <w:rPr>
                <w:rFonts w:hint="eastAsia"/>
                <w:szCs w:val="21"/>
              </w:rPr>
            </w:pPr>
            <w:r>
              <w:rPr>
                <w:rFonts w:hint="eastAsia"/>
                <w:szCs w:val="21"/>
              </w:rPr>
              <w:t>《劳动法》第89条“用人单位制定的劳动规章制度违反法律、法规规定的，由劳动行政部门给予警告，责令改正，对劳动者造成损害的，应当承担赔偿责任。”</w:t>
            </w:r>
          </w:p>
          <w:p>
            <w:pPr>
              <w:rPr>
                <w:rFonts w:hint="eastAsia" w:ascii="仿宋_GB2312" w:hAnsi="仿宋_GB2312" w:eastAsia="仿宋_GB2312" w:cs="仿宋_GB2312"/>
                <w:sz w:val="18"/>
                <w:szCs w:val="18"/>
              </w:rPr>
            </w:pPr>
            <w:r>
              <w:rPr>
                <w:rFonts w:hint="eastAsia"/>
                <w:szCs w:val="21"/>
              </w:rPr>
              <w:t>《劳动合同法》第80条“用人单位直接涉及劳动者切身利益的规章制度违反法律、法规规定的，由劳动行政部门责令改正，给予警告；给劳动者造成损害的，应当承担赔偿责任”</w:t>
            </w:r>
          </w:p>
        </w:tc>
        <w:tc>
          <w:tcPr>
            <w:tcW w:w="567" w:type="dxa"/>
            <w:vMerge w:val="continue"/>
            <w:tcBorders>
              <w:lef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3</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用人单位非法招用未满十六周岁的未成年人的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《劳动法》第94条“用人单位非法招用未满十六周岁的未成年人的，由劳动行政部门责令改正，处以罚款”</w:t>
            </w:r>
          </w:p>
          <w:p>
            <w:pPr>
              <w:rPr>
                <w:rFonts w:hint="eastAsia" w:ascii="仿宋_GB2312" w:hAnsi="仿宋_GB2312" w:eastAsia="仿宋_GB2312" w:cs="仿宋_GB2312"/>
                <w:sz w:val="18"/>
                <w:szCs w:val="18"/>
              </w:rPr>
            </w:pPr>
            <w:r>
              <w:rPr>
                <w:rFonts w:hint="eastAsia"/>
                <w:szCs w:val="21"/>
              </w:rPr>
              <w:t>《禁止使用童工规定》第6条“用人单位使用童工的，由劳动保障行政部门按照每使用一名童工每月处5000元罚款的标准给予处罚”</w:t>
            </w:r>
          </w:p>
        </w:tc>
        <w:tc>
          <w:tcPr>
            <w:tcW w:w="567" w:type="dxa"/>
            <w:vMerge w:val="continue"/>
            <w:tcBorders>
              <w:lef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4</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职业介绍机构以及其他单位或者个人为未满十六周岁的少年儿童介绍职业的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lt;禁止使用童工规定&gt;第7条“单位或者个人为不满16周岁的未成年人介绍就业的，由劳动保障行政部门按照每介绍一人处5000元罚款的标准给予处罚；职业中介机构为不满16周岁的未成年人介绍就业的，并由劳动保障行政部门吊销其职业介绍许可证。”</w:t>
            </w:r>
          </w:p>
        </w:tc>
        <w:tc>
          <w:tcPr>
            <w:tcW w:w="567" w:type="dxa"/>
            <w:vMerge w:val="continue"/>
            <w:tcBorders>
              <w:lef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5</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用人单位未按规定保存录用登记记录或伪造录用登记材料的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《禁止使用童工规定》第8条“用人单位未按照本规定第四条的规定保存录用登记材料，或者伪造录用登记材料的，由劳动保障行政部门处1万元的罚款”</w:t>
            </w:r>
          </w:p>
        </w:tc>
        <w:tc>
          <w:tcPr>
            <w:tcW w:w="567" w:type="dxa"/>
            <w:vMerge w:val="continue"/>
            <w:tcBorders>
              <w:lef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6</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安排女职工从事矿山井下劳动、国家规定的第四级体力劳动强度的劳动或者其他禁忌从事的劳动的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《劳动监察条例》第23条“用人单位有下列行为之一的，由劳动保障行政部门责令改正，按照受侵害的劳动者每人1000元以上5000元以下的标准计算，处以罚款；”</w:t>
            </w:r>
          </w:p>
          <w:p>
            <w:pPr>
              <w:rPr>
                <w:rFonts w:hint="eastAsia" w:ascii="仿宋_GB2312" w:hAnsi="仿宋_GB2312" w:eastAsia="仿宋_GB2312" w:cs="仿宋_GB2312"/>
                <w:sz w:val="18"/>
                <w:szCs w:val="18"/>
              </w:rPr>
            </w:pPr>
            <w:r>
              <w:rPr>
                <w:rFonts w:hint="eastAsia"/>
                <w:szCs w:val="21"/>
              </w:rPr>
              <w:t>1.安排女职工从事矿山井下劳动、国家规定的第四级体力劳动强度的劳动或者其他禁忌从事的劳动的</w:t>
            </w:r>
          </w:p>
        </w:tc>
        <w:tc>
          <w:tcPr>
            <w:tcW w:w="567" w:type="dxa"/>
            <w:vMerge w:val="continue"/>
            <w:tcBorders>
              <w:lef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7</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安排女职工在经期从事高处、低温、冷水作业或者国家规定的第三级体力劳动强度的劳动的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《劳动监察条例》第23条“用人单位有下列行为之一的，由劳动保障行政部门责令改正，按照受侵害的劳动者每人1000元以上5000元以下的标准计算，处以罚款；”</w:t>
            </w:r>
          </w:p>
          <w:p>
            <w:pPr>
              <w:rPr>
                <w:rFonts w:hint="eastAsia" w:ascii="仿宋_GB2312" w:hAnsi="仿宋_GB2312" w:eastAsia="仿宋_GB2312" w:cs="仿宋_GB2312"/>
                <w:sz w:val="18"/>
                <w:szCs w:val="18"/>
              </w:rPr>
            </w:pPr>
            <w:r>
              <w:rPr>
                <w:rFonts w:hint="eastAsia"/>
                <w:szCs w:val="21"/>
              </w:rPr>
              <w:t>2.安排女职工在经期从事高处、低温、冷水作业或者国家规定的第三级体力劳动强度的劳动的</w:t>
            </w:r>
          </w:p>
        </w:tc>
        <w:tc>
          <w:tcPr>
            <w:tcW w:w="567" w:type="dxa"/>
            <w:vMerge w:val="continue"/>
            <w:tcBorders>
              <w:left w:val="outset" w:color="000000" w:sz="6" w:space="0"/>
              <w:bottom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8</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安排女职工在怀孕期间从事国家规定的第三级体力劳动强度的劳动或者孕期禁忌从事的劳动的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《劳动监察条例》第23条“用人单位有下列行为之一的，由劳动保障行政部门责令改正，按照受侵害的劳动者每人1000元以上5000元以下的标准计算，处以罚款；”</w:t>
            </w:r>
          </w:p>
          <w:p>
            <w:pPr>
              <w:rPr>
                <w:rFonts w:hint="eastAsia" w:ascii="仿宋_GB2312" w:hAnsi="仿宋_GB2312" w:eastAsia="仿宋_GB2312" w:cs="仿宋_GB2312"/>
                <w:sz w:val="18"/>
                <w:szCs w:val="18"/>
              </w:rPr>
            </w:pPr>
            <w:r>
              <w:rPr>
                <w:rFonts w:hint="eastAsia"/>
                <w:szCs w:val="21"/>
              </w:rPr>
              <w:t>3.安排女职工在怀孕期间从事国家规定的第三级体力劳动强度的劳动或者孕期禁忌从事的劳动的</w:t>
            </w:r>
          </w:p>
        </w:tc>
        <w:tc>
          <w:tcPr>
            <w:tcW w:w="567" w:type="dxa"/>
            <w:vMerge w:val="restart"/>
            <w:tcBorders>
              <w:top w:val="outset" w:color="000000" w:sz="6" w:space="0"/>
              <w:left w:val="outset" w:color="000000" w:sz="6" w:space="0"/>
              <w:right w:val="outset" w:color="000000" w:sz="6" w:space="0"/>
            </w:tcBorders>
            <w:noWrap w:val="0"/>
            <w:vAlign w:val="top"/>
          </w:tcPr>
          <w:p>
            <w:pPr>
              <w:rPr>
                <w:rFonts w:ascii="仿宋_GB2312" w:hAnsi="仿宋_GB2312" w:eastAsia="仿宋_GB2312" w:cs="仿宋_GB2312"/>
                <w:sz w:val="18"/>
                <w:szCs w:val="18"/>
              </w:rPr>
            </w:pPr>
            <w:r>
              <w:rPr>
                <w:rFonts w:hint="eastAsia"/>
                <w:szCs w:val="21"/>
              </w:rPr>
              <w:t>劳动监察大队</w:t>
            </w:r>
          </w:p>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9</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安排怀孕7个月以上的女职工夜班劳动或者延长其工作时间的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《劳动监察条例》第23条“用人单位有下列行为之一的，由劳动保障行政部门责令改正，按照受侵害的劳动者每人1000元以上5000元以下的标准计算，处以罚款；”</w:t>
            </w:r>
          </w:p>
          <w:p>
            <w:pPr>
              <w:rPr>
                <w:rFonts w:hint="eastAsia" w:ascii="仿宋_GB2312" w:hAnsi="仿宋_GB2312" w:eastAsia="仿宋_GB2312" w:cs="仿宋_GB2312"/>
                <w:sz w:val="18"/>
                <w:szCs w:val="18"/>
              </w:rPr>
            </w:pPr>
            <w:r>
              <w:rPr>
                <w:rFonts w:hint="eastAsia"/>
                <w:szCs w:val="21"/>
              </w:rPr>
              <w:t>4.安排怀孕7个月以上的女职工夜班劳动或者延长其工作时间的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10</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女职工生育享受产假少于90天的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《劳动监察条例》第23条“用人单位有下列行为之一的，由劳动保障行政部门责令改正，按照受侵害的劳动者每人1000元以上5000元以下的标准计算，处以罚款；”</w:t>
            </w:r>
          </w:p>
          <w:p>
            <w:pPr>
              <w:rPr>
                <w:rFonts w:hint="eastAsia" w:ascii="仿宋_GB2312" w:hAnsi="仿宋_GB2312" w:eastAsia="仿宋_GB2312" w:cs="仿宋_GB2312"/>
                <w:sz w:val="18"/>
                <w:szCs w:val="18"/>
              </w:rPr>
            </w:pPr>
            <w:r>
              <w:rPr>
                <w:rFonts w:hint="eastAsia"/>
                <w:szCs w:val="21"/>
              </w:rPr>
              <w:t>5.女职工生育享受产假少于90天的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11</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安排女职工在哺乳未满1周岁的婴儿期间从事国家规定的第三级体力劳动强度的劳动或者哺乳期禁忌从事的其他劳动，以及延长其工作时间或者安排其夜班劳动的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《劳动监察条例》第23条“用人单位有下列行为之一的，由劳动保障行政部门责令改正，按照受侵害的劳动者每人1000元以上5000元以下的标准计算，处以罚款；”</w:t>
            </w:r>
          </w:p>
          <w:p>
            <w:pPr>
              <w:rPr>
                <w:rFonts w:hint="eastAsia" w:ascii="仿宋_GB2312" w:hAnsi="仿宋_GB2312" w:eastAsia="仿宋_GB2312" w:cs="仿宋_GB2312"/>
                <w:sz w:val="18"/>
                <w:szCs w:val="18"/>
              </w:rPr>
            </w:pPr>
            <w:r>
              <w:rPr>
                <w:rFonts w:hint="eastAsia"/>
                <w:szCs w:val="21"/>
              </w:rPr>
              <w:t>6.安排女职工在哺乳未满1周岁的婴儿期间从事国家规定的第三级体力劳动强度的劳动或者哺乳期禁忌从事的其他劳动，以及延长其工作时间或者安排其夜班劳动的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12</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未对未成年工定期进行健康检查的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《劳动监察条例》第23条“用人单位有下列行为之一的，由劳动保障行政部门责令改正，按照受侵害的劳动者每人1000元以上5000元以下的标准计算，处以罚款；”</w:t>
            </w:r>
          </w:p>
          <w:p>
            <w:pPr>
              <w:rPr>
                <w:rFonts w:hint="eastAsia" w:ascii="仿宋_GB2312" w:hAnsi="仿宋_GB2312" w:eastAsia="仿宋_GB2312" w:cs="仿宋_GB2312"/>
                <w:sz w:val="18"/>
                <w:szCs w:val="18"/>
              </w:rPr>
            </w:pPr>
            <w:r>
              <w:rPr>
                <w:rFonts w:hint="eastAsia"/>
                <w:szCs w:val="21"/>
              </w:rPr>
              <w:t>8.未对未成年工定期进行健康检查的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13</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无理抗拒、阻挠劳动保障行政部门依照规定实施劳动保障监察的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《劳动监察条例》第30条“有下列行为之一的，由劳动保障行政部门责令改正，对有第一项、第二项、第三项规定的行为的，处2000元以上2万元以下的罚款；</w:t>
            </w:r>
          </w:p>
          <w:p>
            <w:pPr>
              <w:rPr>
                <w:rFonts w:hint="eastAsia"/>
                <w:szCs w:val="21"/>
              </w:rPr>
            </w:pPr>
            <w:r>
              <w:rPr>
                <w:rFonts w:hint="eastAsia"/>
                <w:szCs w:val="21"/>
              </w:rPr>
              <w:t>1.无理抗拒、阻挠劳动保障行政部门依照规定实施劳动保障监察的</w:t>
            </w:r>
          </w:p>
          <w:p>
            <w:pPr>
              <w:rPr>
                <w:rFonts w:hint="eastAsia"/>
                <w:szCs w:val="21"/>
              </w:rPr>
            </w:pPr>
            <w:r>
              <w:rPr>
                <w:rFonts w:hint="eastAsia"/>
                <w:szCs w:val="21"/>
              </w:rPr>
              <w:t>《社会保险费征缴监督检查办法》第十五条“对缴费单位有下列行为之一的，应当给予警告，并可以处以10000元以下的罚款；1.阻挠劳动保障监察人员依法行使监察职权，拒绝检查的</w:t>
            </w:r>
          </w:p>
          <w:p>
            <w:pPr>
              <w:rPr>
                <w:rFonts w:hint="eastAsia" w:ascii="仿宋_GB2312" w:hAnsi="仿宋_GB2312" w:eastAsia="仿宋_GB2312" w:cs="仿宋_GB2312"/>
                <w:sz w:val="18"/>
                <w:szCs w:val="18"/>
              </w:rPr>
            </w:pP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14</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不按照劳动保障行政部门的要求报送书面材料，隐瞒事实真相，出具伪证或者隐匿、毁灭证据的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《劳动监察条例》第30条“有下列行为之一的，由劳动保障行政部门责令改正，对有第一项、第二项、第三项规定的行为的，处2000元以上2万元以下的罚款；</w:t>
            </w:r>
          </w:p>
          <w:p>
            <w:pPr>
              <w:numPr>
                <w:ilvl w:val="0"/>
                <w:numId w:val="1"/>
              </w:numPr>
              <w:rPr>
                <w:rFonts w:hint="eastAsia"/>
                <w:szCs w:val="21"/>
              </w:rPr>
            </w:pPr>
            <w:r>
              <w:rPr>
                <w:rFonts w:hint="eastAsia"/>
                <w:szCs w:val="21"/>
              </w:rPr>
              <w:t>不按照劳动保障行政部门的要求报送书面材料，隐瞒事实真相，出具伪证或者隐匿、毁灭证据的</w:t>
            </w:r>
          </w:p>
          <w:p>
            <w:pPr>
              <w:rPr>
                <w:rFonts w:hint="eastAsia"/>
                <w:szCs w:val="21"/>
              </w:rPr>
            </w:pPr>
            <w:r>
              <w:rPr>
                <w:rFonts w:hint="eastAsia"/>
                <w:szCs w:val="21"/>
              </w:rPr>
              <w:t>《社会保险费征缴监督检查办法》第十五条“对缴费单位有下列行为之一的，应当给予警告，并可以处以10000元以下的罚款；</w:t>
            </w:r>
          </w:p>
          <w:p>
            <w:pPr>
              <w:rPr>
                <w:rFonts w:hint="eastAsia" w:ascii="仿宋_GB2312" w:hAnsi="仿宋_GB2312" w:eastAsia="仿宋_GB2312" w:cs="仿宋_GB2312"/>
                <w:sz w:val="18"/>
                <w:szCs w:val="18"/>
              </w:rPr>
            </w:pPr>
            <w:r>
              <w:rPr>
                <w:rFonts w:hint="eastAsia"/>
                <w:szCs w:val="21"/>
              </w:rPr>
              <w:t>2.隐瞒事实真相，谎报，瞒报，出具伪证，或者隐匿、毁灭证据的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15</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经劳动保障行政部门责令改正拒不改正，或者拒不履行劳动保障行政部门的行政处理决定的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《劳动监察条例》第30条“有下列行为之一的，由劳动保障行政部门责令改正，对有第一项、第二项、第三项规定的行为的，处2000元以上2万元以下的罚款；</w:t>
            </w:r>
          </w:p>
          <w:p>
            <w:pPr>
              <w:rPr>
                <w:rFonts w:hint="eastAsia" w:ascii="仿宋_GB2312" w:hAnsi="仿宋_GB2312" w:eastAsia="仿宋_GB2312" w:cs="仿宋_GB2312"/>
                <w:sz w:val="18"/>
                <w:szCs w:val="18"/>
              </w:rPr>
            </w:pPr>
            <w:r>
              <w:rPr>
                <w:rFonts w:hint="eastAsia"/>
                <w:szCs w:val="21"/>
              </w:rPr>
              <w:t>3.经劳动保障行政部门责令改正拒不改正，或者拒不履行劳动保障行政部门的行政处理决定的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16</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缴费单位拒绝提供与缴纳社会保险费有关的用人单位情况、工资表、财务报表等资料的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《社会保险费征缴监督检查办法》第十五条“对缴费单位有下列行为之一的，应当给予警告，并可以处以10000元以下的罚款；</w:t>
            </w:r>
          </w:p>
          <w:p>
            <w:pPr>
              <w:rPr>
                <w:rFonts w:hint="eastAsia" w:ascii="仿宋_GB2312" w:hAnsi="仿宋_GB2312" w:eastAsia="仿宋_GB2312" w:cs="仿宋_GB2312"/>
                <w:sz w:val="18"/>
                <w:szCs w:val="18"/>
              </w:rPr>
            </w:pPr>
            <w:r>
              <w:rPr>
                <w:rFonts w:hint="eastAsia"/>
                <w:szCs w:val="21"/>
              </w:rPr>
              <w:t>3.拒绝提供与缴纳社会保险费有关的用人单位情况、工资表、财务报表等资料的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17</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缴费单位拒绝执行劳动保障行政部门下达的监</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《社会保险费征缴监督检查办法》第十五条“对缴费单位有下列行为之一的，应当给予警告，并可以处以10000元以下的罚款；</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督检查询问书的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4.拒绝执行劳动保障行政部门下达的监督检查询问书的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18</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打击报复举报人员的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《劳动法》第101条“用人单位无理阻挠劳动行政部门、有关部门及其工作人员行使监督检查权，打击报复举报人员的，由劳动行政部门或者有关部门处以罚款；构成犯罪的，对责任人员依法追究刑事责任”</w:t>
            </w:r>
          </w:p>
          <w:p>
            <w:pPr>
              <w:rPr>
                <w:rFonts w:hint="eastAsia"/>
                <w:szCs w:val="21"/>
              </w:rPr>
            </w:pPr>
            <w:r>
              <w:rPr>
                <w:rFonts w:hint="eastAsia"/>
                <w:szCs w:val="21"/>
              </w:rPr>
              <w:t>《社会保险费征缴监督检查办法》第十五条“对缴费单位有下列行为之一的，应当给予警告，并可以处以10000元以下的罚款；</w:t>
            </w:r>
          </w:p>
          <w:p>
            <w:pPr>
              <w:rPr>
                <w:rFonts w:hint="eastAsia" w:ascii="仿宋_GB2312" w:hAnsi="仿宋_GB2312" w:eastAsia="仿宋_GB2312" w:cs="仿宋_GB2312"/>
                <w:sz w:val="18"/>
                <w:szCs w:val="18"/>
              </w:rPr>
            </w:pPr>
            <w:r>
              <w:rPr>
                <w:rFonts w:hint="eastAsia"/>
                <w:szCs w:val="21"/>
              </w:rPr>
              <w:t>6.打击报复举报人员的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19</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用人单位提供虚假招聘信息的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《劳动力市场管理规定》第10条“禁止用人单位招用人员时有下列行为”</w:t>
            </w:r>
          </w:p>
          <w:p>
            <w:pPr>
              <w:numPr>
                <w:ilvl w:val="0"/>
                <w:numId w:val="2"/>
              </w:numPr>
              <w:rPr>
                <w:rFonts w:hint="eastAsia"/>
                <w:szCs w:val="21"/>
              </w:rPr>
            </w:pPr>
            <w:r>
              <w:rPr>
                <w:rFonts w:hint="eastAsia"/>
                <w:szCs w:val="21"/>
              </w:rPr>
              <w:t>提供虚假招聘信息</w:t>
            </w:r>
          </w:p>
          <w:p>
            <w:pPr>
              <w:rPr>
                <w:rFonts w:hint="eastAsia" w:ascii="仿宋_GB2312" w:hAnsi="仿宋_GB2312" w:eastAsia="仿宋_GB2312" w:cs="仿宋_GB2312"/>
                <w:sz w:val="18"/>
                <w:szCs w:val="18"/>
              </w:rPr>
            </w:pPr>
            <w:r>
              <w:rPr>
                <w:rFonts w:hint="eastAsia"/>
                <w:szCs w:val="21"/>
              </w:rPr>
              <w:t>第34条“用人单位违反本规定第10条规定的，由劳动保障行政部门责令改正，并可处以1000元以下罚款；对当事人造成损害的，应承担赔偿责任”</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20</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招用无合法证件的人员的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《劳动力市场管理规定》第10条“禁止用人单位招用人员时有下列行为”</w:t>
            </w:r>
          </w:p>
          <w:p>
            <w:pPr>
              <w:numPr>
                <w:ilvl w:val="0"/>
                <w:numId w:val="3"/>
              </w:numPr>
              <w:rPr>
                <w:rFonts w:hint="eastAsia"/>
                <w:szCs w:val="21"/>
              </w:rPr>
            </w:pPr>
            <w:r>
              <w:rPr>
                <w:rFonts w:hint="eastAsia"/>
                <w:szCs w:val="21"/>
              </w:rPr>
              <w:t>招用无合法证件的人员的</w:t>
            </w:r>
          </w:p>
          <w:p>
            <w:pPr>
              <w:rPr>
                <w:rFonts w:hint="eastAsia" w:ascii="仿宋_GB2312" w:hAnsi="仿宋_GB2312" w:eastAsia="仿宋_GB2312" w:cs="仿宋_GB2312"/>
                <w:sz w:val="18"/>
                <w:szCs w:val="18"/>
              </w:rPr>
            </w:pPr>
            <w:r>
              <w:rPr>
                <w:rFonts w:hint="eastAsia"/>
                <w:szCs w:val="21"/>
              </w:rPr>
              <w:t>第34条“用人单位违反本规定第10条规定的，由劳动保障行政部门责令改正，并可处以1000元以下罚款；对当事人造成损害的，应承担赔偿责任”</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21</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向求职者收取招聘费用的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《劳动力市场管理规定》第10条“禁止用人单位招用人员时有下列行为”</w:t>
            </w:r>
          </w:p>
          <w:p>
            <w:pPr>
              <w:rPr>
                <w:rFonts w:hint="eastAsia" w:ascii="仿宋_GB2312" w:hAnsi="仿宋_GB2312" w:eastAsia="仿宋_GB2312" w:cs="仿宋_GB2312"/>
                <w:sz w:val="18"/>
                <w:szCs w:val="18"/>
              </w:rPr>
            </w:pPr>
            <w:r>
              <w:rPr>
                <w:rFonts w:hint="eastAsia"/>
                <w:szCs w:val="21"/>
              </w:rPr>
              <w:t>3.向求职者收取招聘费用的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single" w:color="auto" w:sz="4" w:space="0"/>
              <w:left w:val="single" w:color="auto" w:sz="4" w:space="0"/>
              <w:bottom w:val="single" w:color="auto" w:sz="4" w:space="0"/>
              <w:right w:val="single" w:color="auto" w:sz="4" w:space="0"/>
            </w:tcBorders>
            <w:noWrap w:val="0"/>
            <w:vAlign w:val="top"/>
          </w:tcPr>
          <w:p>
            <w:pPr>
              <w:rPr>
                <w:rFonts w:hint="eastAsia"/>
                <w:szCs w:val="21"/>
              </w:rPr>
            </w:pPr>
            <w:r>
              <w:rPr>
                <w:rFonts w:hint="eastAsia"/>
                <w:szCs w:val="21"/>
              </w:rPr>
              <w:t>22</w:t>
            </w:r>
          </w:p>
        </w:tc>
        <w:tc>
          <w:tcPr>
            <w:tcW w:w="781" w:type="dxa"/>
            <w:tcBorders>
              <w:top w:val="single" w:color="auto" w:sz="4" w:space="0"/>
              <w:left w:val="single" w:color="auto" w:sz="4" w:space="0"/>
              <w:bottom w:val="single" w:color="auto" w:sz="4" w:space="0"/>
              <w:right w:val="single" w:color="auto" w:sz="4" w:space="0"/>
            </w:tcBorders>
            <w:noWrap w:val="0"/>
            <w:vAlign w:val="top"/>
          </w:tcPr>
          <w:p>
            <w:pPr>
              <w:rPr>
                <w:rFonts w:hint="eastAsia"/>
                <w:szCs w:val="21"/>
              </w:rPr>
            </w:pPr>
          </w:p>
        </w:tc>
        <w:tc>
          <w:tcPr>
            <w:tcW w:w="1679" w:type="dxa"/>
            <w:tcBorders>
              <w:top w:val="single" w:color="auto" w:sz="4" w:space="0"/>
              <w:left w:val="single" w:color="auto" w:sz="4" w:space="0"/>
              <w:bottom w:val="single" w:color="auto" w:sz="4" w:space="0"/>
              <w:right w:val="single" w:color="auto" w:sz="4" w:space="0"/>
            </w:tcBorders>
            <w:noWrap w:val="0"/>
            <w:vAlign w:val="top"/>
          </w:tcPr>
          <w:p>
            <w:pPr>
              <w:rPr>
                <w:rFonts w:hint="eastAsia"/>
                <w:szCs w:val="21"/>
              </w:rPr>
            </w:pPr>
            <w:r>
              <w:rPr>
                <w:rFonts w:hint="eastAsia"/>
                <w:szCs w:val="21"/>
              </w:rPr>
              <w:t>向被录用人员收取保证金或抵押金的</w:t>
            </w:r>
          </w:p>
        </w:tc>
        <w:tc>
          <w:tcPr>
            <w:tcW w:w="4558" w:type="dxa"/>
            <w:tcBorders>
              <w:top w:val="single" w:color="auto" w:sz="4" w:space="0"/>
              <w:left w:val="single" w:color="auto" w:sz="4" w:space="0"/>
              <w:bottom w:val="single" w:color="auto" w:sz="4" w:space="0"/>
              <w:right w:val="outset" w:color="000000" w:sz="6" w:space="0"/>
            </w:tcBorders>
            <w:noWrap w:val="0"/>
            <w:vAlign w:val="top"/>
          </w:tcPr>
          <w:p>
            <w:pPr>
              <w:rPr>
                <w:rFonts w:hint="eastAsia"/>
                <w:szCs w:val="21"/>
              </w:rPr>
            </w:pPr>
            <w:r>
              <w:rPr>
                <w:rFonts w:hint="eastAsia"/>
                <w:szCs w:val="21"/>
              </w:rPr>
              <w:t>《劳动力市场管理规定》第10条“禁止用人单位招用人员时有下列行为”</w:t>
            </w:r>
          </w:p>
          <w:p>
            <w:pPr>
              <w:rPr>
                <w:rFonts w:hint="eastAsia"/>
                <w:szCs w:val="21"/>
              </w:rPr>
            </w:pPr>
            <w:r>
              <w:rPr>
                <w:rFonts w:hint="eastAsia"/>
                <w:szCs w:val="21"/>
              </w:rPr>
              <w:t>4.向被录用人员收取保证金或抵押金的</w:t>
            </w:r>
          </w:p>
        </w:tc>
        <w:tc>
          <w:tcPr>
            <w:tcW w:w="567" w:type="dxa"/>
            <w:vMerge w:val="continue"/>
            <w:tcBorders>
              <w:left w:val="outset" w:color="000000" w:sz="6" w:space="0"/>
              <w:right w:val="outset" w:color="000000" w:sz="6" w:space="0"/>
            </w:tcBorders>
            <w:noWrap w:val="0"/>
            <w:vAlign w:val="top"/>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bottom w:val="outset" w:color="000000" w:sz="6" w:space="0"/>
              <w:right w:val="outset" w:color="000000" w:sz="6" w:space="0"/>
            </w:tcBorders>
            <w:noWrap w:val="0"/>
            <w:vAlign w:val="top"/>
          </w:tcPr>
          <w:p>
            <w:pPr>
              <w:rPr>
                <w:rFonts w:hint="eastAsia"/>
                <w:szCs w:val="21"/>
              </w:rPr>
            </w:pPr>
            <w:r>
              <w:rPr>
                <w:rFonts w:hint="eastAsia"/>
                <w:szCs w:val="21"/>
              </w:rPr>
              <w:t>23</w:t>
            </w:r>
          </w:p>
        </w:tc>
        <w:tc>
          <w:tcPr>
            <w:tcW w:w="781" w:type="dxa"/>
            <w:tcBorders>
              <w:left w:val="outset" w:color="000000" w:sz="6" w:space="0"/>
              <w:bottom w:val="outset" w:color="000000" w:sz="6" w:space="0"/>
              <w:right w:val="outset" w:color="000000" w:sz="6" w:space="0"/>
            </w:tcBorders>
            <w:noWrap w:val="0"/>
            <w:vAlign w:val="top"/>
          </w:tcPr>
          <w:p>
            <w:pPr>
              <w:rPr>
                <w:rFonts w:hint="eastAsia"/>
                <w:szCs w:val="21"/>
              </w:rPr>
            </w:pPr>
          </w:p>
        </w:tc>
        <w:tc>
          <w:tcPr>
            <w:tcW w:w="1679" w:type="dxa"/>
            <w:tcBorders>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扣押被录用人员的身份证等证件的</w:t>
            </w:r>
          </w:p>
        </w:tc>
        <w:tc>
          <w:tcPr>
            <w:tcW w:w="4558" w:type="dxa"/>
            <w:tcBorders>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《劳动力市场管理规定》第10条“禁止用人单位招用人员时有下列行为”</w:t>
            </w:r>
          </w:p>
          <w:p>
            <w:pPr>
              <w:rPr>
                <w:rFonts w:hint="eastAsia"/>
                <w:szCs w:val="21"/>
              </w:rPr>
            </w:pPr>
            <w:r>
              <w:rPr>
                <w:rFonts w:hint="eastAsia"/>
                <w:szCs w:val="21"/>
              </w:rPr>
              <w:t>5.扣押被录用人员的身份证等证件的</w:t>
            </w:r>
          </w:p>
        </w:tc>
        <w:tc>
          <w:tcPr>
            <w:tcW w:w="567" w:type="dxa"/>
            <w:vMerge w:val="continue"/>
            <w:tcBorders>
              <w:left w:val="outset" w:color="000000" w:sz="6" w:space="0"/>
              <w:right w:val="outset" w:color="000000" w:sz="6" w:space="0"/>
            </w:tcBorders>
            <w:noWrap w:val="0"/>
            <w:vAlign w:val="top"/>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24</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未按期办理备案手续的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力市场管理规定》第14条“用人单位招用人员后，应当自录用之日起30日内，到当地劳动保障行政部门办理录用备案手续，并为被录用人员办理就业登记。用人单位与职工终止或者解除劳动关系后，应当于7日内到当地劳动保障行政部门办理备案手续”</w:t>
            </w:r>
          </w:p>
          <w:p>
            <w:pPr>
              <w:rPr>
                <w:rFonts w:hint="eastAsia" w:ascii="仿宋_GB2312" w:hAnsi="仿宋_GB2312" w:eastAsia="仿宋_GB2312" w:cs="仿宋_GB2312"/>
                <w:sz w:val="18"/>
                <w:szCs w:val="18"/>
              </w:rPr>
            </w:pPr>
            <w:r>
              <w:rPr>
                <w:rFonts w:hint="eastAsia"/>
                <w:szCs w:val="21"/>
              </w:rPr>
              <w:t>第35条“用人单位违反本规定第14条规定，未按期办理备案手续的，由劳动保障行政部门责令限期改正；预期不改正的，处以1000元以下罚款”</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25</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未经批准设立职业介绍机构或未经批准从事职业介绍活动的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劳动力市场管理规定》第36条“违反本规定17、18条规定，未经批准设立职业介绍机构或未经批准从事职业介绍活动的，由劳动保障行政部门责令停止职业介绍活动，并可处于10000元以下罚款；有违法所得的，可处以不超过违法所得3倍的罚款，但最高不得超过30000元”</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26</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职业介绍机构超出核准的业务范围经营的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《劳动力市场管理规定》第21条“禁止职业介绍机构有下列行为”</w:t>
            </w:r>
          </w:p>
          <w:p>
            <w:pPr>
              <w:numPr>
                <w:ilvl w:val="0"/>
                <w:numId w:val="4"/>
              </w:numPr>
              <w:rPr>
                <w:rFonts w:hint="eastAsia" w:ascii="仿宋_GB2312" w:hAnsi="仿宋_GB2312" w:eastAsia="仿宋_GB2312" w:cs="仿宋_GB2312"/>
                <w:sz w:val="18"/>
                <w:szCs w:val="18"/>
              </w:rPr>
            </w:pPr>
            <w:r>
              <w:rPr>
                <w:rFonts w:hint="eastAsia"/>
                <w:szCs w:val="21"/>
              </w:rPr>
              <w:t>超出核准的业务范围经营</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第37条“职业介绍机构违反本规定第21条规定的，由劳动保障行政部门责令改正，并可处以10000元以下罚款；有违法所得的，可处以不超过违法所得3倍的罚款，但最高不得超过30000元；情节严重的，提请工商部门吊销其营业执照，或提请原登记管理机关办理撤销登记；对当事人造成损害的，应承担赔偿责任”</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27</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职业介绍机构提供虚假信息的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《劳动力市场管理规定》第21条“禁止职业介绍机构有下列行为”</w:t>
            </w:r>
          </w:p>
          <w:p>
            <w:pPr>
              <w:rPr>
                <w:rFonts w:hint="eastAsia"/>
                <w:szCs w:val="21"/>
              </w:rPr>
            </w:pPr>
            <w:r>
              <w:rPr>
                <w:rFonts w:hint="eastAsia"/>
                <w:szCs w:val="21"/>
              </w:rPr>
              <w:t>2 提供虚假信息</w:t>
            </w:r>
          </w:p>
          <w:p>
            <w:pPr>
              <w:rPr>
                <w:rFonts w:hint="eastAsia" w:ascii="仿宋_GB2312" w:hAnsi="仿宋_GB2312" w:eastAsia="仿宋_GB2312" w:cs="仿宋_GB2312"/>
                <w:sz w:val="18"/>
                <w:szCs w:val="18"/>
              </w:rPr>
            </w:pPr>
            <w:r>
              <w:rPr>
                <w:rFonts w:hint="eastAsia"/>
                <w:szCs w:val="21"/>
              </w:rPr>
              <w:t>第37条“职业介绍机构违反本规定第21条规定的，由劳动保障行政部门责令改正，并可处以10000元以下罚款；有违法所得的，可处以不超过违法所得3倍的罚款，但最高不得超过30000元；情节严重的，提请工商部门吊销其营业执照，或提请原登记管理机关办理撤销登记；对当事人造成损害的，应承担赔偿责任”</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244" w:hRule="atLeast"/>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28</w:t>
            </w:r>
          </w:p>
        </w:tc>
        <w:tc>
          <w:tcPr>
            <w:tcW w:w="781" w:type="dxa"/>
            <w:tcBorders>
              <w:top w:val="outset" w:color="000000" w:sz="6" w:space="0"/>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职业介绍机构超标准收费的</w:t>
            </w:r>
          </w:p>
        </w:tc>
        <w:tc>
          <w:tcPr>
            <w:tcW w:w="4558" w:type="dxa"/>
            <w:tcBorders>
              <w:top w:val="outset" w:color="000000" w:sz="6" w:space="0"/>
              <w:left w:val="outset" w:color="000000" w:sz="6" w:space="0"/>
              <w:right w:val="outset" w:color="000000" w:sz="6" w:space="0"/>
            </w:tcBorders>
            <w:noWrap w:val="0"/>
            <w:vAlign w:val="top"/>
          </w:tcPr>
          <w:p>
            <w:pPr>
              <w:rPr>
                <w:rFonts w:hint="eastAsia"/>
                <w:szCs w:val="21"/>
              </w:rPr>
            </w:pPr>
            <w:r>
              <w:rPr>
                <w:rFonts w:hint="eastAsia"/>
                <w:szCs w:val="21"/>
              </w:rPr>
              <w:t>《劳动力市场管理规定》第21条“禁止职业介绍机构有下列行为”</w:t>
            </w:r>
          </w:p>
          <w:p>
            <w:pPr>
              <w:rPr>
                <w:rFonts w:hint="eastAsia"/>
                <w:szCs w:val="21"/>
              </w:rPr>
            </w:pPr>
            <w:r>
              <w:rPr>
                <w:rFonts w:hint="eastAsia"/>
                <w:szCs w:val="21"/>
              </w:rPr>
              <w:t>3 超标准收费</w:t>
            </w:r>
          </w:p>
          <w:p>
            <w:pPr>
              <w:rPr>
                <w:rFonts w:hint="eastAsia"/>
                <w:szCs w:val="21"/>
              </w:rPr>
            </w:pPr>
            <w:r>
              <w:rPr>
                <w:rFonts w:hint="eastAsia"/>
                <w:szCs w:val="21"/>
              </w:rPr>
              <w:t>第37条“职业介绍机构违反本规定第21条规定的，由劳动保障行政部门责令改正，并可处以10000元以下罚款；有违法所得的，可处以不超过违法所得3倍的罚款，但最高不得超过30000元；情节严重的，提请工商部门吊销其营业执照，或提请原登记管理机关</w:t>
            </w:r>
          </w:p>
          <w:p>
            <w:pPr>
              <w:rPr>
                <w:rFonts w:hint="eastAsia" w:ascii="仿宋_GB2312" w:hAnsi="仿宋_GB2312" w:eastAsia="仿宋_GB2312" w:cs="仿宋_GB2312"/>
                <w:sz w:val="18"/>
                <w:szCs w:val="18"/>
              </w:rPr>
            </w:pPr>
            <w:r>
              <w:rPr>
                <w:rFonts w:hint="eastAsia"/>
                <w:szCs w:val="21"/>
              </w:rPr>
              <w:t>办理撤销登记；对当事人造成损害的，应承担赔偿责任”</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29</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职业介绍机构介绍求职者从事法律、法规禁止从事的职业的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《劳动力市场管理规定》第21条“禁止职业介绍机构有下列行为”</w:t>
            </w:r>
          </w:p>
          <w:p>
            <w:pPr>
              <w:numPr>
                <w:ilvl w:val="0"/>
                <w:numId w:val="5"/>
              </w:numPr>
              <w:rPr>
                <w:rFonts w:hint="eastAsia"/>
                <w:szCs w:val="21"/>
              </w:rPr>
            </w:pPr>
            <w:r>
              <w:rPr>
                <w:rFonts w:hint="eastAsia"/>
                <w:szCs w:val="21"/>
              </w:rPr>
              <w:t>介绍求职者从事法律、法规禁止从事的职业的</w:t>
            </w:r>
          </w:p>
          <w:p>
            <w:pPr>
              <w:rPr>
                <w:rFonts w:hint="eastAsia" w:ascii="仿宋_GB2312" w:hAnsi="仿宋_GB2312" w:eastAsia="仿宋_GB2312" w:cs="仿宋_GB2312"/>
                <w:sz w:val="18"/>
                <w:szCs w:val="18"/>
              </w:rPr>
            </w:pPr>
            <w:r>
              <w:rPr>
                <w:rFonts w:hint="eastAsia"/>
                <w:szCs w:val="21"/>
              </w:rPr>
              <w:t>第37条“职业介绍机构违反本规定第21条规定的，由劳动保障行政部门责令改正，并可处以10000元以下罚款；有违法所得的，可处以不超过违法所得3倍的罚款，但最高不得超过30000元；情节严重的，提请工商部门吊销其营业执照，或提请原登记管理机关办理撤销登记；对当事人造成损害的，应承担赔偿责任”</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30</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职业介绍机构为无合法证照的用人单位或者无合法身份证件的求职者进行职业介绍服务活动的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《劳动力市场管理规定》第21条“禁止职业介绍机构有下列行为”</w:t>
            </w:r>
          </w:p>
          <w:p>
            <w:pPr>
              <w:numPr>
                <w:ilvl w:val="0"/>
                <w:numId w:val="6"/>
              </w:numPr>
              <w:rPr>
                <w:rFonts w:hint="eastAsia"/>
                <w:szCs w:val="21"/>
              </w:rPr>
            </w:pPr>
            <w:r>
              <w:rPr>
                <w:rFonts w:hint="eastAsia"/>
                <w:szCs w:val="21"/>
              </w:rPr>
              <w:t>无合法证照的用人单位或者无合法身份证件的求职者进行职业介绍服务活动的</w:t>
            </w:r>
          </w:p>
          <w:p>
            <w:pPr>
              <w:rPr>
                <w:rFonts w:hint="eastAsia" w:ascii="仿宋_GB2312" w:hAnsi="仿宋_GB2312" w:eastAsia="仿宋_GB2312" w:cs="仿宋_GB2312"/>
                <w:sz w:val="18"/>
                <w:szCs w:val="18"/>
              </w:rPr>
            </w:pPr>
            <w:r>
              <w:rPr>
                <w:rFonts w:hint="eastAsia"/>
                <w:szCs w:val="21"/>
              </w:rPr>
              <w:t>第37条“职业介绍机构违反本规定第21条规定的，由劳动保障行政部门责令改正，并可处以10000元以下罚款；有违法所得的，可处以不超过违法所得3倍的罚款，但最高不得超过30000元；情节严重的，提请工商部门吊销其营业执照，或提请原登记管理机关办理撤销登记；对当事人造成损害的，应承担赔偿责任”</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31</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职业介绍机构以暴力、胁迫、欺诈等方式进行职业介绍活动的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《劳动力市场管理规定》第21条“禁止职业介绍机构有下列行为”</w:t>
            </w:r>
          </w:p>
          <w:p>
            <w:pPr>
              <w:numPr>
                <w:ilvl w:val="0"/>
                <w:numId w:val="7"/>
              </w:numPr>
              <w:rPr>
                <w:rFonts w:hint="eastAsia"/>
                <w:szCs w:val="21"/>
              </w:rPr>
            </w:pPr>
            <w:r>
              <w:rPr>
                <w:rFonts w:hint="eastAsia"/>
                <w:szCs w:val="21"/>
              </w:rPr>
              <w:t>以暴力、胁迫、欺诈等方式进行职业介绍活动的</w:t>
            </w:r>
          </w:p>
          <w:p>
            <w:pPr>
              <w:rPr>
                <w:rFonts w:hint="eastAsia" w:ascii="仿宋_GB2312" w:hAnsi="仿宋_GB2312" w:eastAsia="仿宋_GB2312" w:cs="仿宋_GB2312"/>
                <w:sz w:val="18"/>
                <w:szCs w:val="18"/>
              </w:rPr>
            </w:pPr>
            <w:r>
              <w:rPr>
                <w:rFonts w:hint="eastAsia"/>
                <w:szCs w:val="21"/>
              </w:rPr>
              <w:t>第37条“职业介绍机构违反本规定第21条规定的，由劳动保障行政部门责令改正，并可处以10000元以下罚款；有违法所得的，可处以不超过违法所得3倍的罚款，但最高不得超过30000元；情节严重的，提请工商部门吊销其营业执照，或提请原登记管理机关办理撤销登记；对当事人造成损害的，应承担赔偿责任”</w:t>
            </w:r>
          </w:p>
        </w:tc>
        <w:tc>
          <w:tcPr>
            <w:tcW w:w="567" w:type="dxa"/>
            <w:vMerge w:val="continue"/>
            <w:tcBorders>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32</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职业介绍机构伪造、涂改、转让批准文件的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《劳动力市场管理规定》第21条“禁止职业介绍机构有下列行为”</w:t>
            </w:r>
          </w:p>
          <w:p>
            <w:pPr>
              <w:numPr>
                <w:ilvl w:val="0"/>
                <w:numId w:val="8"/>
              </w:numPr>
              <w:rPr>
                <w:rFonts w:hint="eastAsia"/>
                <w:szCs w:val="21"/>
              </w:rPr>
            </w:pPr>
            <w:r>
              <w:rPr>
                <w:rFonts w:hint="eastAsia"/>
                <w:szCs w:val="21"/>
              </w:rPr>
              <w:t>伪造、涂改、转让批准文件</w:t>
            </w:r>
          </w:p>
          <w:p>
            <w:pPr>
              <w:rPr>
                <w:rFonts w:hint="eastAsia" w:ascii="仿宋_GB2312" w:hAnsi="仿宋_GB2312" w:eastAsia="仿宋_GB2312" w:cs="仿宋_GB2312"/>
                <w:sz w:val="18"/>
                <w:szCs w:val="18"/>
              </w:rPr>
            </w:pPr>
            <w:r>
              <w:rPr>
                <w:rFonts w:hint="eastAsia"/>
                <w:szCs w:val="21"/>
              </w:rPr>
              <w:t>第37条“职业介绍机构违反本规定第21条规定的，由劳动保障行政部门责令改正，并可处以10000元以下罚款；有违法所得的，可处以不超过违法所得3倍的罚款，但最高不得超过30000元；情节严重的，提请工商部门吊销其营业执照，或提请原登记管理机关办理撤销登记；对当事人造成损害的，应承担赔偿责任”</w:t>
            </w:r>
          </w:p>
        </w:tc>
        <w:tc>
          <w:tcPr>
            <w:tcW w:w="567" w:type="dxa"/>
            <w:vMerge w:val="restart"/>
            <w:tcBorders>
              <w:top w:val="outset" w:color="000000" w:sz="6" w:space="0"/>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劳动监察大队</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33</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职业介绍机构以职业介绍为名牟取不正当利益的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《劳动力市场管理规定》第21条“禁止职业介绍机构有下列行为”</w:t>
            </w:r>
          </w:p>
          <w:p>
            <w:pPr>
              <w:numPr>
                <w:ilvl w:val="0"/>
                <w:numId w:val="9"/>
              </w:numPr>
              <w:rPr>
                <w:rFonts w:hint="eastAsia"/>
                <w:szCs w:val="21"/>
              </w:rPr>
            </w:pPr>
            <w:r>
              <w:rPr>
                <w:rFonts w:hint="eastAsia"/>
                <w:szCs w:val="21"/>
              </w:rPr>
              <w:t>职业介绍为名牟取不正当利益的</w:t>
            </w:r>
          </w:p>
          <w:p>
            <w:pPr>
              <w:rPr>
                <w:rFonts w:hint="eastAsia" w:ascii="仿宋_GB2312" w:hAnsi="仿宋_GB2312" w:eastAsia="仿宋_GB2312" w:cs="仿宋_GB2312"/>
                <w:sz w:val="18"/>
                <w:szCs w:val="18"/>
              </w:rPr>
            </w:pPr>
            <w:r>
              <w:rPr>
                <w:rFonts w:hint="eastAsia"/>
                <w:szCs w:val="21"/>
              </w:rPr>
              <w:t>第37条“职业介绍机构违反本规定第21条规定的，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由劳动保障行政部门责令改正，并可处以10000元以下罚款；有违法所得的，可处以不超过违法所得3倍的罚款，但最高不得超过30000元；情节严重的，提请工商部门吊销其营业执照，或提请原登记管理机关办理撤销登记；对当事人造成损害的，应承担赔偿责任”</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34</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职业介绍机构未明示合法证照、批准证书、监督电话的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劳动力市场管理规定》第38条“职业介绍机构违反本规定第24条规定，未明示合法证照、批准证书、监督电话的，由劳动保障行政部门责令改正，并可处以1000元以下的罚款；未明示收费标准的，由劳动保障行政部门提请价格主管部门依据国家有关规定处罚”</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35</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骗取失业保险金及其他失业保险待遇、情节严重的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《失业保险条例》第28条“不符合享受失业保险待遇条件，骗取失业保险金和其他失业保险待遇的，由社会保险经办机构责令退还；情节严重的；由劳动保障行政部门处骗取金额1倍以上3倍以下的罚款”</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36</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缴费单位未按规定办理社会保险登记的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社会保险费征缴监督检查办法》第12条“缴费单位有下列行为之一，情节严重的，对直接负责的主管人员和其他直接责任人员处以1000元以上5000元以下的罚款；情节特别严重的，对直接负责的主管人员和其他直接责任人员可处以5000元以上10000元以下的罚款”</w:t>
            </w:r>
          </w:p>
          <w:p>
            <w:pPr>
              <w:rPr>
                <w:rFonts w:hint="eastAsia" w:ascii="仿宋_GB2312" w:hAnsi="仿宋_GB2312" w:eastAsia="仿宋_GB2312" w:cs="仿宋_GB2312"/>
                <w:sz w:val="18"/>
                <w:szCs w:val="18"/>
              </w:rPr>
            </w:pPr>
            <w:r>
              <w:rPr>
                <w:rFonts w:hint="eastAsia"/>
                <w:szCs w:val="21"/>
              </w:rPr>
              <w:t>1.未按规定办理社会保险登记的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37</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缴费单位在社会保险登记事项发生变更或者缴费单位依法终止后，未按规定到社会保险经办机构办理社会保险变更登记或者社会保险注销登记的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社会保险费征缴监督检查办法》第12条“缴费单位有下列行为之一，情节严重的，对直接负责的主管人员和其他直接责任人员处以1000元以上5000元以下的罚款；情节特别严重的，对直接负责的主管人员和其他直接责任人员可处以5000元以上10000元以下的罚款”</w:t>
            </w:r>
          </w:p>
          <w:p>
            <w:pPr>
              <w:rPr>
                <w:rFonts w:hint="eastAsia" w:ascii="仿宋_GB2312" w:hAnsi="仿宋_GB2312" w:eastAsia="仿宋_GB2312" w:cs="仿宋_GB2312"/>
                <w:sz w:val="18"/>
                <w:szCs w:val="18"/>
              </w:rPr>
            </w:pPr>
            <w:r>
              <w:rPr>
                <w:rFonts w:hint="eastAsia"/>
                <w:szCs w:val="21"/>
              </w:rPr>
              <w:t>2.在社会保险登记事项发生变更或者缴费单位依法终止后，未按规定到社会保险经办机构办理社会保险变更登记或者社会保险注销登记的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38</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缴费单位未按规定申报应当缴纳社会保险费数额的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社会保险费征缴监督检查办法》第12条“缴费单位有下列行为之一，情节严重的，对直接负责的主管人员和其他直接责任人员处以1000元以上5000元以下的罚款；情节特别严重的，对直接负责的主管人员和其他直接责任人员可处以5000元以上10000元以下的罚款”</w:t>
            </w:r>
          </w:p>
          <w:p>
            <w:pPr>
              <w:rPr>
                <w:rFonts w:hint="eastAsia" w:ascii="仿宋_GB2312" w:hAnsi="仿宋_GB2312" w:eastAsia="仿宋_GB2312" w:cs="仿宋_GB2312"/>
                <w:sz w:val="18"/>
                <w:szCs w:val="18"/>
              </w:rPr>
            </w:pPr>
            <w:r>
              <w:rPr>
                <w:rFonts w:hint="eastAsia"/>
                <w:szCs w:val="21"/>
              </w:rPr>
              <w:t>3.未按规定申报应当缴纳社会保险费数额的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39</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缴费单位迟延缴纳社会保险费数额的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社会保险费征缴监督检查办法》第13条“对缴费单位有下列行为之一的，依照条例第13条规定，从欠缴之日起，按日加收千分之二的滞纳金，并对直接负责的主管人员和其他直接责任人员处以5000元以上20000元以下罚款”</w:t>
            </w:r>
          </w:p>
          <w:p>
            <w:pPr>
              <w:numPr>
                <w:ilvl w:val="0"/>
                <w:numId w:val="10"/>
              </w:numPr>
              <w:rPr>
                <w:rFonts w:hint="eastAsia"/>
                <w:szCs w:val="21"/>
              </w:rPr>
            </w:pPr>
            <w:r>
              <w:rPr>
                <w:rFonts w:hint="eastAsia"/>
                <w:szCs w:val="21"/>
              </w:rPr>
              <w:t>因伪造、变造、故意毁灭有关账册、材料造成社会保险费迟延缴纳的</w:t>
            </w:r>
          </w:p>
          <w:p>
            <w:pPr>
              <w:numPr>
                <w:ilvl w:val="0"/>
                <w:numId w:val="10"/>
              </w:numPr>
              <w:rPr>
                <w:rFonts w:hint="eastAsia" w:ascii="仿宋_GB2312" w:hAnsi="仿宋_GB2312" w:eastAsia="仿宋_GB2312" w:cs="仿宋_GB2312"/>
                <w:sz w:val="18"/>
                <w:szCs w:val="18"/>
              </w:rPr>
            </w:pPr>
            <w:r>
              <w:rPr>
                <w:rFonts w:hint="eastAsia"/>
                <w:szCs w:val="21"/>
              </w:rPr>
              <w:t>因不设账册造成社会保</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险费迟延缴纳的</w:t>
            </w:r>
          </w:p>
          <w:p>
            <w:pPr>
              <w:rPr>
                <w:rFonts w:hint="eastAsia" w:ascii="仿宋_GB2312" w:hAnsi="仿宋_GB2312" w:eastAsia="仿宋_GB2312" w:cs="仿宋_GB2312"/>
                <w:sz w:val="18"/>
                <w:szCs w:val="18"/>
              </w:rPr>
            </w:pPr>
            <w:r>
              <w:rPr>
                <w:rFonts w:hint="eastAsia"/>
                <w:szCs w:val="21"/>
              </w:rPr>
              <w:t>3.因其他违法行为造成社会保险费迟延缴纳的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40</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缴费单位伪造、变造社会保险登记证的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《社会保险费征缴监督检查办法》第14条“对缴费单位有下列行为之一的，应当给与警告、并可处以5000元以下的罚款；</w:t>
            </w:r>
          </w:p>
          <w:p>
            <w:pPr>
              <w:rPr>
                <w:rFonts w:hint="eastAsia" w:ascii="仿宋_GB2312" w:hAnsi="仿宋_GB2312" w:eastAsia="仿宋_GB2312" w:cs="仿宋_GB2312"/>
                <w:sz w:val="18"/>
                <w:szCs w:val="18"/>
              </w:rPr>
            </w:pPr>
            <w:r>
              <w:rPr>
                <w:rFonts w:hint="eastAsia"/>
                <w:szCs w:val="21"/>
              </w:rPr>
              <w:t>1.伪造、变造社会保险登记证的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41</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szCs w:val="21"/>
              </w:rPr>
              <w:t>缴费单位未按规定从缴费个人工资中代扣代缴社会保险费的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社会保险费征缴监督检查办法》第14条“对缴费单位有下列行为之一的，应当给与警告、并可处以5000元以下的罚款；</w:t>
            </w:r>
          </w:p>
          <w:p>
            <w:pPr>
              <w:rPr>
                <w:rFonts w:hint="eastAsia" w:ascii="仿宋_GB2312" w:hAnsi="仿宋_GB2312" w:eastAsia="仿宋_GB2312" w:cs="仿宋_GB2312"/>
                <w:sz w:val="18"/>
                <w:szCs w:val="18"/>
              </w:rPr>
            </w:pPr>
            <w:r>
              <w:rPr>
                <w:rFonts w:hint="eastAsia"/>
                <w:szCs w:val="21"/>
              </w:rPr>
              <w:t>2.未按规定从缴费个人工资中代扣代缴社会保险费的</w:t>
            </w:r>
          </w:p>
        </w:tc>
        <w:tc>
          <w:tcPr>
            <w:tcW w:w="567" w:type="dxa"/>
            <w:vMerge w:val="continue"/>
            <w:tcBorders>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686" w:hRule="atLeast"/>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b/>
                <w:bCs/>
                <w:color w:val="auto"/>
                <w:sz w:val="18"/>
                <w:szCs w:val="18"/>
              </w:rPr>
            </w:pPr>
            <w:r>
              <w:rPr>
                <w:rFonts w:hint="eastAsia"/>
                <w:b/>
                <w:bCs/>
                <w:color w:val="auto"/>
                <w:szCs w:val="21"/>
              </w:rPr>
              <w:t>42</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b w:val="0"/>
                <w:bCs w:val="0"/>
                <w:color w:val="auto"/>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b w:val="0"/>
                <w:bCs w:val="0"/>
                <w:color w:val="auto"/>
                <w:sz w:val="18"/>
                <w:szCs w:val="18"/>
              </w:rPr>
            </w:pPr>
            <w:r>
              <w:rPr>
                <w:rFonts w:hint="eastAsia"/>
                <w:b w:val="0"/>
                <w:bCs w:val="0"/>
                <w:color w:val="auto"/>
                <w:szCs w:val="21"/>
              </w:rPr>
              <w:t>未按规定向职工公布本单位社会保险费缴纳情况的</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b w:val="0"/>
                <w:bCs w:val="0"/>
                <w:color w:val="auto"/>
                <w:szCs w:val="21"/>
              </w:rPr>
            </w:pPr>
            <w:r>
              <w:rPr>
                <w:rFonts w:hint="eastAsia"/>
                <w:b w:val="0"/>
                <w:bCs w:val="0"/>
                <w:color w:val="auto"/>
                <w:szCs w:val="21"/>
              </w:rPr>
              <w:t>社会保险费征缴监督检查办法》第14条“对缴费单位有下列行为之一的，应当给与警告、并可处以5000元以下的罚款；</w:t>
            </w:r>
          </w:p>
          <w:p>
            <w:pPr>
              <w:rPr>
                <w:rFonts w:hint="eastAsia" w:ascii="仿宋_GB2312" w:hAnsi="仿宋_GB2312" w:eastAsia="仿宋_GB2312" w:cs="仿宋_GB2312"/>
                <w:b w:val="0"/>
                <w:bCs w:val="0"/>
                <w:color w:val="auto"/>
                <w:sz w:val="18"/>
                <w:szCs w:val="18"/>
              </w:rPr>
            </w:pPr>
            <w:r>
              <w:rPr>
                <w:rFonts w:hint="eastAsia"/>
                <w:b w:val="0"/>
                <w:bCs w:val="0"/>
                <w:color w:val="auto"/>
                <w:szCs w:val="21"/>
              </w:rPr>
              <w:t>3.未按规定向职工公布本单位社会保险费缴纳情况的</w:t>
            </w:r>
          </w:p>
        </w:tc>
        <w:tc>
          <w:tcPr>
            <w:tcW w:w="567" w:type="dxa"/>
            <w:vMerge w:val="continue"/>
            <w:tcBorders>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b/>
                <w:bCs/>
                <w:color w:val="auto"/>
                <w:sz w:val="18"/>
                <w:szCs w:val="1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66" w:hRule="atLeast"/>
          <w:tblCellSpacing w:w="0" w:type="dxa"/>
        </w:trPr>
        <w:tc>
          <w:tcPr>
            <w:tcW w:w="510" w:type="dxa"/>
            <w:tcBorders>
              <w:top w:val="outset" w:color="000000" w:sz="6" w:space="0"/>
              <w:bottom w:val="nil"/>
              <w:right w:val="outset" w:color="000000" w:sz="6" w:space="0"/>
            </w:tcBorders>
            <w:noWrap w:val="0"/>
            <w:vAlign w:val="top"/>
          </w:tcPr>
          <w:p>
            <w:pPr>
              <w:rPr>
                <w:rFonts w:hint="eastAsia"/>
                <w:szCs w:val="21"/>
              </w:rPr>
            </w:pPr>
            <w:r>
              <w:rPr>
                <w:rFonts w:hint="eastAsia"/>
                <w:szCs w:val="21"/>
              </w:rPr>
              <w:t>三</w:t>
            </w:r>
          </w:p>
        </w:tc>
        <w:tc>
          <w:tcPr>
            <w:tcW w:w="781" w:type="dxa"/>
            <w:tcBorders>
              <w:top w:val="outset" w:color="000000" w:sz="6" w:space="0"/>
              <w:left w:val="outset" w:color="000000" w:sz="6" w:space="0"/>
              <w:bottom w:val="nil"/>
              <w:right w:val="outset" w:color="000000" w:sz="6" w:space="0"/>
            </w:tcBorders>
            <w:noWrap w:val="0"/>
            <w:vAlign w:val="top"/>
          </w:tcPr>
          <w:p>
            <w:pPr>
              <w:rPr>
                <w:rFonts w:hint="eastAsia" w:ascii="仿宋_GB2312" w:hAnsi="仿宋_GB2312" w:eastAsia="仿宋_GB2312" w:cs="仿宋_GB2312"/>
                <w:b/>
                <w:sz w:val="18"/>
                <w:szCs w:val="18"/>
              </w:rPr>
            </w:pPr>
            <w:r>
              <w:rPr>
                <w:rFonts w:hint="eastAsia"/>
                <w:b/>
                <w:szCs w:val="21"/>
              </w:rPr>
              <w:t>行政强制</w:t>
            </w:r>
          </w:p>
        </w:tc>
        <w:tc>
          <w:tcPr>
            <w:tcW w:w="1679" w:type="dxa"/>
            <w:tcBorders>
              <w:top w:val="outset" w:color="000000" w:sz="6" w:space="0"/>
              <w:left w:val="outset" w:color="000000" w:sz="6" w:space="0"/>
              <w:bottom w:val="nil"/>
              <w:right w:val="outset" w:color="000000" w:sz="6" w:space="0"/>
            </w:tcBorders>
            <w:noWrap w:val="0"/>
            <w:vAlign w:val="top"/>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b/>
                <w:bCs/>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color w:val="0000FF"/>
                <w:szCs w:val="21"/>
              </w:rPr>
            </w:pP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color w:val="0000FF"/>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四</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b/>
                <w:szCs w:val="21"/>
              </w:rPr>
              <w:t>行政征收</w:t>
            </w:r>
            <w:r>
              <w:rPr>
                <w:rFonts w:hint="eastAsia"/>
                <w:szCs w:val="21"/>
              </w:rPr>
              <w:t>（2项）</w:t>
            </w: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c>
          <w:tcPr>
            <w:tcW w:w="567" w:type="dxa"/>
            <w:tcBorders>
              <w:top w:val="outset" w:color="000000" w:sz="6" w:space="0"/>
              <w:left w:val="outset" w:color="000000" w:sz="6" w:space="0"/>
              <w:right w:val="outset" w:color="000000" w:sz="6" w:space="0"/>
            </w:tcBorders>
            <w:noWrap w:val="0"/>
            <w:vAlign w:val="top"/>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556" w:hRule="atLeast"/>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1</w:t>
            </w:r>
          </w:p>
        </w:tc>
        <w:tc>
          <w:tcPr>
            <w:tcW w:w="781" w:type="dxa"/>
            <w:tcBorders>
              <w:top w:val="outset" w:color="000000" w:sz="6" w:space="0"/>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right w:val="outset" w:color="000000" w:sz="6" w:space="0"/>
            </w:tcBorders>
            <w:noWrap w:val="0"/>
            <w:vAlign w:val="top"/>
          </w:tcPr>
          <w:p>
            <w:pPr>
              <w:rPr>
                <w:rFonts w:hint="eastAsia"/>
                <w:szCs w:val="21"/>
              </w:rPr>
            </w:pPr>
            <w:r>
              <w:rPr>
                <w:rFonts w:hint="eastAsia"/>
                <w:szCs w:val="21"/>
              </w:rPr>
              <w:t>征收养老、失业、工伤、生育保险等社会保险费</w:t>
            </w:r>
          </w:p>
        </w:tc>
        <w:tc>
          <w:tcPr>
            <w:tcW w:w="4558" w:type="dxa"/>
            <w:tcBorders>
              <w:top w:val="outset" w:color="000000" w:sz="6" w:space="0"/>
              <w:left w:val="outset" w:color="000000" w:sz="6" w:space="0"/>
              <w:right w:val="outset" w:color="000000" w:sz="6" w:space="0"/>
            </w:tcBorders>
            <w:noWrap w:val="0"/>
            <w:vAlign w:val="top"/>
          </w:tcPr>
          <w:p>
            <w:pPr>
              <w:rPr>
                <w:rFonts w:hint="eastAsia"/>
                <w:szCs w:val="21"/>
              </w:rPr>
            </w:pPr>
            <w:r>
              <w:rPr>
                <w:rFonts w:hint="eastAsia"/>
                <w:szCs w:val="21"/>
              </w:rPr>
              <w:t>《社会保险费征缴暂行条例》第6条；“社会保险费实行三项社会保险费集中、统一征收。社会保险费的征收机构由省、自治区、直辖市人民政府规定，可以由税务机关征收，也可以由劳动保障行政部门按照国务院规定设立的社会保险经办机构征收”</w:t>
            </w:r>
          </w:p>
          <w:p>
            <w:pPr>
              <w:rPr>
                <w:rFonts w:hint="eastAsia"/>
                <w:szCs w:val="21"/>
              </w:rPr>
            </w:pPr>
            <w:r>
              <w:rPr>
                <w:rFonts w:hint="eastAsia"/>
                <w:szCs w:val="21"/>
              </w:rPr>
              <w:t>《工伤保险条例》第3条“工伤保险费的征缴按照《社会保险费征缴暂行条</w:t>
            </w:r>
          </w:p>
          <w:p>
            <w:pPr>
              <w:rPr>
                <w:rFonts w:hint="eastAsia"/>
                <w:szCs w:val="21"/>
              </w:rPr>
            </w:pPr>
            <w:r>
              <w:rPr>
                <w:rFonts w:hint="eastAsia"/>
                <w:szCs w:val="21"/>
              </w:rPr>
              <w:t>例》关于基本养老保险费、基本医疗保险费、失业保险费的征缴规定执行”</w:t>
            </w:r>
          </w:p>
          <w:p>
            <w:pPr>
              <w:rPr>
                <w:rFonts w:hint="eastAsia"/>
                <w:szCs w:val="21"/>
              </w:rPr>
            </w:pPr>
            <w:r>
              <w:rPr>
                <w:rFonts w:hint="eastAsia"/>
                <w:szCs w:val="21"/>
              </w:rPr>
              <w:t>《国务院关于建立城镇职工基本医疗保险制度的规定》第4条“社会保险经办机构负责基本医疗保险基金的筹集、管理和支付”</w:t>
            </w:r>
          </w:p>
          <w:p>
            <w:pPr>
              <w:rPr>
                <w:rFonts w:hint="eastAsia"/>
                <w:szCs w:val="21"/>
              </w:rPr>
            </w:pPr>
            <w:r>
              <w:rPr>
                <w:rFonts w:hint="eastAsia"/>
                <w:szCs w:val="21"/>
              </w:rPr>
              <w:t>《企业职工生育保险试行办法》第8条“生育保险基金由劳动部门所属的社会保险经办机构负责收缴、支付和管理”</w:t>
            </w:r>
          </w:p>
        </w:tc>
        <w:tc>
          <w:tcPr>
            <w:tcW w:w="567" w:type="dxa"/>
            <w:vMerge w:val="restart"/>
            <w:tcBorders>
              <w:left w:val="outset" w:color="000000" w:sz="6" w:space="0"/>
              <w:right w:val="outset" w:color="000000" w:sz="6" w:space="0"/>
            </w:tcBorders>
            <w:noWrap w:val="0"/>
            <w:vAlign w:val="top"/>
          </w:tcPr>
          <w:p>
            <w:pPr>
              <w:rPr>
                <w:rFonts w:hint="eastAsia"/>
                <w:szCs w:val="21"/>
              </w:rPr>
            </w:pPr>
          </w:p>
          <w:p>
            <w:pPr>
              <w:rPr>
                <w:rFonts w:hint="eastAsia"/>
                <w:kern w:val="2"/>
                <w:sz w:val="21"/>
                <w:szCs w:val="21"/>
                <w:lang w:val="en-US" w:eastAsia="zh-CN" w:bidi="ar-SA"/>
              </w:rPr>
            </w:pPr>
          </w:p>
          <w:p>
            <w:pPr>
              <w:rPr>
                <w:rFonts w:hint="eastAsia"/>
                <w:kern w:val="2"/>
                <w:sz w:val="21"/>
                <w:szCs w:val="21"/>
                <w:lang w:val="en-US" w:eastAsia="zh-CN" w:bidi="ar-SA"/>
              </w:rPr>
            </w:pPr>
          </w:p>
          <w:p>
            <w:pPr>
              <w:rPr>
                <w:rFonts w:hint="eastAsia"/>
                <w:kern w:val="2"/>
                <w:sz w:val="21"/>
                <w:szCs w:val="21"/>
                <w:lang w:val="en-US" w:eastAsia="zh-CN" w:bidi="ar-SA"/>
              </w:rPr>
            </w:pPr>
          </w:p>
          <w:p>
            <w:pPr>
              <w:ind w:firstLine="214" w:firstLineChars="0"/>
              <w:jc w:val="both"/>
              <w:rPr>
                <w:rFonts w:hint="eastAsia"/>
                <w:kern w:val="2"/>
                <w:sz w:val="21"/>
                <w:szCs w:val="21"/>
                <w:lang w:val="en-US" w:eastAsia="zh-CN" w:bidi="ar-SA"/>
              </w:rPr>
            </w:pPr>
            <w:r>
              <w:rPr>
                <w:rFonts w:hint="eastAsia"/>
                <w:kern w:val="2"/>
                <w:sz w:val="21"/>
                <w:szCs w:val="21"/>
                <w:lang w:val="en-US" w:eastAsia="zh-CN" w:bidi="ar-SA"/>
              </w:rPr>
              <w:t>各</w:t>
            </w:r>
          </w:p>
          <w:p>
            <w:pPr>
              <w:ind w:firstLine="214" w:firstLineChars="0"/>
              <w:jc w:val="both"/>
              <w:rPr>
                <w:rFonts w:hint="eastAsia"/>
                <w:kern w:val="2"/>
                <w:sz w:val="21"/>
                <w:szCs w:val="21"/>
                <w:lang w:val="en-US" w:eastAsia="zh-CN" w:bidi="ar-SA"/>
              </w:rPr>
            </w:pPr>
            <w:r>
              <w:rPr>
                <w:rFonts w:hint="eastAsia"/>
                <w:kern w:val="2"/>
                <w:sz w:val="21"/>
                <w:szCs w:val="21"/>
                <w:lang w:val="en-US" w:eastAsia="zh-CN" w:bidi="ar-SA"/>
              </w:rPr>
              <w:t>社</w:t>
            </w:r>
          </w:p>
          <w:p>
            <w:pPr>
              <w:ind w:firstLine="214" w:firstLineChars="0"/>
              <w:jc w:val="both"/>
              <w:rPr>
                <w:rFonts w:hint="eastAsia"/>
                <w:kern w:val="2"/>
                <w:sz w:val="21"/>
                <w:szCs w:val="21"/>
                <w:lang w:val="en-US" w:eastAsia="zh-CN" w:bidi="ar-SA"/>
              </w:rPr>
            </w:pPr>
            <w:r>
              <w:rPr>
                <w:rFonts w:hint="eastAsia"/>
                <w:kern w:val="2"/>
                <w:sz w:val="21"/>
                <w:szCs w:val="21"/>
                <w:lang w:val="en-US" w:eastAsia="zh-CN" w:bidi="ar-SA"/>
              </w:rPr>
              <w:t>保</w:t>
            </w:r>
          </w:p>
          <w:p>
            <w:pPr>
              <w:ind w:firstLine="214" w:firstLineChars="0"/>
              <w:jc w:val="both"/>
              <w:rPr>
                <w:rFonts w:hint="eastAsia"/>
                <w:kern w:val="2"/>
                <w:sz w:val="21"/>
                <w:szCs w:val="21"/>
                <w:lang w:val="en-US" w:eastAsia="zh-CN" w:bidi="ar-SA"/>
              </w:rPr>
            </w:pPr>
            <w:r>
              <w:rPr>
                <w:rFonts w:hint="eastAsia"/>
                <w:kern w:val="2"/>
                <w:sz w:val="21"/>
                <w:szCs w:val="21"/>
                <w:lang w:val="en-US" w:eastAsia="zh-CN" w:bidi="ar-SA"/>
              </w:rPr>
              <w:t>经</w:t>
            </w:r>
          </w:p>
          <w:p>
            <w:pPr>
              <w:ind w:firstLine="214" w:firstLineChars="0"/>
              <w:jc w:val="both"/>
              <w:rPr>
                <w:rFonts w:hint="eastAsia"/>
                <w:kern w:val="2"/>
                <w:sz w:val="21"/>
                <w:szCs w:val="21"/>
                <w:lang w:val="en-US" w:eastAsia="zh-CN" w:bidi="ar-SA"/>
              </w:rPr>
            </w:pPr>
            <w:r>
              <w:rPr>
                <w:rFonts w:hint="eastAsia"/>
                <w:kern w:val="2"/>
                <w:sz w:val="21"/>
                <w:szCs w:val="21"/>
                <w:lang w:val="en-US" w:eastAsia="zh-CN" w:bidi="ar-SA"/>
              </w:rPr>
              <w:t>办</w:t>
            </w:r>
          </w:p>
          <w:p>
            <w:pPr>
              <w:ind w:firstLine="214" w:firstLineChars="0"/>
              <w:jc w:val="both"/>
              <w:rPr>
                <w:rFonts w:hint="eastAsia"/>
                <w:kern w:val="2"/>
                <w:sz w:val="21"/>
                <w:szCs w:val="21"/>
                <w:lang w:val="en-US" w:eastAsia="zh-CN" w:bidi="ar-SA"/>
              </w:rPr>
            </w:pPr>
            <w:r>
              <w:rPr>
                <w:rFonts w:hint="eastAsia"/>
                <w:kern w:val="2"/>
                <w:sz w:val="21"/>
                <w:szCs w:val="21"/>
                <w:lang w:val="en-US" w:eastAsia="zh-CN" w:bidi="ar-SA"/>
              </w:rPr>
              <w:t>单</w:t>
            </w:r>
          </w:p>
          <w:p>
            <w:pPr>
              <w:ind w:firstLine="214" w:firstLineChars="0"/>
              <w:jc w:val="both"/>
              <w:rPr>
                <w:rFonts w:hint="eastAsia"/>
                <w:lang w:val="en-US" w:eastAsia="zh-CN"/>
              </w:rPr>
            </w:pPr>
            <w:r>
              <w:rPr>
                <w:rFonts w:hint="eastAsia"/>
                <w:kern w:val="2"/>
                <w:sz w:val="21"/>
                <w:szCs w:val="21"/>
                <w:lang w:val="en-US" w:eastAsia="zh-CN" w:bidi="ar-SA"/>
              </w:rPr>
              <w:t>位</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2</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收取滞纳金</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社会保险费征缴暂行条例》第13条“缴费单位未按规定缴纳和代扣代缴社会保险费的，由劳动保险行政部门或者税务机关责令限期缴纳；逾期仍不缴纳的，除补缴欠缴数额外，从欠缴之日起，按日加收千分之二的滞纳金。滞纳金并入社会保险基金”</w:t>
            </w:r>
          </w:p>
        </w:tc>
        <w:tc>
          <w:tcPr>
            <w:tcW w:w="567" w:type="dxa"/>
            <w:vMerge w:val="continue"/>
            <w:tcBorders>
              <w:left w:val="outset" w:color="000000" w:sz="6" w:space="0"/>
              <w:bottom w:val="outset" w:color="000000" w:sz="6" w:space="0"/>
              <w:right w:val="outset" w:color="000000" w:sz="6" w:space="0"/>
            </w:tcBorders>
            <w:noWrap w:val="0"/>
            <w:vAlign w:val="top"/>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五</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r>
              <w:rPr>
                <w:rFonts w:hint="eastAsia"/>
                <w:b/>
                <w:szCs w:val="21"/>
              </w:rPr>
              <w:t>行政给付</w:t>
            </w:r>
            <w:r>
              <w:rPr>
                <w:rFonts w:hint="eastAsia"/>
                <w:szCs w:val="21"/>
              </w:rPr>
              <w:t>（1 项）</w:t>
            </w: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1</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给付企业离退休职工基本养老金、职工死亡待遇、供养直系亲属生活补助费、遗嘱津贴等社会保险待遇</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《劳动法》第70条：“国家发展社会保险事业，建立社会保险制度，设立社会保险基金，使劳动者在年老、患病、工伤、失业、生育等情况下获得帮助和补偿。”</w:t>
            </w: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六</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宋体" w:cs="仿宋_GB2312"/>
                <w:b/>
                <w:sz w:val="18"/>
                <w:szCs w:val="18"/>
                <w:lang w:val="en-US" w:eastAsia="zh-CN"/>
              </w:rPr>
            </w:pPr>
            <w:r>
              <w:rPr>
                <w:rFonts w:hint="eastAsia"/>
                <w:b/>
                <w:szCs w:val="21"/>
              </w:rPr>
              <w:t>行政</w:t>
            </w:r>
            <w:r>
              <w:rPr>
                <w:rFonts w:hint="eastAsia"/>
                <w:b/>
                <w:szCs w:val="21"/>
                <w:lang w:eastAsia="zh-CN"/>
              </w:rPr>
              <w:t>确认</w:t>
            </w:r>
            <w:r>
              <w:rPr>
                <w:rFonts w:hint="eastAsia"/>
                <w:b/>
                <w:szCs w:val="21"/>
                <w:lang w:val="en-US" w:eastAsia="zh-CN"/>
              </w:rPr>
              <w:t>(7项）</w:t>
            </w: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1</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确认统筹地区的缴费单位失业保险登记地</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《社会保险费征缴暂行条例》第6条“社会保险登记实行属地管理。跨地区的缴费单位，其社会保险登记地由相关地区协商确定。意见不一致时，由上一级社会保险经办机构确定登记地”</w:t>
            </w: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872" w:hRule="atLeast"/>
          <w:tblCellSpacing w:w="0" w:type="dxa"/>
        </w:trPr>
        <w:tc>
          <w:tcPr>
            <w:tcW w:w="510" w:type="dxa"/>
            <w:tcBorders>
              <w:top w:val="outset" w:color="000000" w:sz="6" w:space="0"/>
              <w:right w:val="outset" w:color="000000" w:sz="6" w:space="0"/>
            </w:tcBorders>
            <w:noWrap w:val="0"/>
            <w:vAlign w:val="top"/>
          </w:tcPr>
          <w:p>
            <w:pPr>
              <w:rPr>
                <w:rFonts w:hint="eastAsia"/>
                <w:szCs w:val="21"/>
              </w:rPr>
            </w:pPr>
            <w:r>
              <w:rPr>
                <w:rFonts w:hint="eastAsia"/>
                <w:szCs w:val="21"/>
              </w:rPr>
              <w:t>2</w:t>
            </w:r>
          </w:p>
        </w:tc>
        <w:tc>
          <w:tcPr>
            <w:tcW w:w="781" w:type="dxa"/>
            <w:tcBorders>
              <w:top w:val="outset" w:color="000000" w:sz="6" w:space="0"/>
              <w:left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right w:val="outset" w:color="000000" w:sz="6" w:space="0"/>
            </w:tcBorders>
            <w:noWrap w:val="0"/>
            <w:vAlign w:val="top"/>
          </w:tcPr>
          <w:p>
            <w:pPr>
              <w:rPr>
                <w:rFonts w:hint="eastAsia"/>
                <w:szCs w:val="21"/>
              </w:rPr>
            </w:pPr>
            <w:r>
              <w:rPr>
                <w:rFonts w:hint="eastAsia"/>
                <w:szCs w:val="21"/>
              </w:rPr>
              <w:t>工伤保险费费率确定</w:t>
            </w:r>
          </w:p>
        </w:tc>
        <w:tc>
          <w:tcPr>
            <w:tcW w:w="4558" w:type="dxa"/>
            <w:tcBorders>
              <w:top w:val="outset" w:color="000000" w:sz="6" w:space="0"/>
              <w:left w:val="outset" w:color="000000" w:sz="6" w:space="0"/>
              <w:right w:val="outset" w:color="000000" w:sz="6" w:space="0"/>
            </w:tcBorders>
            <w:noWrap w:val="0"/>
            <w:vAlign w:val="top"/>
          </w:tcPr>
          <w:p>
            <w:pPr>
              <w:rPr>
                <w:rFonts w:hint="eastAsia"/>
                <w:szCs w:val="21"/>
              </w:rPr>
            </w:pPr>
            <w:r>
              <w:rPr>
                <w:rFonts w:hint="eastAsia"/>
                <w:szCs w:val="21"/>
              </w:rPr>
              <w:t>《工伤保险条例》第八条第一款；“工伤保险费根据以支顶收、收支平衡的原则，确定费率。”</w:t>
            </w:r>
          </w:p>
          <w:p>
            <w:pPr>
              <w:rPr>
                <w:rFonts w:hint="eastAsia"/>
                <w:szCs w:val="21"/>
              </w:rPr>
            </w:pPr>
            <w:r>
              <w:rPr>
                <w:rFonts w:hint="eastAsia"/>
                <w:szCs w:val="21"/>
              </w:rPr>
              <w:t>第三款“统筹地区经办机构根据用人单位工伤保险费使用、工伤发生率等情况，适用所属行业内相应的费</w:t>
            </w:r>
          </w:p>
          <w:p>
            <w:pPr>
              <w:rPr>
                <w:rFonts w:hint="eastAsia"/>
                <w:szCs w:val="21"/>
              </w:rPr>
            </w:pPr>
            <w:r>
              <w:rPr>
                <w:rFonts w:hint="eastAsia"/>
                <w:szCs w:val="21"/>
              </w:rPr>
              <w:t>率档次确定单位缴费费率”</w:t>
            </w: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3</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确认领取抚恤金人员停止享受抚恤金待遇</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《因公死亡职工供养亲属范围规定》第4条：“一、年满18周岁且未完全丧失劳动能力的；二、就业或参军的；三、工亡职工配偶再婚的；四、被他人或组织收养的；五、死亡的。”</w:t>
            </w:r>
          </w:p>
          <w:p>
            <w:pPr>
              <w:rPr>
                <w:rFonts w:hint="eastAsia"/>
                <w:szCs w:val="21"/>
              </w:rPr>
            </w:pPr>
            <w:r>
              <w:rPr>
                <w:rFonts w:hint="eastAsia"/>
                <w:szCs w:val="21"/>
              </w:rPr>
              <w:t>第5条；“领取抚恤金的人员，在被判刑收监执行期间，停止享受抚恤金待遇。刑满释放仍符合领取抚恤金资格的，按规定的标准享受抚恤金。”</w:t>
            </w: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4</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确认因工死亡职工供养亲属享受抚恤金待遇的资格</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《因公死亡职工供养亲属范围规定》第6条第一款：“因工死亡职工供养亲属享受抚恤金待遇的资格，由统筹地区社会保险经办机构核定。”</w:t>
            </w: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5</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确认工伤职工停止享受相关的工伤保险待遇情形</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《河南省实施 工伤保险条例 暂行办法》第38条；“1、违反工伤就医管理规定的；二、违反工伤辅助器具管理规定的；三、拒不接受劳动能力鉴定的；四、拒不提供生存证明等有关材料的；五、被判刑正在收监执行的；六、其他丧失享受待遇条件的”</w:t>
            </w: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6</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确认缴费单位是否按规定申报本单位缴费人数、缴费基数、应缴纳的社会保险费数额，确认缴费单位是否依法足额缴纳社会保险费</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社会保险费申报缴纳管理暂行办法》第19条；“社会保险经办机构应当定期稽核缴费单位的职工人数、工资基数和财务状况，确认缴费单位是否依法足额缴纳社会保险费。被稽核的单位应当提供与缴纳社会保险费有关的用人情况、工资表、财务报表等资料，如实反映情况，不得拒绝稽核，不得谎报、瞒报”</w:t>
            </w: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7</w:t>
            </w: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离退休人员待遇核定</w:t>
            </w: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关于建立统一的企业职工养老保险制度的决定》；“五、本决定实施后参加工作的职工、个人缴费年限累计满15年的，退休后按月发给基本养老金。基本养老金由基础养老金和个人账户养老金组成。退休时的基础养老金月标准为省、自治区、直辖市或地 市上年度职工月平均工资的20%，个人账户养老金月标准为本人账户储存额除以120.个人缴费年限累计不满15年的，退休后不享受基础养老金待遇，其个人账户储存额一次支付给本人；本决定实施前已经离退休的人员，仍按国家原来的规定发给养</w:t>
            </w: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top"/>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top"/>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r>
              <w:rPr>
                <w:rFonts w:hint="eastAsia"/>
                <w:szCs w:val="21"/>
              </w:rPr>
              <w:t>老金，同时执行养老金调整办法。各地区和有关部门要按照国家规定进一步完善基本养老金正常调整机制，认真抓好落实；本决定实施前参加工作，实施后退休且个人缴费和视同缴费年限累计满15年的人员，按照新办法平衡衔接、待遇水平基本平衡等原则，在发给基础养老金和个人账户养老金的基础上再确定过渡性养老金，过渡性养老金从养老保险基金中解决。具体办法，由劳动部会同有关部门制定并指导实施。”</w:t>
            </w:r>
          </w:p>
        </w:tc>
        <w:tc>
          <w:tcPr>
            <w:tcW w:w="567" w:type="dxa"/>
            <w:tcBorders>
              <w:top w:val="outset" w:color="000000" w:sz="6" w:space="0"/>
              <w:left w:val="outset" w:color="000000" w:sz="6" w:space="0"/>
              <w:bottom w:val="outset" w:color="000000" w:sz="6" w:space="0"/>
              <w:right w:val="outset" w:color="000000" w:sz="6" w:space="0"/>
            </w:tcBorders>
            <w:noWrap w:val="0"/>
            <w:vAlign w:val="top"/>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eastAsia="宋体"/>
                <w:szCs w:val="21"/>
                <w:lang w:eastAsia="zh-CN"/>
              </w:rPr>
            </w:pPr>
            <w:r>
              <w:rPr>
                <w:rFonts w:hint="eastAsia"/>
                <w:szCs w:val="21"/>
                <w:lang w:eastAsia="zh-CN"/>
              </w:rPr>
              <w:t>七</w:t>
            </w: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b/>
                <w:sz w:val="18"/>
                <w:szCs w:val="18"/>
                <w:lang w:eastAsia="zh-CN"/>
              </w:rPr>
            </w:pPr>
            <w:r>
              <w:rPr>
                <w:rFonts w:hint="eastAsia" w:ascii="仿宋_GB2312" w:hAnsi="仿宋_GB2312" w:eastAsia="仿宋_GB2312" w:cs="仿宋_GB2312"/>
                <w:b/>
                <w:sz w:val="18"/>
                <w:szCs w:val="18"/>
              </w:rPr>
              <w:t>行政</w:t>
            </w:r>
            <w:r>
              <w:rPr>
                <w:rFonts w:hint="eastAsia" w:ascii="仿宋_GB2312" w:hAnsi="仿宋_GB2312" w:eastAsia="仿宋_GB2312" w:cs="仿宋_GB2312"/>
                <w:b/>
                <w:sz w:val="18"/>
                <w:szCs w:val="18"/>
                <w:lang w:eastAsia="zh-CN"/>
              </w:rPr>
              <w:t>监督检查</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b/>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eastAsia="宋体"/>
                <w:szCs w:val="21"/>
                <w:lang w:eastAsia="zh-CN"/>
              </w:rPr>
            </w:pPr>
            <w:r>
              <w:rPr>
                <w:rFonts w:hint="eastAsia"/>
                <w:szCs w:val="21"/>
                <w:lang w:eastAsia="zh-CN"/>
              </w:rPr>
              <w:t>八</w:t>
            </w: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b/>
                <w:sz w:val="18"/>
                <w:szCs w:val="18"/>
                <w:lang w:eastAsia="zh-CN"/>
              </w:rPr>
            </w:pPr>
            <w:r>
              <w:rPr>
                <w:rFonts w:hint="eastAsia" w:ascii="仿宋_GB2312" w:hAnsi="仿宋_GB2312" w:eastAsia="仿宋_GB2312" w:cs="仿宋_GB2312"/>
                <w:b/>
                <w:sz w:val="18"/>
                <w:szCs w:val="18"/>
              </w:rPr>
              <w:t>其他</w:t>
            </w:r>
            <w:r>
              <w:rPr>
                <w:rFonts w:hint="eastAsia" w:ascii="仿宋_GB2312" w:hAnsi="仿宋_GB2312" w:eastAsia="仿宋_GB2312" w:cs="仿宋_GB2312"/>
                <w:b/>
                <w:sz w:val="18"/>
                <w:szCs w:val="18"/>
                <w:lang w:eastAsia="zh-CN"/>
              </w:rPr>
              <w:t>职权</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（一）年检</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（二）备案</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（三）财政专项资金分配</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（四）其他审批权</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（五）审核转报</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（六）行政调解</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（七）行政监督检查</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bottom w:val="outset" w:color="000000" w:sz="6" w:space="0"/>
              <w:right w:val="outset" w:color="000000" w:sz="6" w:space="0"/>
            </w:tcBorders>
            <w:noWrap w:val="0"/>
            <w:vAlign w:val="center"/>
          </w:tcPr>
          <w:p>
            <w:pPr>
              <w:rPr>
                <w:rFonts w:hint="eastAsia"/>
                <w:szCs w:val="21"/>
              </w:rPr>
            </w:pPr>
          </w:p>
        </w:tc>
        <w:tc>
          <w:tcPr>
            <w:tcW w:w="781"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1679"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c>
          <w:tcPr>
            <w:tcW w:w="567"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szCs w:val="21"/>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trPr>
        <w:tc>
          <w:tcPr>
            <w:tcW w:w="510" w:type="dxa"/>
            <w:tcBorders>
              <w:top w:val="outset" w:color="000000" w:sz="6" w:space="0"/>
              <w:right w:val="outset" w:color="000000" w:sz="6" w:space="0"/>
            </w:tcBorders>
            <w:noWrap w:val="0"/>
            <w:vAlign w:val="center"/>
          </w:tcPr>
          <w:p>
            <w:pPr>
              <w:rPr>
                <w:rFonts w:hint="eastAsia"/>
                <w:szCs w:val="21"/>
              </w:rPr>
            </w:pPr>
          </w:p>
        </w:tc>
        <w:tc>
          <w:tcPr>
            <w:tcW w:w="781" w:type="dxa"/>
            <w:tcBorders>
              <w:top w:val="outset" w:color="000000" w:sz="6" w:space="0"/>
              <w:left w:val="outset" w:color="000000" w:sz="6" w:space="0"/>
              <w:right w:val="outset" w:color="000000" w:sz="6" w:space="0"/>
            </w:tcBorders>
            <w:noWrap w:val="0"/>
            <w:vAlign w:val="center"/>
          </w:tcPr>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（八）其他</w:t>
            </w:r>
          </w:p>
        </w:tc>
        <w:tc>
          <w:tcPr>
            <w:tcW w:w="1679" w:type="dxa"/>
            <w:tcBorders>
              <w:top w:val="outset" w:color="000000" w:sz="6" w:space="0"/>
              <w:left w:val="outset" w:color="000000" w:sz="6" w:space="0"/>
              <w:right w:val="outset" w:color="000000" w:sz="6" w:space="0"/>
            </w:tcBorders>
            <w:noWrap w:val="0"/>
            <w:vAlign w:val="center"/>
          </w:tcPr>
          <w:p>
            <w:pPr>
              <w:rPr>
                <w:rFonts w:hint="eastAsia"/>
                <w:szCs w:val="21"/>
              </w:rPr>
            </w:pPr>
          </w:p>
        </w:tc>
        <w:tc>
          <w:tcPr>
            <w:tcW w:w="4558" w:type="dxa"/>
            <w:tcBorders>
              <w:top w:val="outset" w:color="000000" w:sz="6" w:space="0"/>
              <w:left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c>
          <w:tcPr>
            <w:tcW w:w="567" w:type="dxa"/>
            <w:tcBorders>
              <w:top w:val="outset" w:color="000000" w:sz="6" w:space="0"/>
              <w:left w:val="outset" w:color="000000" w:sz="6" w:space="0"/>
              <w:right w:val="outset" w:color="000000" w:sz="6" w:space="0"/>
            </w:tcBorders>
            <w:noWrap w:val="0"/>
            <w:vAlign w:val="center"/>
          </w:tcPr>
          <w:p>
            <w:pPr>
              <w:rPr>
                <w:rFonts w:hint="eastAsia"/>
                <w:szCs w:val="21"/>
              </w:rPr>
            </w:pPr>
            <w:r>
              <w:rPr>
                <w:rFonts w:hint="eastAsia" w:ascii="仿宋_GB2312" w:hAnsi="仿宋_GB2312" w:eastAsia="仿宋_GB2312" w:cs="仿宋_GB2312"/>
                <w:sz w:val="18"/>
                <w:szCs w:val="18"/>
              </w:rPr>
              <w:t>　</w:t>
            </w:r>
          </w:p>
        </w:tc>
      </w:tr>
    </w:tbl>
    <w:p>
      <w:pP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br w:type="textWrapping"/>
      </w:r>
    </w:p>
    <w:p>
      <w:pPr>
        <w:rPr>
          <w:rFonts w:hint="eastAsia"/>
        </w:rPr>
      </w:pPr>
    </w:p>
    <w:p>
      <w:pPr>
        <w:rPr>
          <w:rFonts w:hint="eastAsia"/>
        </w:rPr>
      </w:pPr>
    </w:p>
    <w:p>
      <w:pPr>
        <w:widowControl w:val="0"/>
        <w:numPr>
          <w:ilvl w:val="0"/>
          <w:numId w:val="0"/>
        </w:numPr>
        <w:jc w:val="center"/>
        <w:rPr>
          <w:rFonts w:hint="default" w:ascii="方正小标宋_GBK" w:hAnsi="方正小标宋_GBK" w:eastAsia="方正小标宋_GBK" w:cs="方正小标宋_GBK"/>
          <w:sz w:val="36"/>
          <w:szCs w:val="36"/>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E8606"/>
    <w:multiLevelType w:val="singleLevel"/>
    <w:tmpl w:val="53FE8606"/>
    <w:lvl w:ilvl="0" w:tentative="0">
      <w:start w:val="2"/>
      <w:numFmt w:val="decimal"/>
      <w:suff w:val="nothing"/>
      <w:lvlText w:val="%1."/>
      <w:lvlJc w:val="left"/>
    </w:lvl>
  </w:abstractNum>
  <w:abstractNum w:abstractNumId="1">
    <w:nsid w:val="53FE8A7F"/>
    <w:multiLevelType w:val="singleLevel"/>
    <w:tmpl w:val="53FE8A7F"/>
    <w:lvl w:ilvl="0" w:tentative="0">
      <w:start w:val="1"/>
      <w:numFmt w:val="decimal"/>
      <w:suff w:val="nothing"/>
      <w:lvlText w:val="%1."/>
      <w:lvlJc w:val="left"/>
    </w:lvl>
  </w:abstractNum>
  <w:abstractNum w:abstractNumId="2">
    <w:nsid w:val="53FE8B1F"/>
    <w:multiLevelType w:val="singleLevel"/>
    <w:tmpl w:val="53FE8B1F"/>
    <w:lvl w:ilvl="0" w:tentative="0">
      <w:start w:val="2"/>
      <w:numFmt w:val="decimal"/>
      <w:suff w:val="nothing"/>
      <w:lvlText w:val="%1."/>
      <w:lvlJc w:val="left"/>
    </w:lvl>
  </w:abstractNum>
  <w:abstractNum w:abstractNumId="3">
    <w:nsid w:val="53FE9A2D"/>
    <w:multiLevelType w:val="singleLevel"/>
    <w:tmpl w:val="53FE9A2D"/>
    <w:lvl w:ilvl="0" w:tentative="0">
      <w:start w:val="1"/>
      <w:numFmt w:val="decimal"/>
      <w:suff w:val="nothing"/>
      <w:lvlText w:val="%1."/>
      <w:lvlJc w:val="left"/>
    </w:lvl>
  </w:abstractNum>
  <w:abstractNum w:abstractNumId="4">
    <w:nsid w:val="53FE9BF6"/>
    <w:multiLevelType w:val="singleLevel"/>
    <w:tmpl w:val="53FE9BF6"/>
    <w:lvl w:ilvl="0" w:tentative="0">
      <w:start w:val="4"/>
      <w:numFmt w:val="decimal"/>
      <w:suff w:val="nothing"/>
      <w:lvlText w:val="%1."/>
      <w:lvlJc w:val="left"/>
    </w:lvl>
  </w:abstractNum>
  <w:abstractNum w:abstractNumId="5">
    <w:nsid w:val="53FE9C78"/>
    <w:multiLevelType w:val="singleLevel"/>
    <w:tmpl w:val="53FE9C78"/>
    <w:lvl w:ilvl="0" w:tentative="0">
      <w:start w:val="5"/>
      <w:numFmt w:val="decimal"/>
      <w:suff w:val="nothing"/>
      <w:lvlText w:val="%1."/>
      <w:lvlJc w:val="left"/>
    </w:lvl>
  </w:abstractNum>
  <w:abstractNum w:abstractNumId="6">
    <w:nsid w:val="53FE9CEC"/>
    <w:multiLevelType w:val="singleLevel"/>
    <w:tmpl w:val="53FE9CEC"/>
    <w:lvl w:ilvl="0" w:tentative="0">
      <w:start w:val="6"/>
      <w:numFmt w:val="decimal"/>
      <w:suff w:val="nothing"/>
      <w:lvlText w:val="%1."/>
      <w:lvlJc w:val="left"/>
    </w:lvl>
  </w:abstractNum>
  <w:abstractNum w:abstractNumId="7">
    <w:nsid w:val="53FE9D62"/>
    <w:multiLevelType w:val="singleLevel"/>
    <w:tmpl w:val="53FE9D62"/>
    <w:lvl w:ilvl="0" w:tentative="0">
      <w:start w:val="7"/>
      <w:numFmt w:val="decimal"/>
      <w:suff w:val="nothing"/>
      <w:lvlText w:val="%1."/>
      <w:lvlJc w:val="left"/>
    </w:lvl>
  </w:abstractNum>
  <w:abstractNum w:abstractNumId="8">
    <w:nsid w:val="53FE9DC1"/>
    <w:multiLevelType w:val="singleLevel"/>
    <w:tmpl w:val="53FE9DC1"/>
    <w:lvl w:ilvl="0" w:tentative="0">
      <w:start w:val="8"/>
      <w:numFmt w:val="decimal"/>
      <w:suff w:val="nothing"/>
      <w:lvlText w:val="%1."/>
      <w:lvlJc w:val="left"/>
    </w:lvl>
  </w:abstractNum>
  <w:abstractNum w:abstractNumId="9">
    <w:nsid w:val="53FEDF56"/>
    <w:multiLevelType w:val="singleLevel"/>
    <w:tmpl w:val="53FEDF56"/>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485AB4"/>
    <w:rsid w:val="15D801FE"/>
    <w:rsid w:val="216602D3"/>
    <w:rsid w:val="2AF76E2B"/>
    <w:rsid w:val="334236E9"/>
    <w:rsid w:val="382856A9"/>
    <w:rsid w:val="41C20D2F"/>
    <w:rsid w:val="45E919AB"/>
    <w:rsid w:val="51AC7430"/>
    <w:rsid w:val="6498548B"/>
    <w:rsid w:val="77AB4F4A"/>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qFormat/>
    <w:uiPriority w:val="0"/>
    <w:rPr>
      <w:rFonts w:hint="eastAsia" w:ascii="仿宋" w:hAnsi="仿宋" w:eastAsia="仿宋" w:cs="仿宋"/>
      <w:color w:val="000000"/>
      <w:sz w:val="20"/>
      <w:szCs w:val="20"/>
      <w:u w:val="none"/>
    </w:rPr>
  </w:style>
  <w:style w:type="character" w:customStyle="1" w:styleId="5">
    <w:name w:val="font21"/>
    <w:basedOn w:val="3"/>
    <w:qFormat/>
    <w:uiPriority w:val="0"/>
    <w:rPr>
      <w:rFonts w:hint="eastAsia"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2019-12-05T09:47:00Z</cp:lastPrinted>
  <dcterms:modified xsi:type="dcterms:W3CDTF">2019-12-27T09:09:36Z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