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390" w:type="dxa"/>
        <w:tblInd w:w="-444" w:type="dxa"/>
        <w:shd w:val="clear" w:color="auto" w:fill="auto"/>
        <w:tblLayout w:type="fixed"/>
        <w:tblCellMar>
          <w:top w:w="0" w:type="dxa"/>
          <w:left w:w="0" w:type="dxa"/>
          <w:bottom w:w="0" w:type="dxa"/>
          <w:right w:w="0" w:type="dxa"/>
        </w:tblCellMar>
      </w:tblPr>
      <w:tblGrid>
        <w:gridCol w:w="521"/>
        <w:gridCol w:w="844"/>
        <w:gridCol w:w="2093"/>
        <w:gridCol w:w="142"/>
        <w:gridCol w:w="4140"/>
        <w:gridCol w:w="735"/>
        <w:gridCol w:w="915"/>
      </w:tblGrid>
      <w:tr>
        <w:tblPrEx>
          <w:shd w:val="clear" w:color="auto" w:fill="auto"/>
          <w:tblCellMar>
            <w:top w:w="0" w:type="dxa"/>
            <w:left w:w="0" w:type="dxa"/>
            <w:bottom w:w="0" w:type="dxa"/>
            <w:right w:w="0" w:type="dxa"/>
          </w:tblCellMar>
        </w:tblPrEx>
        <w:trPr>
          <w:trHeight w:val="285" w:hRule="atLeast"/>
        </w:trPr>
        <w:tc>
          <w:tcPr>
            <w:tcW w:w="9390" w:type="dxa"/>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黑体" w:hAnsi="宋体" w:eastAsia="黑体" w:cs="黑体"/>
                <w:i w:val="0"/>
                <w:color w:val="000000"/>
                <w:sz w:val="24"/>
                <w:szCs w:val="24"/>
                <w:u w:val="none"/>
              </w:rPr>
            </w:pPr>
            <w:r>
              <w:rPr>
                <w:rFonts w:hint="eastAsia" w:ascii="仿宋" w:hAnsi="仿宋" w:eastAsia="仿宋" w:cs="仿宋"/>
                <w:i w:val="0"/>
                <w:color w:val="000000"/>
                <w:kern w:val="0"/>
                <w:sz w:val="24"/>
                <w:szCs w:val="24"/>
                <w:u w:val="none"/>
                <w:lang w:val="en-US" w:eastAsia="zh-CN" w:bidi="ar"/>
              </w:rPr>
              <w:t>附件1</w:t>
            </w:r>
          </w:p>
        </w:tc>
      </w:tr>
      <w:tr>
        <w:tblPrEx>
          <w:shd w:val="clear" w:color="auto" w:fill="auto"/>
          <w:tblCellMar>
            <w:top w:w="0" w:type="dxa"/>
            <w:left w:w="0" w:type="dxa"/>
            <w:bottom w:w="0" w:type="dxa"/>
            <w:right w:w="0" w:type="dxa"/>
          </w:tblCellMar>
        </w:tblPrEx>
        <w:trPr>
          <w:trHeight w:val="510" w:hRule="atLeast"/>
        </w:trPr>
        <w:tc>
          <w:tcPr>
            <w:tcW w:w="9390" w:type="dxa"/>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40"/>
                <w:szCs w:val="40"/>
                <w:u w:val="none"/>
              </w:rPr>
            </w:pPr>
            <w:r>
              <w:rPr>
                <w:rFonts w:hint="eastAsia" w:ascii="方正小标宋_GBK" w:hAnsi="方正小标宋_GBK" w:eastAsia="方正小标宋_GBK" w:cs="方正小标宋_GBK"/>
                <w:i w:val="0"/>
                <w:color w:val="000000"/>
                <w:kern w:val="0"/>
                <w:sz w:val="36"/>
                <w:szCs w:val="36"/>
                <w:u w:val="none"/>
                <w:lang w:val="en-US" w:eastAsia="zh-CN" w:bidi="ar"/>
              </w:rPr>
              <w:t>西华县审计局权力清单</w:t>
            </w:r>
          </w:p>
        </w:tc>
      </w:tr>
      <w:tr>
        <w:tblPrEx>
          <w:shd w:val="clear" w:color="auto" w:fill="auto"/>
          <w:tblCellMar>
            <w:top w:w="0" w:type="dxa"/>
            <w:left w:w="0" w:type="dxa"/>
            <w:bottom w:w="0" w:type="dxa"/>
            <w:right w:w="0" w:type="dxa"/>
          </w:tblCellMar>
        </w:tblPrEx>
        <w:trPr>
          <w:trHeight w:val="450" w:hRule="atLeast"/>
        </w:trPr>
        <w:tc>
          <w:tcPr>
            <w:tcW w:w="521" w:type="dxa"/>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创艺简标宋" w:hAnsi="创艺简标宋" w:eastAsia="创艺简标宋" w:cs="创艺简标宋"/>
                <w:i w:val="0"/>
                <w:color w:val="000000"/>
                <w:sz w:val="36"/>
                <w:szCs w:val="36"/>
                <w:u w:val="none"/>
              </w:rPr>
            </w:pPr>
          </w:p>
        </w:tc>
        <w:tc>
          <w:tcPr>
            <w:tcW w:w="844" w:type="dxa"/>
            <w:tcBorders>
              <w:top w:val="nil"/>
              <w:left w:val="nil"/>
              <w:bottom w:val="nil"/>
              <w:right w:val="nil"/>
            </w:tcBorders>
            <w:shd w:val="clear" w:color="auto" w:fill="auto"/>
            <w:noWrap/>
            <w:tcMar>
              <w:top w:w="15" w:type="dxa"/>
              <w:left w:w="15" w:type="dxa"/>
              <w:right w:w="15" w:type="dxa"/>
            </w:tcMar>
            <w:vAlign w:val="center"/>
          </w:tcPr>
          <w:p>
            <w:pPr>
              <w:jc w:val="center"/>
              <w:rPr>
                <w:rFonts w:hint="default" w:ascii="创艺简标宋" w:hAnsi="创艺简标宋" w:eastAsia="创艺简标宋" w:cs="创艺简标宋"/>
                <w:i w:val="0"/>
                <w:color w:val="000000"/>
                <w:sz w:val="36"/>
                <w:szCs w:val="36"/>
                <w:u w:val="none"/>
              </w:rPr>
            </w:pPr>
          </w:p>
        </w:tc>
        <w:tc>
          <w:tcPr>
            <w:tcW w:w="2093"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5017" w:type="dxa"/>
            <w:gridSpan w:val="3"/>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85" w:hRule="atLeast"/>
        </w:trPr>
        <w:tc>
          <w:tcPr>
            <w:tcW w:w="521"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序号</w:t>
            </w:r>
          </w:p>
        </w:tc>
        <w:tc>
          <w:tcPr>
            <w:tcW w:w="844"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职权名称</w:t>
            </w:r>
          </w:p>
        </w:tc>
        <w:tc>
          <w:tcPr>
            <w:tcW w:w="20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事项名称</w:t>
            </w:r>
          </w:p>
        </w:tc>
        <w:tc>
          <w:tcPr>
            <w:tcW w:w="5017" w:type="dxa"/>
            <w:gridSpan w:val="3"/>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事实依据</w:t>
            </w:r>
          </w:p>
        </w:tc>
        <w:tc>
          <w:tcPr>
            <w:tcW w:w="915"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承办</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机构</w:t>
            </w:r>
          </w:p>
        </w:tc>
      </w:tr>
      <w:tr>
        <w:tblPrEx>
          <w:shd w:val="clear" w:color="auto" w:fill="auto"/>
          <w:tblCellMar>
            <w:top w:w="0" w:type="dxa"/>
            <w:left w:w="0" w:type="dxa"/>
            <w:bottom w:w="0" w:type="dxa"/>
            <w:right w:w="0" w:type="dxa"/>
          </w:tblCellMar>
        </w:tblPrEx>
        <w:trPr>
          <w:trHeight w:val="400" w:hRule="atLeast"/>
        </w:trPr>
        <w:tc>
          <w:tcPr>
            <w:tcW w:w="52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8"/>
                <w:szCs w:val="28"/>
                <w:u w:val="none"/>
              </w:rPr>
            </w:pPr>
          </w:p>
        </w:tc>
        <w:tc>
          <w:tcPr>
            <w:tcW w:w="844"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8"/>
                <w:szCs w:val="28"/>
                <w:u w:val="none"/>
              </w:rPr>
            </w:pPr>
          </w:p>
        </w:tc>
        <w:tc>
          <w:tcPr>
            <w:tcW w:w="20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8"/>
                <w:szCs w:val="28"/>
                <w:u w:val="none"/>
              </w:rPr>
            </w:pPr>
          </w:p>
        </w:tc>
        <w:tc>
          <w:tcPr>
            <w:tcW w:w="5017" w:type="dxa"/>
            <w:gridSpan w:val="3"/>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8"/>
                <w:szCs w:val="28"/>
                <w:u w:val="none"/>
              </w:rPr>
            </w:pPr>
          </w:p>
        </w:tc>
        <w:tc>
          <w:tcPr>
            <w:tcW w:w="91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8"/>
                <w:szCs w:val="28"/>
                <w:u w:val="none"/>
              </w:rPr>
            </w:pPr>
          </w:p>
        </w:tc>
      </w:tr>
      <w:tr>
        <w:tblPrEx>
          <w:shd w:val="clear" w:color="auto" w:fill="auto"/>
          <w:tblCellMar>
            <w:top w:w="0" w:type="dxa"/>
            <w:left w:w="0" w:type="dxa"/>
            <w:bottom w:w="0" w:type="dxa"/>
            <w:right w:w="0" w:type="dxa"/>
          </w:tblCellMar>
        </w:tblPrEx>
        <w:trPr>
          <w:trHeight w:val="1060" w:hRule="atLeast"/>
        </w:trPr>
        <w:tc>
          <w:tcPr>
            <w:tcW w:w="52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20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对拒绝、拖延提供与审计事项有关的资料，或者提供的资料不真实、不完整，或者拒绝、阻碍检查的处罚</w:t>
            </w:r>
          </w:p>
        </w:tc>
        <w:tc>
          <w:tcPr>
            <w:tcW w:w="5017" w:type="dxa"/>
            <w:gridSpan w:val="3"/>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中华人民共和国审计法》第四十三条“被审计单位违反本法规定，拒绝或者拖延提供与审计事项有关的资料的，或者提供的资料不真实、不完整的，或者拒绝、阻碍检查的，由审计机关责令改正，可以通报批评，给予警告；拒不改正的，依法追究责任”</w:t>
            </w:r>
          </w:p>
        </w:tc>
        <w:tc>
          <w:tcPr>
            <w:tcW w:w="91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1640" w:hRule="atLeast"/>
        </w:trPr>
        <w:tc>
          <w:tcPr>
            <w:tcW w:w="521" w:type="dxa"/>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20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对违反国家规定的财政财务收支行为的处罚</w:t>
            </w:r>
          </w:p>
        </w:tc>
        <w:tc>
          <w:tcPr>
            <w:tcW w:w="5017" w:type="dxa"/>
            <w:gridSpan w:val="3"/>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中华人民共和国审计法实施条例》（1997年国务院令第231号公布，2010年国务院令第571号修订）第四十九条“对被审计单位违反国家规定的财务收支行为，审计机关在法定职权范围内，区别情况采取审计法第四十五条规定的处理措施，可以通报批评，给予警告；有违法所得的，没收违法所得，并处违法所得1倍以上5倍以下的罚款；没有违法所得的，可以处5万元以下的罚款；对直接负责的主管人员和其他直接责任人员，可以处2万元以下的罚款，审计机关认为应当给予处分的，向有关主管机关、单位提出给予处分的建议；构成犯罪的，依法追究刑事责任。法律、行政法规对被审计单位违反国家规定的财务收支行为处理、处罚另有规定的，从其规定”</w:t>
            </w:r>
          </w:p>
        </w:tc>
        <w:tc>
          <w:tcPr>
            <w:tcW w:w="91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740" w:hRule="atLeast"/>
        </w:trPr>
        <w:tc>
          <w:tcPr>
            <w:tcW w:w="52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20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对私存私放财政资金或者其他公款行为的处罚</w:t>
            </w:r>
          </w:p>
        </w:tc>
        <w:tc>
          <w:tcPr>
            <w:tcW w:w="5017" w:type="dxa"/>
            <w:gridSpan w:val="3"/>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中华人民共和国审计法》第四十条“对违反国家规定的财政收支、财务收支行为，需要依法给予处理、处罚的，在法定职权范围内作出审计决定或者向有关主管机关提出处理、处罚意见……审计决定自送达之日起生效”</w:t>
            </w:r>
          </w:p>
        </w:tc>
        <w:tc>
          <w:tcPr>
            <w:tcW w:w="91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1920" w:hRule="atLeast"/>
        </w:trPr>
        <w:tc>
          <w:tcPr>
            <w:tcW w:w="521" w:type="dxa"/>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20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对违反国家有关投资建设项目规定行为的处罚</w:t>
            </w:r>
          </w:p>
        </w:tc>
        <w:tc>
          <w:tcPr>
            <w:tcW w:w="501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财政违法行为处罚处分条例》（2004年国务院令第427号，2011年1月8日《国务院关于废止和修改部分行政法规的决定》修订）第九条第一款“单位和个人有下列违反国家有关投资建设项目规定的行为之一的，责令改正，调整有关会计账目，追回被截留、挪用、骗取的国家建设资金，没收违法所得，核减或者停止拨付工程投资。对单位给予警告或者通报批评，其直接负责的主管人员和其他直接责任人员属于国家公务员的，给予记大过处分；情节较重的，给予降级或者撤职处分；情节严重的，给予开除处分：（一）截留、挪用国家建设资金；（二）以虚报、冒领、关联交易等手段骗取国家建设资金；（三）违反规定超概算投资；（四）虚列投资完成额；（五）其他违反国家投资建设项目有关规定的行为”</w:t>
            </w:r>
          </w:p>
        </w:tc>
        <w:tc>
          <w:tcPr>
            <w:tcW w:w="91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1380" w:hRule="atLeast"/>
        </w:trPr>
        <w:tc>
          <w:tcPr>
            <w:tcW w:w="52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20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对不缴或者少缴财政收入行为的处罚</w:t>
            </w:r>
          </w:p>
        </w:tc>
        <w:tc>
          <w:tcPr>
            <w:tcW w:w="5017" w:type="dxa"/>
            <w:gridSpan w:val="3"/>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《财政违法行为处罚处分条例》第十三条 企业和个人有下列不缴或者少缴财政收入行为之一的，责令改正，调整有关会计账目，收缴应当上缴的财政收入，给予警告，没收违法所得，并处不缴或者少缴财政收入10%以上30%以下的罚款;对直接负责的主管人员和其他直接责任人员处3000元以上5万元以下的罚款:(一)隐瞒应当上缴的财政收入；(二)截留代收的财政收入；(三)其他不缴或者少缴财政收入的行为。属于税收方面的违法行为，依照有关税收法律、行政法规的规定处理、处罚”</w:t>
            </w:r>
          </w:p>
        </w:tc>
        <w:tc>
          <w:tcPr>
            <w:tcW w:w="91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2340" w:hRule="atLeast"/>
        </w:trPr>
        <w:tc>
          <w:tcPr>
            <w:tcW w:w="521" w:type="dxa"/>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20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对违规使用、骗取财政资金及外国贷款等行为的处罚</w:t>
            </w:r>
          </w:p>
        </w:tc>
        <w:tc>
          <w:tcPr>
            <w:tcW w:w="501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《财政违法行为处罚处分条例》（国务院令第427号） 第十四条“企业和个人有下列行为之一的，责令改正，调整有关会计账目，追回违反规定使用、骗取的有关资金，给予警告，没收违法所得，并处被骗取有关资金10%以上50%以下的罚款或者被违规使用有关资金10%以上30%以下的罚款；对直接负责的主管人员和其他直接责任人员处3000元以上5万元以下的罚款：(一)以虚报、冒领等手段骗取财政资金以及政府承贷或者担保的外国政府贷款、国际金融组织贷款；(二)挪用财政资金以及政府承贷或者担保的外国政府贷款、国际金融组织贷款；(三)从无偿使用的财政资金以及政府承贷或者担保的外国政府贷款、国际金融组织贷款中非法获益；(四)其他违反规定使用、骗取财政资金以及政府承贷或者担保的外国政府贷款、国际金融组织贷款的行为”</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 xml:space="preserve"> 　　属于政府采购方面的违法行为，依照《中华人民共和国政府采购法》及有关法律、行政法规的规定处理、处罚。</w:t>
            </w:r>
          </w:p>
        </w:tc>
        <w:tc>
          <w:tcPr>
            <w:tcW w:w="91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1720" w:hRule="atLeast"/>
        </w:trPr>
        <w:tc>
          <w:tcPr>
            <w:tcW w:w="52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20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对违反财政收入票据管理规定行为的处罚</w:t>
            </w:r>
          </w:p>
        </w:tc>
        <w:tc>
          <w:tcPr>
            <w:tcW w:w="5017" w:type="dxa"/>
            <w:gridSpan w:val="3"/>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财政违法行为处罚处分条例》第十六条“单位和个人有下列违反财政收入票据管理规定的行为之一的，销毁非法印制的票据，没收违法所得和作案工具。对单位处5000元以上10万元以下的罚款;对直接负责的主管人员和其他直接责任人员处3000元以上5万元以下的罚款。属于国家公务员的，还应当给予降级或者撤职处分：情节严重的，给予开除处分:(一)违反规定印制财政收入票据；(二)转借、串用、代开财政收入票据；(三)伪造、变造、买卖、擅自销毁财政收入票据；(四)伪造、使用伪造的财政收入票据监(印)制章；(五)其他违反财政收入票据管理规定的行为”</w:t>
            </w:r>
          </w:p>
        </w:tc>
        <w:tc>
          <w:tcPr>
            <w:tcW w:w="91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1300" w:hRule="atLeast"/>
        </w:trPr>
        <w:tc>
          <w:tcPr>
            <w:tcW w:w="521" w:type="dxa"/>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行政强制</w:t>
            </w:r>
          </w:p>
        </w:tc>
        <w:tc>
          <w:tcPr>
            <w:tcW w:w="20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制止封存权：对违规转移、隐匿、篡改、毁弃会计凭证、会计账簿、财务会计报告以及其他与财政收支或者财务收支有关的资料的</w:t>
            </w:r>
          </w:p>
        </w:tc>
        <w:tc>
          <w:tcPr>
            <w:tcW w:w="501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审计法》第三十四条“审计机关进行审计时，被审计单位不得转移、隐匿、篡改、毁弃会计凭证、会计账簿、财务会计报告以及其他与财政收支或者财务收支有关的资料，不得转移、隐匿所持有的违反国家规定取得的资产”</w:t>
            </w:r>
          </w:p>
        </w:tc>
        <w:tc>
          <w:tcPr>
            <w:tcW w:w="91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1700" w:hRule="atLeast"/>
        </w:trPr>
        <w:tc>
          <w:tcPr>
            <w:tcW w:w="521" w:type="dxa"/>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8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行政强制</w:t>
            </w:r>
          </w:p>
        </w:tc>
        <w:tc>
          <w:tcPr>
            <w:tcW w:w="2093"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暂停拨付与使用权：对正在进行的违反国家规定的财政收支、财务收支行为的</w:t>
            </w:r>
          </w:p>
        </w:tc>
        <w:tc>
          <w:tcPr>
            <w:tcW w:w="5017" w:type="dxa"/>
            <w:gridSpan w:val="3"/>
            <w:tcBorders>
              <w:top w:val="single" w:color="000000" w:sz="4" w:space="0"/>
              <w:left w:val="nil"/>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《中华人民共和国审计法》（1994年8月31日第八届全国人民代表大会常务委员会第九次会议通过,2006年2月28日第十届人民代表大会常务委员会第二十次会议修正,2006年2月28日中华人民共和国主席令第四十八号公布 自2006年6月1日起施行） 第三十四条第三款“审计机关对被审计单位正在进行的违反国家规定的财政收支、财务收支行为，有权予以制止；制止无效的，经县级以上人民政府审计机关负责人批准，通知财政部门和有关主管部门暂停拨付与违反国家规定的财政收支、财务收支行为直接有关的款项，已经拨付的，暂停使用”</w:t>
            </w:r>
          </w:p>
        </w:tc>
        <w:tc>
          <w:tcPr>
            <w:tcW w:w="915" w:type="dxa"/>
            <w:tcBorders>
              <w:top w:val="single" w:color="000000" w:sz="4" w:space="0"/>
              <w:left w:val="nil"/>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1660"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行政监督检查</w:t>
            </w:r>
          </w:p>
        </w:tc>
        <w:tc>
          <w:tcPr>
            <w:tcW w:w="20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国务院各部门和地方各级人民政府及其各部门的财政收支，国有的金融机构和企业事业组织的财务收支</w:t>
            </w:r>
          </w:p>
        </w:tc>
        <w:tc>
          <w:tcPr>
            <w:tcW w:w="501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《中华人民共和国审计法》第二条“国家实行审计监督制度。国务院和县级以上地方人民政府设立审计机关。 </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 xml:space="preserve">国务院各部门和地方各级人民政府及其各部门的财政收支，国有的金融机构和企业事业组织的财务收支，以及其他依照本法规定应当接受审计的财政收支、财务收支，依照本法规定接受审计监督。 </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　　审计机关对前款所列财政收支或者财务收支的真实、合法和效益，依法进行审计监督”</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1140"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行政监督检查</w:t>
            </w:r>
          </w:p>
        </w:tc>
        <w:tc>
          <w:tcPr>
            <w:tcW w:w="20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指导和监督依法属于审计机关审计监督对象的单位内审工作</w:t>
            </w:r>
          </w:p>
        </w:tc>
        <w:tc>
          <w:tcPr>
            <w:tcW w:w="50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《审计法》 第二十九条“依法属于审计机关审计监督对象的单位，应当按照国家有关规定建立健全内部审计制度；其内部审计工作应当接受审计机关的业务指导和监督”</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1120"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其他职权</w:t>
            </w:r>
          </w:p>
        </w:tc>
        <w:tc>
          <w:tcPr>
            <w:tcW w:w="20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核查社会审计机构审计报告</w:t>
            </w:r>
          </w:p>
        </w:tc>
        <w:tc>
          <w:tcPr>
            <w:tcW w:w="50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《中华人民共和国审计法》第三十条“社会审计机构审计的单位依法属于审计机关审计监督对象的，审计机关按照国务院的规定，有权对该社会审计机构出具的相关审计报告进行核查”</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3420"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其他职权</w:t>
            </w:r>
          </w:p>
        </w:tc>
        <w:tc>
          <w:tcPr>
            <w:tcW w:w="20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要求报送资料权：审计机关有权要求被审计单位按照审计机关的规定提供预算或者财务收支计划、预算执行情况、决算、财务会计报告，运用电子计算机储存、处理的财政收支、财务收支电子数据和必要的电子计算机技术文档，在金融机构开立账户的情况，社会审计机构出具的审计报告，以及其他与财政收支或者财务收支有关的资料</w:t>
            </w:r>
          </w:p>
        </w:tc>
        <w:tc>
          <w:tcPr>
            <w:tcW w:w="501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审计法》第三十一条“审计机关有权要求被审计单位按照审计机关的规定提供预算或者财务收支计划、预算执行情况、决算、财务会计报告，运用电子计算机储存、处理的财政收支、财务收支电子数据和必要的电子计算机技术文档，</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 xml:space="preserve">    在金融机构开立账户的情况，社会审计机构出具的审计报告，以及其他与财政收支或者财务收支有关的资料，被审计单位不得拒绝、拖延、谎报。被审计单位负责人对本单位提供的财务会计资料的真实性和完整性负责”</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1660"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其他职权</w:t>
            </w:r>
          </w:p>
        </w:tc>
        <w:tc>
          <w:tcPr>
            <w:tcW w:w="20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审计处理权：对本级各部门（含直属单位）和下级政府违反预算的行为或者其他违反国家规定的财政收支行为的</w:t>
            </w:r>
          </w:p>
        </w:tc>
        <w:tc>
          <w:tcPr>
            <w:tcW w:w="50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审计法》第四十五条“对本级各部门（含直属单位）和下级政府违反预算的行为或者其他违反国家规定的财政收支行为，审计机关、人民政府或者有关主管部门在法定职权范围内，依照法律、行政法规的规定，区别情况采取下列处理措施：（一）责令限期缴纳应当上缴的款项；（二）责令限期退还被侵占的国有资产；（三）责令限期退还违法所得；（四）责令按照国家统一的会计制度的有关规定进行处理；（五）其他处理措施。第四十六条：对被审计单位违反国家规定的财务收支行为，审计机关、人民政府或者有关主管部门在法定职权范围内，依照法律、行政法规的规定，区别情况采取前条规定的处理措施，并可以依法给予处罚”</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西华县审计局</w:t>
            </w:r>
          </w:p>
        </w:tc>
      </w:tr>
      <w:tr>
        <w:tblPrEx>
          <w:shd w:val="clear" w:color="auto" w:fill="auto"/>
          <w:tblCellMar>
            <w:top w:w="0" w:type="dxa"/>
            <w:left w:w="0" w:type="dxa"/>
            <w:bottom w:w="0" w:type="dxa"/>
            <w:right w:w="0" w:type="dxa"/>
          </w:tblCellMar>
        </w:tblPrEx>
        <w:trPr>
          <w:trHeight w:val="405" w:hRule="atLeast"/>
        </w:trPr>
        <w:tc>
          <w:tcPr>
            <w:tcW w:w="3600"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kern w:val="0"/>
                <w:sz w:val="32"/>
                <w:szCs w:val="32"/>
                <w:u w:val="none"/>
                <w:lang w:val="en-US" w:eastAsia="zh-CN" w:bidi="ar"/>
              </w:rPr>
            </w:pPr>
          </w:p>
          <w:p>
            <w:pPr>
              <w:keepNext w:val="0"/>
              <w:keepLines w:val="0"/>
              <w:widowControl/>
              <w:suppressLineNumbers w:val="0"/>
              <w:jc w:val="left"/>
              <w:textAlignment w:val="center"/>
              <w:rPr>
                <w:rFonts w:hint="eastAsia" w:ascii="黑体" w:hAnsi="宋体" w:eastAsia="黑体" w:cs="黑体"/>
                <w:i w:val="0"/>
                <w:color w:val="000000"/>
                <w:kern w:val="0"/>
                <w:sz w:val="32"/>
                <w:szCs w:val="32"/>
                <w:u w:val="none"/>
                <w:lang w:val="en-US" w:eastAsia="zh-CN" w:bidi="ar"/>
              </w:rPr>
            </w:pPr>
          </w:p>
          <w:p>
            <w:pPr>
              <w:keepNext w:val="0"/>
              <w:keepLines w:val="0"/>
              <w:widowControl/>
              <w:suppressLineNumbers w:val="0"/>
              <w:jc w:val="left"/>
              <w:textAlignment w:val="center"/>
              <w:rPr>
                <w:rFonts w:hint="eastAsia" w:ascii="黑体" w:hAnsi="宋体" w:eastAsia="黑体" w:cs="黑体"/>
                <w:i w:val="0"/>
                <w:color w:val="000000"/>
                <w:kern w:val="0"/>
                <w:sz w:val="32"/>
                <w:szCs w:val="32"/>
                <w:u w:val="none"/>
                <w:lang w:val="en-US" w:eastAsia="zh-CN" w:bidi="ar"/>
              </w:rPr>
            </w:pPr>
          </w:p>
          <w:p>
            <w:pPr>
              <w:keepNext w:val="0"/>
              <w:keepLines w:val="0"/>
              <w:widowControl/>
              <w:suppressLineNumbers w:val="0"/>
              <w:jc w:val="left"/>
              <w:textAlignment w:val="center"/>
              <w:rPr>
                <w:rFonts w:hint="eastAsia" w:ascii="黑体" w:hAnsi="宋体" w:eastAsia="黑体" w:cs="黑体"/>
                <w:i w:val="0"/>
                <w:color w:val="000000"/>
                <w:kern w:val="0"/>
                <w:sz w:val="32"/>
                <w:szCs w:val="32"/>
                <w:u w:val="none"/>
                <w:lang w:val="en-US" w:eastAsia="zh-CN" w:bidi="ar"/>
              </w:rPr>
            </w:pPr>
          </w:p>
          <w:p>
            <w:pPr>
              <w:keepNext w:val="0"/>
              <w:keepLines w:val="0"/>
              <w:widowControl/>
              <w:suppressLineNumbers w:val="0"/>
              <w:jc w:val="left"/>
              <w:textAlignment w:val="center"/>
              <w:rPr>
                <w:rFonts w:hint="eastAsia" w:ascii="黑体" w:hAnsi="宋体" w:eastAsia="黑体" w:cs="黑体"/>
                <w:i w:val="0"/>
                <w:color w:val="000000"/>
                <w:kern w:val="0"/>
                <w:sz w:val="32"/>
                <w:szCs w:val="32"/>
                <w:u w:val="none"/>
                <w:lang w:val="en-US" w:eastAsia="zh-CN" w:bidi="ar"/>
              </w:rPr>
            </w:pPr>
            <w:bookmarkStart w:id="0" w:name="_GoBack"/>
            <w:bookmarkEnd w:id="0"/>
          </w:p>
        </w:tc>
        <w:tc>
          <w:tcPr>
            <w:tcW w:w="4140"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1650" w:type="dxa"/>
            <w:gridSpan w:val="2"/>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bl>
    <w:p>
      <w:pPr>
        <w:widowControl w:val="0"/>
        <w:numPr>
          <w:ilvl w:val="0"/>
          <w:numId w:val="0"/>
        </w:numPr>
        <w:jc w:val="both"/>
        <w:rPr>
          <w:rFonts w:hint="default"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创艺简标宋">
    <w:altName w:val="黑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E844E4"/>
    <w:rsid w:val="13EF5835"/>
    <w:rsid w:val="2AF76E2B"/>
    <w:rsid w:val="2E6F227F"/>
    <w:rsid w:val="314518D8"/>
    <w:rsid w:val="378C4F15"/>
    <w:rsid w:val="382856A9"/>
    <w:rsid w:val="41C20D2F"/>
    <w:rsid w:val="457E4E14"/>
    <w:rsid w:val="45E919AB"/>
    <w:rsid w:val="4D6F5015"/>
    <w:rsid w:val="51AC7430"/>
    <w:rsid w:val="6498548B"/>
    <w:rsid w:val="6A3621A5"/>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2019-12-05T09:51:00Z</cp:lastPrinted>
  <dcterms:modified xsi:type="dcterms:W3CDTF">2019-12-27T09:11:30Z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