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eastAsia="zh-CN" w:bidi="ar"/>
        </w:rPr>
        <w:t>附件</w:t>
      </w:r>
      <w:r>
        <w:rPr>
          <w:rFonts w:hint="eastAsia" w:ascii="仿宋" w:hAnsi="仿宋" w:eastAsia="仿宋" w:cs="仿宋"/>
          <w:color w:val="000000"/>
          <w:kern w:val="0"/>
          <w:sz w:val="30"/>
          <w:szCs w:val="30"/>
          <w:lang w:val="en-US" w:eastAsia="zh-CN" w:bidi="ar"/>
        </w:rPr>
        <w:t>1</w:t>
      </w:r>
    </w:p>
    <w:p>
      <w:pPr>
        <w:widowControl/>
        <w:jc w:val="center"/>
        <w:textAlignment w:val="center"/>
        <w:rPr>
          <w:rFonts w:hint="eastAsia" w:ascii="黑体" w:hAnsi="黑体" w:eastAsia="黑体" w:cs="方正小标宋简体"/>
          <w:b/>
          <w:bCs/>
          <w:color w:val="000000"/>
          <w:kern w:val="0"/>
          <w:sz w:val="44"/>
          <w:szCs w:val="44"/>
          <w:lang w:bidi="ar"/>
        </w:rPr>
      </w:pPr>
      <w:r>
        <w:rPr>
          <w:rFonts w:hint="eastAsia" w:ascii="方正小标宋_GBK" w:hAnsi="方正小标宋_GBK" w:eastAsia="方正小标宋_GBK" w:cs="方正小标宋_GBK"/>
          <w:color w:val="000000"/>
          <w:kern w:val="0"/>
          <w:sz w:val="44"/>
          <w:szCs w:val="44"/>
          <w:lang w:bidi="ar"/>
        </w:rPr>
        <w:t>西</w:t>
      </w:r>
      <w:r>
        <w:rPr>
          <w:rFonts w:hint="eastAsia" w:ascii="方正小标宋_GBK" w:hAnsi="方正小标宋_GBK" w:eastAsia="方正小标宋_GBK" w:cs="方正小标宋_GBK"/>
          <w:b/>
          <w:bCs/>
          <w:color w:val="000000"/>
          <w:kern w:val="0"/>
          <w:sz w:val="44"/>
          <w:szCs w:val="44"/>
          <w:lang w:bidi="ar"/>
        </w:rPr>
        <w:t>华县司法局权力清单</w:t>
      </w:r>
    </w:p>
    <w:p>
      <w:pPr>
        <w:autoSpaceDN w:val="0"/>
        <w:spacing w:line="560" w:lineRule="exact"/>
        <w:jc w:val="center"/>
        <w:rPr>
          <w:rFonts w:hint="eastAsia" w:ascii="方正小标宋_GBK" w:hAnsi="方正小标宋_GBK" w:eastAsia="方正小标宋_GBK" w:cs="方正小标宋_GBK"/>
          <w:b w:val="0"/>
          <w:bCs w:val="0"/>
          <w:sz w:val="28"/>
          <w:szCs w:val="28"/>
        </w:rPr>
      </w:pPr>
      <w:r>
        <w:rPr>
          <w:rFonts w:hint="eastAsia" w:ascii="宋体" w:hAnsi="宋体" w:cs="宋体"/>
          <w:b/>
          <w:bCs/>
          <w:color w:val="000000"/>
          <w:kern w:val="0"/>
          <w:sz w:val="24"/>
          <w:szCs w:val="24"/>
          <w:lang w:bidi="ar"/>
        </w:rPr>
        <w:t xml:space="preserve"> </w:t>
      </w:r>
      <w:r>
        <w:rPr>
          <w:rFonts w:hint="eastAsia" w:ascii="方正黑体简体" w:hAnsi="方正黑体简体" w:eastAsia="方正黑体简体" w:cs="方正黑体简体"/>
          <w:b/>
          <w:bCs/>
          <w:color w:val="000000"/>
          <w:kern w:val="0"/>
          <w:sz w:val="32"/>
          <w:szCs w:val="32"/>
          <w:lang w:bidi="ar"/>
        </w:rPr>
        <w:t xml:space="preserve"> </w:t>
      </w:r>
      <w:r>
        <w:rPr>
          <w:rFonts w:hint="eastAsia" w:ascii="方正小标宋_GBK" w:hAnsi="方正小标宋_GBK" w:eastAsia="方正小标宋_GBK" w:cs="方正小标宋_GBK"/>
          <w:b w:val="0"/>
          <w:bCs w:val="0"/>
          <w:color w:val="000000"/>
          <w:kern w:val="0"/>
          <w:sz w:val="32"/>
          <w:szCs w:val="32"/>
          <w:lang w:bidi="ar"/>
        </w:rPr>
        <w:t>一、行政权力登记表</w:t>
      </w:r>
    </w:p>
    <w:tbl>
      <w:tblPr>
        <w:tblStyle w:val="5"/>
        <w:tblW w:w="9336" w:type="dxa"/>
        <w:jc w:val="center"/>
        <w:tblLayout w:type="fixed"/>
        <w:tblCellMar>
          <w:top w:w="15" w:type="dxa"/>
          <w:left w:w="15" w:type="dxa"/>
          <w:bottom w:w="15" w:type="dxa"/>
          <w:right w:w="15" w:type="dxa"/>
        </w:tblCellMar>
      </w:tblPr>
      <w:tblGrid>
        <w:gridCol w:w="636"/>
        <w:gridCol w:w="845"/>
        <w:gridCol w:w="1245"/>
        <w:gridCol w:w="4510"/>
        <w:gridCol w:w="1140"/>
        <w:gridCol w:w="960"/>
      </w:tblGrid>
      <w:tr>
        <w:tblPrEx>
          <w:tblCellMar>
            <w:top w:w="15" w:type="dxa"/>
            <w:left w:w="15" w:type="dxa"/>
            <w:bottom w:w="15" w:type="dxa"/>
            <w:right w:w="15" w:type="dxa"/>
          </w:tblCellMar>
        </w:tblPrEx>
        <w:trPr>
          <w:trHeight w:val="75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类别</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kern w:val="0"/>
                <w:sz w:val="24"/>
                <w:szCs w:val="24"/>
                <w:lang w:bidi="ar"/>
              </w:rPr>
            </w:pPr>
            <w:r>
              <w:rPr>
                <w:rFonts w:hint="eastAsia" w:ascii="仿宋" w:hAnsi="仿宋" w:eastAsia="仿宋" w:cs="仿宋"/>
                <w:b/>
                <w:bCs/>
                <w:color w:val="000000"/>
                <w:kern w:val="0"/>
                <w:sz w:val="24"/>
                <w:szCs w:val="24"/>
                <w:lang w:bidi="ar"/>
              </w:rPr>
              <w:t>职权</w:t>
            </w:r>
          </w:p>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名称</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实施依据</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kern w:val="0"/>
                <w:sz w:val="24"/>
                <w:szCs w:val="24"/>
                <w:lang w:bidi="ar"/>
              </w:rPr>
            </w:pPr>
            <w:r>
              <w:rPr>
                <w:rFonts w:hint="eastAsia" w:ascii="仿宋" w:hAnsi="仿宋" w:eastAsia="仿宋" w:cs="仿宋"/>
                <w:b/>
                <w:bCs/>
                <w:color w:val="000000"/>
                <w:kern w:val="0"/>
                <w:sz w:val="24"/>
                <w:szCs w:val="24"/>
                <w:lang w:bidi="ar"/>
              </w:rPr>
              <w:t>承办</w:t>
            </w:r>
          </w:p>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机构</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备注</w:t>
            </w:r>
          </w:p>
        </w:tc>
      </w:tr>
      <w:tr>
        <w:tblPrEx>
          <w:tblCellMar>
            <w:top w:w="15" w:type="dxa"/>
            <w:left w:w="15" w:type="dxa"/>
            <w:bottom w:w="15" w:type="dxa"/>
            <w:right w:w="15" w:type="dxa"/>
          </w:tblCellMar>
        </w:tblPrEx>
        <w:trPr>
          <w:trHeight w:val="59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一</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许可</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共2项</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67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行政许可</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400" w:lineRule="exact"/>
              <w:textAlignment w:val="center"/>
              <w:rPr>
                <w:rFonts w:hint="eastAsia" w:ascii="仿宋" w:hAnsi="仿宋" w:eastAsia="仿宋" w:cs="仿宋"/>
                <w:color w:val="000000"/>
                <w:sz w:val="24"/>
                <w:szCs w:val="24"/>
              </w:rPr>
            </w:pPr>
            <w:r>
              <w:rPr>
                <w:rFonts w:hint="eastAsia" w:ascii="仿宋" w:hAnsi="仿宋" w:eastAsia="仿宋" w:cs="仿宋"/>
                <w:sz w:val="24"/>
                <w:szCs w:val="24"/>
              </w:rPr>
              <w:t>设立基层法律服务所初审</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360" w:lineRule="atLeast"/>
              <w:ind w:firstLine="480"/>
              <w:jc w:val="left"/>
              <w:rPr>
                <w:rFonts w:hint="eastAsia" w:ascii="仿宋" w:hAnsi="仿宋" w:eastAsia="仿宋" w:cs="仿宋"/>
                <w:color w:val="333333"/>
                <w:kern w:val="0"/>
                <w:sz w:val="24"/>
                <w:szCs w:val="24"/>
              </w:rPr>
            </w:pPr>
            <w:r>
              <w:rPr>
                <w:rFonts w:hint="eastAsia" w:ascii="仿宋" w:hAnsi="仿宋" w:eastAsia="仿宋" w:cs="仿宋"/>
                <w:color w:val="333333"/>
                <w:sz w:val="24"/>
                <w:szCs w:val="24"/>
              </w:rPr>
              <w:t>《基层法律服务所管理办法》</w:t>
            </w:r>
            <w:r>
              <w:rPr>
                <w:rFonts w:hint="eastAsia" w:ascii="仿宋" w:hAnsi="仿宋" w:eastAsia="仿宋" w:cs="仿宋"/>
                <w:color w:val="333333"/>
                <w:kern w:val="0"/>
                <w:sz w:val="24"/>
                <w:szCs w:val="24"/>
              </w:rPr>
              <w:t>第十二条　设立基层法律服务所，组建单位应当提交下列文件：(一)基层法律服务所设立申请报告；(二)章程；(三)从业人员的名单、简历和执业资格证明；(四)执业场所使用证明和开办资金证明；(五)核准登记机关要求提交的其他文件。由乡镇人民政府或者街道办事处组建的，须由县级司法行政机关出具审核意见。</w:t>
            </w:r>
          </w:p>
          <w:p>
            <w:pPr>
              <w:widowControl/>
              <w:jc w:val="center"/>
              <w:textAlignment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320" w:hRule="atLeast"/>
          <w:jc w:val="center"/>
        </w:trPr>
        <w:tc>
          <w:tcPr>
            <w:tcW w:w="636" w:type="dxa"/>
            <w:tcBorders>
              <w:top w:val="single" w:color="000000" w:sz="4" w:space="0"/>
              <w:left w:val="single" w:color="000000" w:sz="4" w:space="0"/>
              <w:bottom w:val="single" w:color="auto" w:sz="4" w:space="0"/>
              <w:right w:val="single" w:color="000000" w:sz="4" w:space="0"/>
            </w:tcBorders>
            <w:noWrap w:val="0"/>
            <w:vAlign w:val="center"/>
          </w:tcPr>
          <w:p>
            <w:pPr>
              <w:widowControl/>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   2</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pPr>
              <w:widowControl/>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行政许可</w:t>
            </w:r>
          </w:p>
        </w:tc>
        <w:tc>
          <w:tcPr>
            <w:tcW w:w="1245" w:type="dxa"/>
            <w:tcBorders>
              <w:top w:val="single" w:color="000000" w:sz="4" w:space="0"/>
              <w:left w:val="single" w:color="000000" w:sz="4" w:space="0"/>
              <w:bottom w:val="single" w:color="auto" w:sz="4" w:space="0"/>
              <w:right w:val="single" w:color="000000" w:sz="4" w:space="0"/>
            </w:tcBorders>
            <w:noWrap w:val="0"/>
            <w:vAlign w:val="center"/>
          </w:tcPr>
          <w:p>
            <w:pPr>
              <w:widowControl/>
              <w:spacing w:line="40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法律服务工作者执业核准的初审</w:t>
            </w:r>
          </w:p>
        </w:tc>
        <w:tc>
          <w:tcPr>
            <w:tcW w:w="4510" w:type="dxa"/>
            <w:tcBorders>
              <w:top w:val="single" w:color="000000" w:sz="4" w:space="0"/>
              <w:left w:val="single" w:color="000000" w:sz="4" w:space="0"/>
              <w:bottom w:val="single" w:color="auto" w:sz="4" w:space="0"/>
              <w:right w:val="single" w:color="000000" w:sz="4" w:space="0"/>
            </w:tcBorders>
            <w:noWrap w:val="0"/>
            <w:vAlign w:val="center"/>
          </w:tcPr>
          <w:p>
            <w:pPr>
              <w:widowControl/>
              <w:shd w:val="clear" w:color="auto" w:fill="FFFFFF"/>
              <w:spacing w:line="360" w:lineRule="atLeast"/>
              <w:ind w:firstLine="480"/>
              <w:jc w:val="left"/>
              <w:rPr>
                <w:rFonts w:hint="eastAsia" w:ascii="仿宋" w:hAnsi="仿宋" w:eastAsia="仿宋" w:cs="仿宋"/>
                <w:color w:val="333333"/>
                <w:kern w:val="0"/>
                <w:sz w:val="24"/>
                <w:szCs w:val="24"/>
              </w:rPr>
            </w:pPr>
            <w:r>
              <w:rPr>
                <w:rFonts w:hint="eastAsia" w:ascii="仿宋" w:hAnsi="仿宋" w:eastAsia="仿宋" w:cs="仿宋"/>
                <w:color w:val="333333"/>
                <w:sz w:val="24"/>
                <w:szCs w:val="24"/>
                <w:shd w:val="clear" w:color="auto" w:fill="FFFFFF"/>
              </w:rPr>
              <w:t>《基层法律服务工作者管理办法》</w:t>
            </w:r>
            <w:r>
              <w:rPr>
                <w:rFonts w:hint="eastAsia" w:ascii="仿宋" w:hAnsi="仿宋" w:eastAsia="仿宋" w:cs="仿宋"/>
                <w:color w:val="333333"/>
                <w:kern w:val="0"/>
                <w:sz w:val="24"/>
                <w:szCs w:val="24"/>
              </w:rPr>
              <w:t>第十七条申请执业登记材料，由拟聘用申请人的基层法律服务所提交住所地的县级司法行政机关审查，由其出具审查意见后逐级上报执业登记机关。县级、地级司法行政机关审查的时间均不得超过十五日。</w:t>
            </w:r>
          </w:p>
          <w:p>
            <w:pPr>
              <w:widowControl/>
              <w:jc w:val="center"/>
              <w:textAlignment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507" w:hRule="atLeast"/>
          <w:jc w:val="center"/>
        </w:trPr>
        <w:tc>
          <w:tcPr>
            <w:tcW w:w="636"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二</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pPr>
              <w:widowControl/>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处罚</w:t>
            </w:r>
          </w:p>
          <w:p>
            <w:pPr>
              <w:widowControl/>
              <w:jc w:val="center"/>
              <w:textAlignment w:val="center"/>
              <w:rPr>
                <w:rFonts w:hint="eastAsia" w:ascii="仿宋" w:hAnsi="仿宋" w:eastAsia="仿宋" w:cs="仿宋"/>
                <w:color w:val="000000"/>
                <w:sz w:val="24"/>
                <w:szCs w:val="24"/>
              </w:rPr>
            </w:pPr>
          </w:p>
        </w:tc>
        <w:tc>
          <w:tcPr>
            <w:tcW w:w="1245"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共7项</w:t>
            </w:r>
          </w:p>
        </w:tc>
        <w:tc>
          <w:tcPr>
            <w:tcW w:w="114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2076"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000000" w:sz="4" w:space="0"/>
              <w:left w:val="single" w:color="auto"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对社区矫正人员违反管理的警告处罚。</w:t>
            </w:r>
          </w:p>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pPr>
              <w:widowControl/>
              <w:jc w:val="both"/>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《社区矫正实施办法》第二十三条 社区矫正人员有下列情形之一的，县级司法行政机关应当给予警告，并出具书面决定。(一)未按规定时间报到的;(二)违反关于报告、会客、外出、居住地变更规定的;(三)不按规定参加教育学习、社区服务等活动,经教育仍不改正的;</w:t>
            </w:r>
          </w:p>
          <w:p>
            <w:pPr>
              <w:widowControl/>
              <w:jc w:val="both"/>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(四)保外就医的社区矫正人员无正当理由不按时提交病情复查情况,或者未经批准进行就医以外的社会活动且经教育仍不改正的;(五)违反人民法院禁止令,情节轻微的;(六)其他违反监督管理规定的。</w:t>
            </w:r>
          </w:p>
          <w:p>
            <w:pPr>
              <w:widowControl/>
              <w:textAlignment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500"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auto" w:sz="4" w:space="0"/>
              <w:left w:val="single" w:color="auto"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对社区矫正人员违反管理的治安管理处罚</w:t>
            </w:r>
          </w:p>
          <w:p>
            <w:pPr>
              <w:widowControl/>
              <w:jc w:val="center"/>
              <w:textAlignment w:val="center"/>
              <w:rPr>
                <w:rFonts w:hint="eastAsia" w:ascii="仿宋" w:hAnsi="仿宋" w:eastAsia="仿宋" w:cs="仿宋"/>
                <w:color w:val="000000"/>
                <w:sz w:val="24"/>
                <w:szCs w:val="24"/>
              </w:rPr>
            </w:pPr>
          </w:p>
        </w:tc>
        <w:tc>
          <w:tcPr>
            <w:tcW w:w="4510" w:type="dxa"/>
            <w:tcBorders>
              <w:top w:val="single" w:color="auto" w:sz="4" w:space="0"/>
              <w:left w:val="single" w:color="000000" w:sz="4" w:space="0"/>
              <w:bottom w:val="single" w:color="auto"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《社区矫正实施办法》第二十四条 社区矫正人员违反监督管理规定或者人民法院禁止令，依法应予治安管理处罚的，县级司法行政机关应当及时提请同级公安机关依法给予处罚。</w:t>
            </w:r>
          </w:p>
        </w:tc>
        <w:tc>
          <w:tcPr>
            <w:tcW w:w="114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182"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3</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auto" w:sz="4" w:space="0"/>
              <w:left w:val="single" w:color="auto"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对社区矫正人员违反管理的撤销假释、撤销缓刑的处罚</w:t>
            </w:r>
          </w:p>
        </w:tc>
        <w:tc>
          <w:tcPr>
            <w:tcW w:w="4510" w:type="dxa"/>
            <w:tcBorders>
              <w:top w:val="single" w:color="auto" w:sz="4" w:space="0"/>
              <w:left w:val="single" w:color="000000" w:sz="4" w:space="0"/>
              <w:bottom w:val="single" w:color="auto"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《社区矫正实施办法》第二十五条 缓刑、假释的社区矫正人员有下列情形之一的，由于居住地同级司法行政机关向原裁判人民法院提出撤销缓刑、假释建议书并附相关证明材料,人民法院应当自收到之日起一个月内依法作出裁定:</w:t>
            </w:r>
          </w:p>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(一)违反人民法院禁止令,情节严重的;(二)未按规定时间报到或者接受社区矫正期间脱离监管,超过一个月的;(三)因违反监督管理规定受到治安管理处罚,仍不改正的;</w:t>
            </w:r>
          </w:p>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(四)受到司法行政机关三次警告仍不改正的;（五）其他违反有关法律、行政法规和监督管理规定,情节严重的。</w:t>
            </w:r>
          </w:p>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司法行政机关撤销缓刑、假释的建议书和人民法院的裁定书同时抄送社区矫正人员居住地同级人民检察院和公安机关。</w:t>
            </w:r>
          </w:p>
          <w:p>
            <w:pPr>
              <w:widowControl/>
              <w:jc w:val="center"/>
              <w:textAlignment w:val="center"/>
              <w:rPr>
                <w:rFonts w:hint="eastAsia" w:ascii="仿宋" w:hAnsi="仿宋" w:eastAsia="仿宋" w:cs="仿宋"/>
                <w:color w:val="000000"/>
                <w:sz w:val="24"/>
                <w:szCs w:val="24"/>
              </w:rPr>
            </w:pPr>
          </w:p>
        </w:tc>
        <w:tc>
          <w:tcPr>
            <w:tcW w:w="114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416"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4</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auto" w:sz="4" w:space="0"/>
              <w:left w:val="single" w:color="auto"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对社区矫正人员违反管理的收监执行的处罚</w:t>
            </w:r>
          </w:p>
        </w:tc>
        <w:tc>
          <w:tcPr>
            <w:tcW w:w="4510" w:type="dxa"/>
            <w:tcBorders>
              <w:top w:val="single" w:color="auto" w:sz="4" w:space="0"/>
              <w:left w:val="single" w:color="000000" w:sz="4" w:space="0"/>
              <w:bottom w:val="single" w:color="auto" w:sz="4" w:space="0"/>
              <w:right w:val="single" w:color="000000" w:sz="4" w:space="0"/>
            </w:tcBorders>
            <w:noWrap w:val="0"/>
            <w:vAlign w:val="center"/>
          </w:tcPr>
          <w:p>
            <w:pPr>
              <w:widowControl/>
              <w:jc w:val="both"/>
              <w:textAlignment w:val="center"/>
              <w:rPr>
                <w:rFonts w:hint="eastAsia" w:ascii="仿宋" w:hAnsi="仿宋" w:eastAsia="仿宋" w:cs="仿宋"/>
                <w:color w:val="000000"/>
                <w:sz w:val="24"/>
                <w:szCs w:val="24"/>
              </w:rPr>
            </w:pPr>
          </w:p>
          <w:p>
            <w:pPr>
              <w:widowControl/>
              <w:jc w:val="both"/>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《社区矫正实施办法》第二十六条 暂予监外执行的社区矫正人员有下列情形之一的，由居住地县级司法行政机关向批准、决定机关提出收监执行的建议的建议书并附相关证明材料。批准、决定机关应当自收到之日起十五日内依法作出决定:(一)发现不符合暂予监外执行条件的;(二)未经司法行政机关批准擅自离开居住的市、县(旗),经警告拒不改正,或者拒不报告行踪,脱离监管的;(三)因违反监督管理规定受到治安管理处罚,仍不改正的;(四)受到司法行政机关两次警告,仍不改正的;(五)保外就医期间不按规定提交病情复查情况,经警告拒不改正的;(六)暂予监外执行的情形消失后,刑期未满的;(七)保证人丧失保证条件或者因不履行义务被取消保证人资格,又不能在规定期限内提出新的保证人的;(八)其他违反有关法律、行政法规和监督管理规定,情节严重的。</w:t>
            </w:r>
          </w:p>
          <w:p>
            <w:pPr>
              <w:widowControl/>
              <w:jc w:val="both"/>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司法行政机关的收监执行建议书和决定机关的决定书,应当同时抄送社区矫正人员居住地同级人民检察院和公安机关。</w:t>
            </w:r>
          </w:p>
        </w:tc>
        <w:tc>
          <w:tcPr>
            <w:tcW w:w="114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2782" w:hRule="atLeast"/>
          <w:jc w:val="center"/>
        </w:trPr>
        <w:tc>
          <w:tcPr>
            <w:tcW w:w="636"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5</w:t>
            </w:r>
          </w:p>
        </w:tc>
        <w:tc>
          <w:tcPr>
            <w:tcW w:w="845"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auto"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kern w:val="0"/>
                <w:sz w:val="24"/>
                <w:szCs w:val="24"/>
                <w:lang w:bidi="ar"/>
              </w:rPr>
            </w:pPr>
            <w:r>
              <w:rPr>
                <w:rFonts w:hint="eastAsia" w:ascii="仿宋" w:hAnsi="仿宋" w:eastAsia="仿宋" w:cs="仿宋"/>
                <w:sz w:val="24"/>
                <w:szCs w:val="24"/>
              </w:rPr>
              <w:t>对基层法律服务所、基层法律服务工作者县级管辖违法行为的处罚</w:t>
            </w:r>
          </w:p>
        </w:tc>
        <w:tc>
          <w:tcPr>
            <w:tcW w:w="4510" w:type="dxa"/>
            <w:tcBorders>
              <w:top w:val="single" w:color="auto" w:sz="4" w:space="0"/>
              <w:left w:val="single" w:color="000000" w:sz="4" w:space="0"/>
              <w:bottom w:val="single" w:color="000000" w:sz="4" w:space="0"/>
              <w:right w:val="single" w:color="000000" w:sz="4" w:space="0"/>
            </w:tcBorders>
            <w:noWrap w:val="0"/>
            <w:vAlign w:val="center"/>
          </w:tcPr>
          <w:p>
            <w:pPr>
              <w:widowControl/>
              <w:jc w:val="both"/>
              <w:textAlignment w:val="center"/>
              <w:rPr>
                <w:rFonts w:hint="eastAsia" w:ascii="仿宋" w:hAnsi="仿宋" w:eastAsia="仿宋" w:cs="仿宋"/>
                <w:color w:val="000000"/>
                <w:sz w:val="24"/>
                <w:szCs w:val="24"/>
              </w:rPr>
            </w:pPr>
            <w:r>
              <w:rPr>
                <w:rFonts w:hint="eastAsia" w:ascii="仿宋" w:hAnsi="仿宋" w:eastAsia="仿宋" w:cs="仿宋"/>
                <w:sz w:val="24"/>
                <w:szCs w:val="24"/>
              </w:rPr>
              <w:t>1.《基层法律服务所管理办法》（司法部令第59号）第四十二条“基层法律服务所有下列行为之一的，由住所地县级司法行政机关予以警告；有违法所得的，按照法律、法规的规定没收违法所得，并由地级司法行政机关处以违法所得三倍以下的罚款，但罚款数额最高不得超过三万元：（一）超越业务范围的；（二）违反业务收费管理规定，擅自提高收费标准，自立名目乱收费的；（三）以贬损他人、抬高自己、虚假承诺或者支付介绍费等不正当手段争揽业务的；（四）伪造、涂改、抵押、出租、出借本所执业证书的；（五）未经核准登记变更本所名称、法定代表人、执业场所和章程，擅自分立、合并或者设立业务接待站（点）的；（六）不按规定接受年度检查，采用弄虚作假手段骗取通过年度检查的；（七）违反财务管理规定，私分、挪用或者以其他方式非法处置本所资产的；（八）聘用不具备执业资格的人员以基层法律服务工作者名义承办业务的；（九）放纵、包庇本所基层法律服务工作者的违法违纪行为的；（十）内部管理混成，导致无法正常开展业务的；”（十一）法律、法规、规章规定应予处罚的其他行为。</w:t>
            </w:r>
            <w:r>
              <w:rPr>
                <w:rFonts w:hint="eastAsia" w:ascii="仿宋" w:hAnsi="仿宋" w:eastAsia="仿宋" w:cs="仿宋"/>
                <w:sz w:val="24"/>
                <w:szCs w:val="24"/>
              </w:rPr>
              <w:br w:type="textWrapping"/>
            </w:r>
            <w:r>
              <w:rPr>
                <w:rFonts w:hint="eastAsia" w:ascii="仿宋" w:hAnsi="仿宋" w:eastAsia="仿宋" w:cs="仿宋"/>
                <w:sz w:val="24"/>
                <w:szCs w:val="24"/>
              </w:rPr>
              <w:t>2.《基层法律服务工作者管理办法》（司法部令第60号）第五十五条“基层法律服务工作者有下列行为之一的，由所在地的县级司法行政机关予以警告；有违法所得的，按照法律、法规的规定没收违法所得，并由地级司法行政机关处以违法所得三倍以下的罚款，但罚款数额最高不得超过三万元：（一）以贬损他人、抬高自己、虚假承诺或者支付介绍费等不正当手段争揽业务的；（二）曾担任法官的基层法律服务工作者，在离任不满二年内担任原任职法院审理的诉讼案件的代理人的；（三）冒用律师名义执业的；（四）同时在基层法律服务所和律师事务所或者公证机构执业，或者同时在两个以上基层法律服务所执业的；（五）无正当理由拒绝履行法律援助义务的；（六）明知委托人的要求是非法的、欺诈性的，仍为其提供帮助的；（七）在代理活动中超越代理权限或者滥用代理权，侵犯被代理人合法权益的；（八）在同一诉讼、仲裁、行政裁决中，为双方当事人或者有利害关系的第三人代理的；（九）不遵守与当事人订立的委托合同，拒绝或者疏怠履行法律服务义务，损害委托人合法权益的；（十）在调解、代理、法律顾问等执业活动中压制、侮辱、报复当事人，造成恶劣影响的；（十一）故意泄露当事人的商业秘密或者个人隐私的；（十二）以影响案件审判、仲裁或者行政裁定结果为目的，违反规定会见有关司法、仲裁或者行政执法人员，或者向其请客送礼的；（十三）私自接受委托承办法律事务，或者私自收取费用，或者向委托人索要额外报酬的；（十四）在代理活动中收受对方当事人、利害关系人财物或者与其恶意串通，损害委托人合法权益的；（十五）违反司法、仲裁、行政执法工作有关制度规定的，干扰或者阻碍司法、仲裁、行政执法工作正常进行的；（十六）泄露在执业中知悉的国家秘密的；（十七）伪造、隐匿、毁灭证据或者故意协助委托人伪造、隐匿、毁灭证据的；（十八）向有关司法人员、仲裁人员或者行政执法人员行贿，或者指使、诱导委托人向其行贿的；”（十九）法律、法规、规章规定应予处罚的其他行为</w:t>
            </w:r>
          </w:p>
        </w:tc>
        <w:tc>
          <w:tcPr>
            <w:tcW w:w="1140"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县司法局</w:t>
            </w:r>
          </w:p>
        </w:tc>
        <w:tc>
          <w:tcPr>
            <w:tcW w:w="960"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p>
        </w:tc>
      </w:tr>
      <w:tr>
        <w:tblPrEx>
          <w:tblCellMar>
            <w:top w:w="15" w:type="dxa"/>
            <w:left w:w="15" w:type="dxa"/>
            <w:bottom w:w="15" w:type="dxa"/>
            <w:right w:w="15" w:type="dxa"/>
          </w:tblCellMar>
        </w:tblPrEx>
        <w:trPr>
          <w:trHeight w:val="1225"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sz w:val="24"/>
                <w:szCs w:val="24"/>
              </w:rPr>
              <w:t>法律援助人员发生无正当理由拒绝接受、拖延、擅自终止法律援助案件,收取财物，泄露当事人的商业秘密或者个人隐私等行为的处罚</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pStyle w:val="8"/>
              <w:spacing w:before="0" w:beforeAutospacing="0" w:after="0" w:afterAutospacing="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1.《法律援助条例》第二十八条 律师有下列情形之一的，由司法行政部门给予警告、责令改正；情节严重的，给予1个月以上3个月以下停止执业的处罚： （一）无正当理由拒绝接受、擅自终止法律援助案件的； （二）办理法律援助案件收取财物的。 　　有前款第（二）项违法行为的，由司法行政部门责令退还违法所得的财物，可以并处所收财物价值1倍以上3倍以下的罚款。 </w:t>
            </w:r>
            <w:r>
              <w:rPr>
                <w:rFonts w:hint="eastAsia" w:ascii="仿宋" w:hAnsi="仿宋" w:eastAsia="仿宋" w:cs="仿宋"/>
                <w:kern w:val="2"/>
                <w:sz w:val="24"/>
                <w:szCs w:val="24"/>
              </w:rPr>
              <w:br w:type="textWrapping"/>
            </w:r>
            <w:r>
              <w:rPr>
                <w:rFonts w:hint="eastAsia" w:ascii="仿宋" w:hAnsi="仿宋" w:eastAsia="仿宋" w:cs="仿宋"/>
                <w:kern w:val="2"/>
                <w:sz w:val="24"/>
                <w:szCs w:val="24"/>
              </w:rPr>
              <w:t>2. 《河南省法律援助条例》第四十五条 法律援助人员在法律援助活动中有下列行为之一的，由司法行政部门依法给予警告并责令改正；有违法所得的，没收违法所得；情节严重的，给予停止执业一个月以上三个月以下的处罚： （一）收取受援人财物或牟取其他不正当利益的； （二）无正当理由，拖延或者终止办理法律援助事项的； （三）对承办的法律援助事项不负责任，造成受援人重大经济损失的； （四）假借法律援助机构名义从事非法律援助业务，造成不良影响的。 法律援助机构的人员有上述行为的，司法行政部门还应给予行政处分，构成犯罪的，依法追究刑事责任。</w:t>
            </w:r>
          </w:p>
          <w:p>
            <w:pPr>
              <w:widowControl/>
              <w:textAlignment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33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行政处罚</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sz w:val="24"/>
                <w:szCs w:val="24"/>
              </w:rPr>
              <w:t>法律服务机构拒绝法律援助机构指派的处罚</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sz w:val="24"/>
                <w:szCs w:val="24"/>
              </w:rPr>
              <w:t>1.《法律援助条例》（国务院令385号）第二十七条 律师事务所拒绝法律援助机构的指派，不安排本所律师办理法律援助案件的，由司法行政部门给予警告、责令改正；情节严重的，给予1个月以上3个月以下停业整顿的处罚。</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62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三</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强制</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605"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四</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征收</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359"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五</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给付</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共1项</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41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行政给付</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法律援助中心</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360" w:firstLineChars="150"/>
              <w:rPr>
                <w:rFonts w:hint="eastAsia" w:ascii="仿宋" w:hAnsi="仿宋" w:eastAsia="仿宋" w:cs="仿宋"/>
                <w:kern w:val="0"/>
                <w:sz w:val="24"/>
                <w:szCs w:val="24"/>
              </w:rPr>
            </w:pPr>
            <w:r>
              <w:rPr>
                <w:rFonts w:hint="eastAsia" w:ascii="仿宋" w:hAnsi="仿宋" w:eastAsia="仿宋" w:cs="仿宋"/>
                <w:kern w:val="0"/>
                <w:sz w:val="24"/>
                <w:szCs w:val="24"/>
              </w:rPr>
              <w:t>《法律援助条例》（2003年7月21日发布，国务院令第385号）第五条:直辖市、设区的市或者县级人民政府司法行政部门根据需要确定本行政区域的法律援助机构。法律援助机构负责受理、审查法律援助申请，指派或者安排人员为符合本条例规定的公民提供法律援助。</w:t>
            </w:r>
          </w:p>
          <w:p>
            <w:pPr>
              <w:widowControl/>
              <w:rPr>
                <w:rFonts w:hint="eastAsia" w:ascii="仿宋" w:hAnsi="仿宋" w:eastAsia="仿宋" w:cs="仿宋"/>
                <w:kern w:val="0"/>
                <w:sz w:val="24"/>
                <w:szCs w:val="24"/>
              </w:rPr>
            </w:pPr>
          </w:p>
          <w:p>
            <w:pPr>
              <w:jc w:val="center"/>
              <w:rPr>
                <w:rFonts w:hint="eastAsia" w:ascii="仿宋" w:hAnsi="仿宋" w:eastAsia="仿宋" w:cs="仿宋"/>
                <w:kern w:val="36"/>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335"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六</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裁决</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共1项</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53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行政裁决</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sz w:val="24"/>
                <w:szCs w:val="24"/>
              </w:rPr>
              <w:t>对法律援助申请异议的审查</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24"/>
                <w:szCs w:val="24"/>
              </w:rPr>
            </w:pPr>
            <w:r>
              <w:rPr>
                <w:rFonts w:hint="eastAsia" w:ascii="仿宋" w:hAnsi="仿宋" w:eastAsia="仿宋" w:cs="仿宋"/>
                <w:sz w:val="24"/>
                <w:szCs w:val="24"/>
              </w:rPr>
              <w:t>中华人民共和国司法部令第　124　号《办理法律援助案件程序规定》第十九条 申请人对法律援助机构不予法律援助的决定有异议的，可以向主管该法律援助机构的司法行政机关提出。司法行政机关经审查认为申请人符合法律援助条件的，应当以书面形式责令法律援助机构及时对该申请人提供法律援助，同时书面告知申请人；认为申请人不符合法律援助条件的，应当维持法律援助机构不予法律援助的决定，书面告知申请人并说明理由。</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575"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七</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确认</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515"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八</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奖励</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44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十</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其他行政权力</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9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（一）</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年检</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行政执法证、监督证的年检</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1、《中华人民共和国行政处罚法》第三十四条  执法人员当场做出行政处罚决定的，应当向当事人出示执法身份证件，填写预定格式、编有号码的行政处罚决定书。行政处罚决定书应当当场交付当事人。2、第五条行政执法证件由省人民政府统一制发,加盖河南省人民政府行政执法证件专用章。具体工作由省人民政府法制机构组织实施。3、第六条县级以上人民政府应当加强对行政执法证件的管理,对行政执法人员持证执法情况进行监督检查。县级以上人民政府法制机构具体负责行政执法证件的审核、发放和监督管理。4、第十四条县级以上人民政府法制机构应当每年组织行政执法人员进行公共法律知识培训考试;行政执法机关应当每年组织行政执法人员进行专业法律知识培训考试。5、第十五条行政执法证件有效期5年。行政执法证件实行年度审验,由县级以上人民政府法制机构分级组织实施。</w:t>
            </w:r>
          </w:p>
          <w:p>
            <w:pPr>
              <w:jc w:val="center"/>
              <w:rPr>
                <w:rFonts w:hint="eastAsia" w:ascii="仿宋" w:hAnsi="仿宋" w:eastAsia="仿宋" w:cs="仿宋"/>
                <w:color w:val="000000"/>
                <w:sz w:val="24"/>
                <w:szCs w:val="24"/>
              </w:rPr>
            </w:pPr>
          </w:p>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299"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（二）</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备案</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承担县政府规章向市政府和县人大常委会备案工作。</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0" w:afterAutospacing="0"/>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《河南省规章规范性文件备案办法》第六条 省、省辖市、县(市、区)人民政府法制机构在同级人民政府领导下，按照本办法的规定，负责规章、规范性文件备案审查工作，履行备案监督职责。</w:t>
            </w:r>
          </w:p>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818"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（三）</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财政专项资金分配</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41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（四）</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其他审批权</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521"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（五）审核</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转报</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53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（六）行政</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调解</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44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（七）行政监督检查</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共  5项</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2219"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行政监督</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对全县执法工作的检查、考核、以及对行政违法案件的查处、错案责任追究</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pStyle w:val="4"/>
              <w:shd w:val="clear" w:color="auto" w:fill="FFFFFF"/>
              <w:spacing w:before="0" w:beforeAutospacing="0" w:after="225" w:afterAutospacing="0" w:line="360" w:lineRule="atLeast"/>
              <w:ind w:firstLine="420"/>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《河南省行政机关执法条例》实施办法 第六条 县级以上人民政府统一领导本行政区域内的行政执法和行政执法监督工作。县级以上人民政府所属工作部门依照法律、法规、规章的规定，对下级人民政府所属相应工作部门的行政执法工作进行监督和指导。</w:t>
            </w:r>
          </w:p>
          <w:p>
            <w:pPr>
              <w:widowControl/>
              <w:textAlignment w:val="center"/>
              <w:rPr>
                <w:rFonts w:hint="eastAsia" w:ascii="仿宋" w:hAnsi="仿宋" w:eastAsia="仿宋" w:cs="仿宋"/>
                <w:color w:val="000000"/>
                <w:sz w:val="24"/>
                <w:szCs w:val="24"/>
              </w:rPr>
            </w:pPr>
            <w:r>
              <w:rPr>
                <w:rFonts w:hint="eastAsia" w:ascii="仿宋" w:hAnsi="仿宋" w:eastAsia="仿宋" w:cs="仿宋"/>
                <w:color w:val="333333"/>
                <w:sz w:val="24"/>
                <w:szCs w:val="24"/>
                <w:shd w:val="clear" w:color="auto" w:fill="FFFFFF"/>
              </w:rPr>
              <w:t>《河南省行政机关执法条例》实施办法 第五条 公民、法人或者其他组织认为行政机关和行政机关工作人员的具体行政行为侵犯其合法权益，有权依法申请行政复议或者提起行政诉讼。</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44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行政监督</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指导、监督本行政区域的基层法律服务工作</w:t>
            </w:r>
          </w:p>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sz w:val="24"/>
                <w:szCs w:val="24"/>
              </w:rPr>
              <w:t>《基层法律服务所管理办法》第四十条　基层法律服务所的日常执业活动和内部管理工作，由住所地的县级司法行政机关和所在乡镇、街道司法所负责指导和监督。县级司法行政机关和乡镇、街道司法所可以对基层法律服务所定期进行检查或者发现问题随时进行检查，可以要求基层法律服务所报告工作、说明情况、提交有关材料。基层法律服务所及其从业人员不得拒绝。</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783"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3</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行政监督</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sz w:val="24"/>
                <w:szCs w:val="24"/>
              </w:rPr>
            </w:pPr>
            <w:r>
              <w:rPr>
                <w:rFonts w:hint="eastAsia" w:ascii="仿宋" w:hAnsi="仿宋" w:eastAsia="仿宋" w:cs="仿宋"/>
                <w:sz w:val="24"/>
                <w:szCs w:val="24"/>
              </w:rPr>
              <w:t>对律师、律师事务所日常监督管理指导</w:t>
            </w:r>
          </w:p>
          <w:p>
            <w:pPr>
              <w:widowControl/>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sz w:val="24"/>
                <w:szCs w:val="24"/>
              </w:rPr>
              <w:t>《中华人民共和国律师法》第五十二条　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817"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4</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行政监督</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对公证机构、公证员进行监督、指导</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sz w:val="24"/>
                <w:szCs w:val="24"/>
              </w:rPr>
            </w:pPr>
            <w:r>
              <w:rPr>
                <w:rFonts w:hint="eastAsia" w:ascii="仿宋" w:hAnsi="仿宋" w:eastAsia="仿宋" w:cs="仿宋"/>
                <w:sz w:val="24"/>
                <w:szCs w:val="24"/>
              </w:rPr>
              <w:t>《中华人民共和国公证法》第五条司法行政部门依照本法规定对公证机构、公证员和公证协会进行监督、指导。《公证程序规则》中华人民共和国司法部令(第103号)第八条司法行政机关依照《公证法》和本规则规定，对公证机构和公证员的执业活动和遵守程序规则的情况进行监督、指导。公证协会依据章程和行业规范，对公证机构和公证员的执业活动和遵守程序规则的情况进行监督。</w:t>
            </w:r>
          </w:p>
          <w:p>
            <w:pPr>
              <w:widowControl/>
              <w:textAlignment w:val="center"/>
              <w:rPr>
                <w:rFonts w:hint="eastAsia" w:ascii="仿宋" w:hAnsi="仿宋" w:eastAsia="仿宋" w:cs="仿宋"/>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47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5</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行政监督</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对司法鉴定机构、鉴定人的监督管理</w:t>
            </w:r>
          </w:p>
          <w:p>
            <w:pPr>
              <w:widowControl/>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仿宋" w:hAnsi="仿宋" w:eastAsia="仿宋" w:cs="仿宋"/>
                <w:sz w:val="24"/>
                <w:szCs w:val="24"/>
              </w:rPr>
            </w:pPr>
            <w:r>
              <w:rPr>
                <w:rFonts w:hint="eastAsia" w:ascii="仿宋" w:hAnsi="仿宋" w:eastAsia="仿宋" w:cs="仿宋"/>
                <w:sz w:val="24"/>
                <w:szCs w:val="24"/>
              </w:rPr>
              <w:t>《司法鉴定机构登记管理办法》第三十三条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"http://baike.baidu.com/subview/1898/1898.htm" \t "_blank" </w:instrText>
            </w:r>
            <w:r>
              <w:rPr>
                <w:rFonts w:hint="eastAsia" w:ascii="仿宋" w:hAnsi="仿宋" w:eastAsia="仿宋" w:cs="仿宋"/>
                <w:sz w:val="24"/>
                <w:szCs w:val="24"/>
              </w:rPr>
              <w:fldChar w:fldCharType="separate"/>
            </w:r>
            <w:r>
              <w:rPr>
                <w:rFonts w:hint="eastAsia" w:ascii="仿宋" w:hAnsi="仿宋" w:eastAsia="仿宋" w:cs="仿宋"/>
                <w:sz w:val="24"/>
                <w:szCs w:val="24"/>
              </w:rPr>
              <w:t>司法行政机关</w:t>
            </w:r>
            <w:r>
              <w:rPr>
                <w:rFonts w:hint="eastAsia" w:ascii="仿宋" w:hAnsi="仿宋" w:eastAsia="仿宋" w:cs="仿宋"/>
                <w:sz w:val="24"/>
                <w:szCs w:val="24"/>
              </w:rPr>
              <w:fldChar w:fldCharType="end"/>
            </w:r>
            <w:r>
              <w:rPr>
                <w:rFonts w:hint="eastAsia" w:ascii="仿宋" w:hAnsi="仿宋" w:eastAsia="仿宋" w:cs="仿宋"/>
                <w:sz w:val="24"/>
                <w:szCs w:val="24"/>
              </w:rPr>
              <w:t>应当按照统一部署，依法对司法鉴定机构进行监督、检查。公民、法人和其他组织对司法鉴定机构违反本办法规定的行为进行举报、投诉的，司法行政机关应当及时进行监督、检查，并根据调查结果进行处理。《</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"http://baike.baidu.com/view/1280464.htm" \t "_blank" </w:instrText>
            </w:r>
            <w:r>
              <w:rPr>
                <w:rFonts w:hint="eastAsia" w:ascii="仿宋" w:hAnsi="仿宋" w:eastAsia="仿宋" w:cs="仿宋"/>
                <w:sz w:val="24"/>
                <w:szCs w:val="24"/>
              </w:rPr>
              <w:fldChar w:fldCharType="separate"/>
            </w:r>
            <w:r>
              <w:rPr>
                <w:rFonts w:hint="eastAsia" w:ascii="仿宋" w:hAnsi="仿宋" w:eastAsia="仿宋" w:cs="仿宋"/>
                <w:sz w:val="24"/>
                <w:szCs w:val="24"/>
              </w:rPr>
              <w:t>司法鉴定人</w:t>
            </w:r>
            <w:r>
              <w:rPr>
                <w:rFonts w:hint="eastAsia" w:ascii="仿宋" w:hAnsi="仿宋" w:eastAsia="仿宋" w:cs="仿宋"/>
                <w:sz w:val="24"/>
                <w:szCs w:val="24"/>
              </w:rPr>
              <w:fldChar w:fldCharType="end"/>
            </w:r>
            <w:r>
              <w:rPr>
                <w:rFonts w:hint="eastAsia" w:ascii="仿宋" w:hAnsi="仿宋" w:eastAsia="仿宋" w:cs="仿宋"/>
                <w:sz w:val="24"/>
                <w:szCs w:val="24"/>
              </w:rPr>
              <w:t>登记管理办法》第四条　司法鉴定管理实行行政管理与行业管理相结合的管理制度。司法行政机关对司法鉴定人及其执业活动进行指导、管理和监督、检查，司法鉴定行业协会依法进行自律管理。</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660"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（八）</w:t>
            </w:r>
          </w:p>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共4项</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931"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其它</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指导人民调解工作</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《中华人民共和国人民调解法》第五条　国务院司法行政部门负责指导全国的人民调解工作，县级以上地方人民政府司法行政部门负责指导本行政区域的人民调解工作。</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"http://baike.baidu.com/view/2201431.htm" \t "_blank" </w:instrText>
            </w:r>
            <w:r>
              <w:rPr>
                <w:rFonts w:hint="eastAsia" w:ascii="仿宋" w:hAnsi="仿宋" w:eastAsia="仿宋" w:cs="仿宋"/>
                <w:sz w:val="24"/>
                <w:szCs w:val="24"/>
              </w:rPr>
              <w:fldChar w:fldCharType="separate"/>
            </w:r>
            <w:r>
              <w:rPr>
                <w:rFonts w:hint="eastAsia" w:ascii="仿宋" w:hAnsi="仿宋" w:eastAsia="仿宋" w:cs="仿宋"/>
                <w:sz w:val="24"/>
                <w:szCs w:val="24"/>
              </w:rPr>
              <w:t>基层人民法院</w:t>
            </w:r>
            <w:r>
              <w:rPr>
                <w:rFonts w:hint="eastAsia" w:ascii="仿宋" w:hAnsi="仿宋" w:eastAsia="仿宋" w:cs="仿宋"/>
                <w:sz w:val="24"/>
                <w:szCs w:val="24"/>
              </w:rPr>
              <w:fldChar w:fldCharType="end"/>
            </w:r>
            <w:r>
              <w:rPr>
                <w:rFonts w:hint="eastAsia" w:ascii="仿宋" w:hAnsi="仿宋" w:eastAsia="仿宋" w:cs="仿宋"/>
                <w:sz w:val="24"/>
                <w:szCs w:val="24"/>
              </w:rPr>
              <w:t>对人民调解委员会调解民间纠纷进行业务指导。</w:t>
            </w:r>
          </w:p>
          <w:p>
            <w:pPr>
              <w:jc w:val="center"/>
              <w:rPr>
                <w:rFonts w:hint="eastAsia" w:ascii="仿宋" w:hAnsi="仿宋" w:eastAsia="仿宋" w:cs="仿宋"/>
                <w:sz w:val="24"/>
                <w:szCs w:val="24"/>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r>
        <w:tblPrEx>
          <w:tblCellMar>
            <w:top w:w="15" w:type="dxa"/>
            <w:left w:w="15" w:type="dxa"/>
            <w:bottom w:w="15" w:type="dxa"/>
            <w:right w:w="15" w:type="dxa"/>
          </w:tblCellMar>
        </w:tblPrEx>
        <w:trPr>
          <w:trHeight w:val="131" w:hRule="atLeast"/>
          <w:jc w:val="center"/>
        </w:trPr>
        <w:tc>
          <w:tcPr>
            <w:tcW w:w="6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其它</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指导管理、组织实施社区矫正工作</w:t>
            </w:r>
          </w:p>
        </w:tc>
        <w:tc>
          <w:tcPr>
            <w:tcW w:w="4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《社区矫正实施办法》 第三条 县级司法行政机关社区矫正机构对社区矫正人员进行监督管理和教育帮助。司法所承担社区矫正日常工作。</w:t>
            </w:r>
          </w:p>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 xml:space="preserve">  第四条 人民法院、人民检察院、公安机关、监狱对拟适用社区矫正的被告人、罪犯，需要调查其对所居住社区影响的，可以委托县级司法行政机关进行调查评估。</w:t>
            </w:r>
          </w:p>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 xml:space="preserve">  第十一条 社区矫正人员应当定期向司法所报告遵纪守法、接收监督管理、参加教育学习、社区服务和社会活动的情况。</w:t>
            </w:r>
          </w:p>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 xml:space="preserve">  第十二条 对人民法院禁止令确定需经批准才能进入的特定区域或者场所。第十三条 社区矫正人员未经批准不得离开所居住地的市、县。</w:t>
            </w:r>
          </w:p>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第十四条 社区矫正人员未经批准不得变更居住地的市、县。</w:t>
            </w:r>
          </w:p>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第十五条 社区矫正人员应当参加公共道德、法律常识、时事政策等教育学习活动。</w:t>
            </w:r>
          </w:p>
          <w:p>
            <w:pPr>
              <w:widowControl/>
              <w:shd w:val="clear" w:color="auto" w:fill="FFFFFF"/>
              <w:spacing w:line="360" w:lineRule="atLeast"/>
              <w:jc w:val="left"/>
              <w:rPr>
                <w:rFonts w:hint="eastAsia" w:ascii="仿宋" w:hAnsi="仿宋" w:eastAsia="仿宋" w:cs="仿宋"/>
                <w:sz w:val="24"/>
                <w:szCs w:val="24"/>
              </w:rPr>
            </w:pPr>
            <w:r>
              <w:rPr>
                <w:rFonts w:hint="eastAsia" w:ascii="仿宋" w:hAnsi="仿宋" w:eastAsia="仿宋" w:cs="仿宋"/>
                <w:sz w:val="24"/>
                <w:szCs w:val="24"/>
              </w:rPr>
              <w:t>第十六条 有劳动能力的社区矫正人员应当参加社区服务。</w:t>
            </w:r>
          </w:p>
          <w:p>
            <w:pPr>
              <w:widowControl/>
              <w:shd w:val="clear" w:color="auto" w:fill="FFFFFF"/>
              <w:spacing w:line="360" w:lineRule="atLeast"/>
              <w:jc w:val="left"/>
              <w:rPr>
                <w:rFonts w:hint="eastAsia" w:ascii="仿宋" w:hAnsi="仿宋" w:eastAsia="仿宋" w:cs="仿宋"/>
                <w:color w:val="000000"/>
                <w:sz w:val="24"/>
                <w:szCs w:val="24"/>
              </w:rPr>
            </w:pPr>
            <w:r>
              <w:rPr>
                <w:rFonts w:hint="eastAsia" w:ascii="仿宋" w:hAnsi="仿宋" w:eastAsia="仿宋" w:cs="仿宋"/>
                <w:sz w:val="24"/>
                <w:szCs w:val="24"/>
              </w:rPr>
              <w:t>《河南省社区矫正人员考核奖惩暂行办法》 第二十一条 对社区矫正人员的惩处包括：警告、治安管理处罚、撤销假释、撤销缓刑、收监执行。</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县司法局</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rPr>
            </w:pPr>
          </w:p>
        </w:tc>
      </w:tr>
    </w:tbl>
    <w:p>
      <w:pPr>
        <w:rPr>
          <w:rFonts w:hint="eastAsia"/>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E1D5E"/>
    <w:rsid w:val="13E844E4"/>
    <w:rsid w:val="13EF5835"/>
    <w:rsid w:val="15D10726"/>
    <w:rsid w:val="1AC633F3"/>
    <w:rsid w:val="2AF76E2B"/>
    <w:rsid w:val="314518D8"/>
    <w:rsid w:val="382856A9"/>
    <w:rsid w:val="39964C4D"/>
    <w:rsid w:val="3C7B32B0"/>
    <w:rsid w:val="41C20D2F"/>
    <w:rsid w:val="45E919AB"/>
    <w:rsid w:val="466664BE"/>
    <w:rsid w:val="4D6F5015"/>
    <w:rsid w:val="51AC7430"/>
    <w:rsid w:val="546930DE"/>
    <w:rsid w:val="55C6350E"/>
    <w:rsid w:val="6498548B"/>
    <w:rsid w:val="73C60528"/>
    <w:rsid w:val="7B0F3DDC"/>
    <w:rsid w:val="7F911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styleId="7">
    <w:name w:val="page number"/>
    <w:basedOn w:val="6"/>
    <w:uiPriority w:val="0"/>
    <w:rPr>
      <w:rFonts w:cs="Times New Roman"/>
    </w:rPr>
  </w:style>
  <w:style w:type="paragraph" w:customStyle="1" w:styleId="8">
    <w:name w:val="contentarticle"/>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2019-12-05T09:55:00Z</cp:lastPrinted>
  <dcterms:modified xsi:type="dcterms:W3CDTF">2019-12-27T09:12:23Z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