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1</w:t>
      </w:r>
    </w:p>
    <w:p>
      <w:pPr>
        <w:jc w:val="center"/>
        <w:rPr>
          <w:rFonts w:hint="eastAsia" w:ascii="宋体" w:hAnsi="宋体" w:cs="方正小标宋简体"/>
          <w:sz w:val="44"/>
          <w:szCs w:val="44"/>
        </w:rPr>
      </w:pPr>
      <w:r>
        <w:rPr>
          <w:rFonts w:hint="eastAsia" w:ascii="方正小标宋_GBK" w:hAnsi="方正小标宋_GBK" w:eastAsia="方正小标宋_GBK" w:cs="方正小标宋_GBK"/>
          <w:sz w:val="44"/>
          <w:szCs w:val="44"/>
        </w:rPr>
        <w:t>西华县</w:t>
      </w:r>
      <w:r>
        <w:rPr>
          <w:rFonts w:hint="eastAsia" w:ascii="方正小标宋_GBK" w:hAnsi="方正小标宋_GBK" w:eastAsia="方正小标宋_GBK" w:cs="方正小标宋_GBK"/>
          <w:sz w:val="44"/>
          <w:szCs w:val="44"/>
          <w:lang w:val="en-US" w:eastAsia="zh-CN"/>
        </w:rPr>
        <w:t>统计局</w:t>
      </w:r>
      <w:r>
        <w:rPr>
          <w:rFonts w:hint="eastAsia" w:ascii="方正小标宋_GBK" w:hAnsi="方正小标宋_GBK" w:eastAsia="方正小标宋_GBK" w:cs="方正小标宋_GBK"/>
          <w:sz w:val="44"/>
          <w:szCs w:val="44"/>
        </w:rPr>
        <w:t>权力清单</w:t>
      </w:r>
    </w:p>
    <w:p>
      <w:pPr>
        <w:jc w:val="center"/>
        <w:outlineLvl w:val="0"/>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行政权力登记表</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
        <w:gridCol w:w="2118"/>
        <w:gridCol w:w="4914"/>
        <w:gridCol w:w="10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序</w:t>
            </w:r>
          </w:p>
          <w:p>
            <w:pPr>
              <w:jc w:val="center"/>
              <w:rPr>
                <w:rFonts w:hint="eastAsia" w:ascii="仿宋" w:hAnsi="仿宋" w:eastAsia="仿宋" w:cs="仿宋"/>
                <w:bCs/>
                <w:sz w:val="24"/>
                <w:szCs w:val="24"/>
              </w:rPr>
            </w:pPr>
            <w:r>
              <w:rPr>
                <w:rFonts w:hint="eastAsia" w:ascii="仿宋" w:hAnsi="仿宋" w:eastAsia="仿宋" w:cs="仿宋"/>
                <w:bCs/>
                <w:sz w:val="24"/>
                <w:szCs w:val="24"/>
              </w:rPr>
              <w:t>号</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职权名称</w:t>
            </w: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事  实  依  据</w:t>
            </w: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承办机构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一</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行政许可</w:t>
            </w:r>
            <w:r>
              <w:rPr>
                <w:rFonts w:hint="eastAsia" w:ascii="仿宋" w:hAnsi="仿宋" w:eastAsia="仿宋" w:cs="仿宋"/>
                <w:sz w:val="24"/>
                <w:szCs w:val="24"/>
                <w:lang w:val="en-US" w:eastAsia="zh-CN"/>
              </w:rPr>
              <w:t>()</w:t>
            </w: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二</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行政处罚</w:t>
            </w: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拒不配合统计调查的处罚</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《中华人民共和国统计法》第四十一条 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w:t>
            </w:r>
          </w:p>
          <w:p>
            <w:pPr>
              <w:rPr>
                <w:rFonts w:hint="eastAsia" w:ascii="仿宋" w:hAnsi="仿宋" w:eastAsia="仿宋" w:cs="仿宋"/>
                <w:sz w:val="24"/>
                <w:szCs w:val="24"/>
              </w:rPr>
            </w:pPr>
            <w:r>
              <w:rPr>
                <w:rFonts w:hint="eastAsia" w:ascii="仿宋" w:hAnsi="仿宋" w:eastAsia="仿宋" w:cs="仿宋"/>
                <w:sz w:val="24"/>
                <w:szCs w:val="24"/>
              </w:rPr>
              <w:t>（一）拒绝提供统计资料或者经催报后仍未按时提供统计资料的；</w:t>
            </w:r>
          </w:p>
          <w:p>
            <w:pPr>
              <w:rPr>
                <w:rFonts w:hint="eastAsia" w:ascii="仿宋" w:hAnsi="仿宋" w:eastAsia="仿宋" w:cs="仿宋"/>
                <w:sz w:val="24"/>
                <w:szCs w:val="24"/>
              </w:rPr>
            </w:pPr>
            <w:r>
              <w:rPr>
                <w:rFonts w:hint="eastAsia" w:ascii="仿宋" w:hAnsi="仿宋" w:eastAsia="仿宋" w:cs="仿宋"/>
                <w:sz w:val="24"/>
                <w:szCs w:val="24"/>
              </w:rPr>
              <w:t>（二）提供不真实或者不完整的统计资料的；                                                                                                                                 （三）拒绝答复或者不如实答复统计检查查询书的；</w:t>
            </w:r>
          </w:p>
          <w:p>
            <w:pPr>
              <w:rPr>
                <w:rFonts w:hint="eastAsia" w:ascii="仿宋" w:hAnsi="仿宋" w:eastAsia="仿宋" w:cs="仿宋"/>
                <w:sz w:val="24"/>
                <w:szCs w:val="24"/>
              </w:rPr>
            </w:pPr>
            <w:r>
              <w:rPr>
                <w:rFonts w:hint="eastAsia" w:ascii="仿宋" w:hAnsi="仿宋" w:eastAsia="仿宋" w:cs="仿宋"/>
                <w:sz w:val="24"/>
                <w:szCs w:val="24"/>
              </w:rPr>
              <w:t>（四）拒绝、阻碍统计调查、统计检查的；</w:t>
            </w:r>
          </w:p>
          <w:p>
            <w:pPr>
              <w:rPr>
                <w:rFonts w:hint="eastAsia" w:ascii="仿宋" w:hAnsi="仿宋" w:eastAsia="仿宋" w:cs="仿宋"/>
                <w:sz w:val="24"/>
                <w:szCs w:val="24"/>
              </w:rPr>
            </w:pPr>
            <w:r>
              <w:rPr>
                <w:rFonts w:hint="eastAsia" w:ascii="仿宋" w:hAnsi="仿宋" w:eastAsia="仿宋" w:cs="仿宋"/>
                <w:sz w:val="24"/>
                <w:szCs w:val="24"/>
              </w:rPr>
              <w:t>（五）转移、隐匿、篡改、毁弃或者拒绝提供原始记录和凭证、统计台账、统计调查表及其他相关证明和资料的。</w:t>
            </w:r>
          </w:p>
          <w:p>
            <w:pPr>
              <w:rPr>
                <w:rFonts w:hint="eastAsia" w:ascii="仿宋" w:hAnsi="仿宋" w:eastAsia="仿宋" w:cs="仿宋"/>
                <w:sz w:val="24"/>
                <w:szCs w:val="24"/>
              </w:rPr>
            </w:pPr>
            <w:r>
              <w:rPr>
                <w:rFonts w:hint="eastAsia" w:ascii="仿宋" w:hAnsi="仿宋" w:eastAsia="仿宋" w:cs="仿宋"/>
                <w:sz w:val="24"/>
                <w:szCs w:val="24"/>
              </w:rPr>
              <w:t xml:space="preserve">  企业事业单位或者其他组织有前款所列行为之一的，可以并处五万元以下的罚款；情节严重的，并处五万元以上二十万元以下的罚款。</w:t>
            </w:r>
          </w:p>
          <w:p>
            <w:pPr>
              <w:rPr>
                <w:rFonts w:hint="eastAsia" w:ascii="仿宋" w:hAnsi="仿宋" w:eastAsia="仿宋" w:cs="仿宋"/>
                <w:sz w:val="24"/>
                <w:szCs w:val="24"/>
              </w:rPr>
            </w:pPr>
            <w:r>
              <w:rPr>
                <w:rFonts w:hint="eastAsia" w:ascii="仿宋" w:hAnsi="仿宋" w:eastAsia="仿宋" w:cs="仿宋"/>
                <w:sz w:val="24"/>
                <w:szCs w:val="24"/>
              </w:rPr>
              <w:t xml:space="preserve">  个体工商户有本条第一款所列行为之一的，由县级以上人民政府统计机构责令改正，给予警告，可以并处一万元以下的罚款。</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统计局法规股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对迟报统计资料，或者未按照国家有关规定设置原始记录、统计台帐的行为的处罚</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《中华人民共和国统计法》第四十二条　作为统计调查对象的国家机关、企业事业单位或者其他组织迟报统计资料，或者未按照国家有关规定设置原始记录、统计台账的，由县级以上人民政府统计机构责令改正，给予警告。</w:t>
            </w:r>
          </w:p>
          <w:p>
            <w:pPr>
              <w:rPr>
                <w:rFonts w:hint="eastAsia" w:ascii="仿宋" w:hAnsi="仿宋" w:eastAsia="仿宋" w:cs="仿宋"/>
                <w:sz w:val="24"/>
                <w:szCs w:val="24"/>
              </w:rPr>
            </w:pPr>
            <w:r>
              <w:rPr>
                <w:rFonts w:hint="eastAsia" w:ascii="仿宋" w:hAnsi="仿宋" w:eastAsia="仿宋" w:cs="仿宋"/>
                <w:sz w:val="24"/>
                <w:szCs w:val="24"/>
              </w:rPr>
              <w:t xml:space="preserve">  企业事业单位或者其他组织有前款所列行为之一的，可以并处一万元以下的罚款。</w:t>
            </w:r>
          </w:p>
          <w:p>
            <w:pPr>
              <w:rPr>
                <w:rFonts w:hint="eastAsia" w:ascii="仿宋" w:hAnsi="仿宋" w:eastAsia="仿宋" w:cs="仿宋"/>
                <w:sz w:val="24"/>
                <w:szCs w:val="24"/>
              </w:rPr>
            </w:pPr>
            <w:r>
              <w:rPr>
                <w:rFonts w:hint="eastAsia" w:ascii="仿宋" w:hAnsi="仿宋" w:eastAsia="仿宋" w:cs="仿宋"/>
                <w:sz w:val="24"/>
                <w:szCs w:val="24"/>
              </w:rPr>
              <w:t>个体工商户迟报统计资料的，由县级以上人民政府统计机构责令改正，给予警告，可以并处一千元以下的罚款。</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统计局法规股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三</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rPr>
              <w:t>行政强制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四</w:t>
            </w:r>
          </w:p>
        </w:tc>
        <w:tc>
          <w:tcPr>
            <w:tcW w:w="0" w:type="auto"/>
            <w:tcBorders>
              <w:top w:val="single" w:color="auto" w:sz="4" w:space="0"/>
              <w:left w:val="single" w:color="000000" w:sz="4" w:space="0"/>
              <w:bottom w:val="single" w:color="auto" w:sz="4" w:space="0"/>
              <w:right w:val="single" w:color="000000" w:sz="4" w:space="0"/>
            </w:tcBorders>
            <w:noWrap w:val="0"/>
            <w:vAlign w:val="center"/>
          </w:tcPr>
          <w:p>
            <w:pPr>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行政征收（</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p>
        </w:tc>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五</w:t>
            </w:r>
          </w:p>
        </w:tc>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行政给付</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六</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行政确认</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七</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行政监督检查（</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统计监督检查、调查统计违法行为和核查统计数据</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1、《中华人民共和国统计法》第三十五条 县级以上人民政府统计机构在调查统计违法行为或者核查统计数据时，有权采取下列措施：</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（一）发出统计检查查询书，向检查对象查询有关事项；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（二）要求检查对象提供有关原始记录和凭证、统计台账、统计调查表、会计资料及其他相关证明和资料；</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（三）就与检查有关的事项询问有关人员；</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（四）进入检查对象的业务场所和统计数据处理信息系统进行检查、核对；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（五）经本机构负责人批准，登记保存检查对象的有关原始记录和凭证、统计台账、统计调查表、会计资料及其他相关证明和资料；</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（六）对与检查事项有关的情况和资料进行记录、录音、录像、照相和复制。</w:t>
            </w:r>
          </w:p>
          <w:p>
            <w:pPr>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sz w:val="24"/>
                <w:szCs w:val="24"/>
              </w:rPr>
              <w:t>县级以上人民政府统计机构进行监督检查时，监督检查人员不得少于二人，并应当出示执法证件；未出示的，有关单位和个人有权拒绝检查。             2、《河南省统计管理条例》第四条：“县级以上人民政府统计机构负责本行政区域内统计工作的组织实施、管理协调和监督检查。”                                     3、《河南省统计管理条例》第三十七条  县级以上人民政府统计机构依法进行检查时，有权要求检查对象如实提供检查所需要的原始记录和凭证、统计台账、统计调查表、会计资料及其他相关证明和资料，在检查期间内，可以按照程序要求检查对象将有关资料送至指定地点接受检查。</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统计局法规股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八</w:t>
            </w: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其他职权</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p>
        </w:tc>
        <w:tc>
          <w:tcPr>
            <w:tcW w:w="0" w:type="auto"/>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ab/>
            </w:r>
            <w:r>
              <w:rPr>
                <w:rFonts w:hint="eastAsia" w:ascii="仿宋" w:hAnsi="仿宋" w:eastAsia="仿宋" w:cs="仿宋"/>
                <w:sz w:val="24"/>
                <w:szCs w:val="24"/>
                <w:lang w:eastAsia="zh-CN"/>
              </w:rPr>
              <w:t>（一）</w:t>
            </w:r>
            <w:r>
              <w:rPr>
                <w:rFonts w:hint="eastAsia" w:ascii="仿宋" w:hAnsi="仿宋" w:eastAsia="仿宋" w:cs="仿宋"/>
                <w:sz w:val="24"/>
                <w:szCs w:val="24"/>
              </w:rPr>
              <w:t>行政奖励</w:t>
            </w:r>
            <w:r>
              <w:rPr>
                <w:rFonts w:hint="eastAsia" w:ascii="仿宋" w:hAnsi="仿宋" w:eastAsia="仿宋" w:cs="仿宋"/>
                <w:sz w:val="24"/>
                <w:szCs w:val="24"/>
                <w:lang w:eastAsia="zh-CN"/>
              </w:rPr>
              <w:tab/>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7"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0" w:type="auto"/>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对在统计工作中作出突出贡献，取得显著成绩的单位和个人，应当按照有关规定给予表彰和奖励。</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  《中华人民共和国统计法实施条例》第三十五条　对在统计工作中做出突出贡献、取得显著成绩的单位和个人，按照国家有关规定给予表彰和奖励。                              《河南省统计管理条例》第十七条  对在统计工作中作出突出贡献，取得显著成绩的单位和个人，应当按照有关规定给予表彰和奖励。</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统计局办公室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对人口普查、农业普查、经济普查作出显著成绩或突出贡献的单位、个人和先进集体给予的表彰和奖励</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《全国人口普查条例》第十条　对认真执行本条例，忠于职守、坚持原则，做出显著成绩的单位和个人，按照国家有关规定给予表彰和奖励。</w:t>
            </w:r>
          </w:p>
          <w:p>
            <w:pPr>
              <w:rPr>
                <w:rFonts w:hint="eastAsia" w:ascii="仿宋" w:hAnsi="仿宋" w:eastAsia="仿宋" w:cs="仿宋"/>
                <w:sz w:val="24"/>
                <w:szCs w:val="24"/>
              </w:rPr>
            </w:pPr>
            <w:r>
              <w:rPr>
                <w:rFonts w:hint="eastAsia" w:ascii="仿宋" w:hAnsi="仿宋" w:eastAsia="仿宋" w:cs="仿宋"/>
                <w:sz w:val="24"/>
                <w:szCs w:val="24"/>
              </w:rPr>
              <w:t>《全国农业普查条例》第三十六条 对认真执行本条例，忠于职守，坚持原则，做出显著成绩的单位和个人，应当给予奖励。</w:t>
            </w:r>
          </w:p>
          <w:p>
            <w:pPr>
              <w:rPr>
                <w:rFonts w:hint="eastAsia" w:ascii="仿宋" w:hAnsi="仿宋" w:eastAsia="仿宋" w:cs="仿宋"/>
                <w:sz w:val="24"/>
                <w:szCs w:val="24"/>
              </w:rPr>
            </w:pPr>
            <w:r>
              <w:rPr>
                <w:rFonts w:hint="eastAsia" w:ascii="仿宋" w:hAnsi="仿宋" w:eastAsia="仿宋" w:cs="仿宋"/>
                <w:sz w:val="24"/>
                <w:szCs w:val="24"/>
              </w:rPr>
              <w:t>《全国经济普查条例》第三十四条 对在经济普查工作中贡献突出的先进集体和先进个人，由各级经济普查机构给予表彰和奖励。</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统计局社会股、农业股、综合股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000000" w:sz="4" w:space="0"/>
            </w:tcBorders>
            <w:noWrap w:val="0"/>
            <w:vAlign w:val="center"/>
          </w:tcPr>
          <w:p>
            <w:pPr>
              <w:numPr>
                <w:ilvl w:val="0"/>
                <w:numId w:val="0"/>
              </w:numPr>
              <w:ind w:leftChars="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年检</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p>
            <w:pPr>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000000" w:sz="4" w:space="0"/>
            </w:tcBorders>
            <w:noWrap w:val="0"/>
            <w:vAlign w:val="center"/>
          </w:tcPr>
          <w:p>
            <w:pPr>
              <w:numPr>
                <w:ilvl w:val="0"/>
                <w:numId w:val="0"/>
              </w:numPr>
              <w:ind w:leftChars="0"/>
              <w:jc w:val="both"/>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备案</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p>
          <w:p>
            <w:pPr>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１</w:t>
            </w:r>
          </w:p>
        </w:tc>
        <w:tc>
          <w:tcPr>
            <w:tcW w:w="0" w:type="auto"/>
            <w:tcBorders>
              <w:top w:val="single" w:color="auto" w:sz="4" w:space="0"/>
              <w:left w:val="single" w:color="000000" w:sz="4" w:space="0"/>
              <w:bottom w:val="single" w:color="auto" w:sz="4" w:space="0"/>
              <w:right w:val="single" w:color="000000" w:sz="4" w:space="0"/>
            </w:tcBorders>
            <w:noWrap w:val="0"/>
            <w:vAlign w:val="top"/>
          </w:tcPr>
          <w:p>
            <w:pPr>
              <w:rPr>
                <w:rFonts w:hint="eastAsia" w:ascii="仿宋" w:hAnsi="仿宋" w:eastAsia="仿宋" w:cs="仿宋"/>
                <w:sz w:val="24"/>
                <w:szCs w:val="24"/>
              </w:rPr>
            </w:pPr>
            <w:r>
              <w:rPr>
                <w:rFonts w:hint="eastAsia" w:ascii="仿宋" w:hAnsi="仿宋" w:eastAsia="仿宋" w:cs="仿宋"/>
                <w:sz w:val="24"/>
                <w:szCs w:val="24"/>
              </w:rPr>
              <w:t>政府部门公布统计数据备案</w:t>
            </w:r>
          </w:p>
        </w:tc>
        <w:tc>
          <w:tcPr>
            <w:tcW w:w="0" w:type="auto"/>
            <w:tcBorders>
              <w:top w:val="single" w:color="auto" w:sz="4" w:space="0"/>
              <w:left w:val="single" w:color="000000" w:sz="4" w:space="0"/>
              <w:bottom w:val="single" w:color="auto" w:sz="4" w:space="0"/>
              <w:right w:val="single" w:color="auto" w:sz="4" w:space="0"/>
            </w:tcBorders>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《河南省统计管理条例》第三十条：县级以上人民政府有关部门公布统计数据，应当自公布之日起十日内报同级人民政府统计机构备案。                                  </w:t>
            </w:r>
          </w:p>
        </w:tc>
        <w:tc>
          <w:tcPr>
            <w:tcW w:w="0" w:type="auto"/>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统计局综合股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）财政专项资金分配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p>
            <w:pPr>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0" w:type="auto"/>
            <w:tcBorders>
              <w:top w:val="single" w:color="auto"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widowControl/>
              <w:jc w:val="center"/>
              <w:rPr>
                <w:rFonts w:hint="eastAsia" w:ascii="仿宋" w:hAnsi="仿宋" w:eastAsia="仿宋" w:cs="仿宋"/>
                <w:sz w:val="24"/>
                <w:szCs w:val="24"/>
              </w:rPr>
            </w:pPr>
          </w:p>
        </w:tc>
        <w:tc>
          <w:tcPr>
            <w:tcW w:w="0" w:type="auto"/>
            <w:noWrap w:val="0"/>
            <w:vAlign w:val="center"/>
          </w:tcPr>
          <w:p>
            <w:pPr>
              <w:widowControl/>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）其他</w:t>
            </w:r>
            <w:r>
              <w:rPr>
                <w:rFonts w:hint="eastAsia" w:ascii="仿宋" w:hAnsi="仿宋" w:eastAsia="仿宋" w:cs="仿宋"/>
                <w:sz w:val="24"/>
                <w:szCs w:val="24"/>
                <w:lang w:eastAsia="zh-CN"/>
              </w:rPr>
              <w:t>事项核准（</w:t>
            </w:r>
            <w:r>
              <w:rPr>
                <w:rFonts w:hint="eastAsia" w:ascii="仿宋" w:hAnsi="仿宋" w:eastAsia="仿宋" w:cs="仿宋"/>
                <w:sz w:val="24"/>
                <w:szCs w:val="24"/>
                <w:lang w:val="en-US" w:eastAsia="zh-CN"/>
              </w:rPr>
              <w:t>0</w:t>
            </w:r>
            <w:r>
              <w:rPr>
                <w:rFonts w:hint="eastAsia" w:ascii="仿宋" w:hAnsi="仿宋" w:eastAsia="仿宋" w:cs="仿宋"/>
                <w:sz w:val="24"/>
                <w:szCs w:val="24"/>
                <w:lang w:eastAsia="zh-CN"/>
              </w:rPr>
              <w:t>）</w:t>
            </w:r>
          </w:p>
        </w:tc>
        <w:tc>
          <w:tcPr>
            <w:tcW w:w="0" w:type="auto"/>
            <w:noWrap w:val="0"/>
            <w:vAlign w:val="top"/>
          </w:tcPr>
          <w:p>
            <w:pPr>
              <w:widowControl/>
              <w:rPr>
                <w:rFonts w:hint="eastAsia" w:ascii="仿宋" w:hAnsi="仿宋" w:eastAsia="仿宋" w:cs="仿宋"/>
                <w:sz w:val="24"/>
                <w:szCs w:val="24"/>
              </w:rPr>
            </w:pPr>
          </w:p>
        </w:tc>
        <w:tc>
          <w:tcPr>
            <w:tcW w:w="0" w:type="auto"/>
            <w:noWrap w:val="0"/>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0"/>
            <w:vAlign w:val="center"/>
          </w:tcPr>
          <w:p>
            <w:pPr>
              <w:jc w:val="center"/>
              <w:rPr>
                <w:rFonts w:hint="eastAsia" w:ascii="仿宋" w:hAnsi="仿宋" w:eastAsia="仿宋" w:cs="仿宋"/>
                <w:sz w:val="24"/>
                <w:szCs w:val="24"/>
              </w:rPr>
            </w:pPr>
          </w:p>
        </w:tc>
        <w:tc>
          <w:tcPr>
            <w:tcW w:w="0" w:type="auto"/>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六</w:t>
            </w:r>
            <w:r>
              <w:rPr>
                <w:rFonts w:hint="eastAsia" w:ascii="仿宋" w:hAnsi="仿宋" w:eastAsia="仿宋" w:cs="仿宋"/>
                <w:sz w:val="24"/>
                <w:szCs w:val="24"/>
              </w:rPr>
              <w:t>）审核转报</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  </w:t>
            </w:r>
          </w:p>
        </w:tc>
        <w:tc>
          <w:tcPr>
            <w:tcW w:w="0" w:type="auto"/>
            <w:noWrap w:val="0"/>
            <w:vAlign w:val="top"/>
          </w:tcPr>
          <w:p>
            <w:pPr>
              <w:widowControl/>
              <w:rPr>
                <w:rFonts w:hint="eastAsia" w:ascii="仿宋" w:hAnsi="仿宋" w:eastAsia="仿宋" w:cs="仿宋"/>
                <w:sz w:val="24"/>
                <w:szCs w:val="24"/>
              </w:rPr>
            </w:pPr>
          </w:p>
        </w:tc>
        <w:tc>
          <w:tcPr>
            <w:tcW w:w="0" w:type="auto"/>
            <w:noWrap w:val="0"/>
            <w:vAlign w:val="center"/>
          </w:tcPr>
          <w:p>
            <w:pPr>
              <w:widowControl/>
              <w:jc w:val="center"/>
              <w:rPr>
                <w:rFonts w:hint="eastAsia" w:ascii="仿宋" w:hAnsi="仿宋" w:eastAsia="仿宋" w:cs="仿宋"/>
                <w:sz w:val="24"/>
                <w:szCs w:val="24"/>
              </w:rPr>
            </w:pPr>
          </w:p>
        </w:tc>
      </w:tr>
    </w:tbl>
    <w:p/>
    <w:p>
      <w:pPr>
        <w:pStyle w:val="2"/>
      </w:pPr>
    </w:p>
    <w:p/>
    <w:p>
      <w:pPr>
        <w:pStyle w:val="2"/>
      </w:pPr>
    </w:p>
    <w:p/>
    <w:p>
      <w:pPr>
        <w:pStyle w:val="2"/>
      </w:pPr>
    </w:p>
    <w:p/>
    <w:p>
      <w:pPr>
        <w:pStyle w:val="2"/>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25EFE"/>
    <w:rsid w:val="12C14A79"/>
    <w:rsid w:val="24CC7E73"/>
    <w:rsid w:val="2A905388"/>
    <w:rsid w:val="2AF76E2B"/>
    <w:rsid w:val="45E919AB"/>
    <w:rsid w:val="62417174"/>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2019-12-25T04:52:00Z</cp:lastPrinted>
  <dcterms:modified xsi:type="dcterms:W3CDTF">2019-12-27T09:12:41Z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