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仿宋" w:hAnsi="仿宋" w:eastAsia="仿宋" w:cs="仿宋"/>
          <w:sz w:val="28"/>
          <w:szCs w:val="28"/>
          <w:lang w:val="en-US" w:eastAsia="zh-CN"/>
        </w:rPr>
      </w:pPr>
      <w:r>
        <w:rPr>
          <w:rFonts w:hint="eastAsia" w:ascii="仿宋" w:hAnsi="仿宋" w:eastAsia="仿宋" w:cs="仿宋"/>
          <w:sz w:val="28"/>
          <w:szCs w:val="28"/>
          <w:lang w:eastAsia="zh-CN"/>
        </w:rPr>
        <w:t>附件</w:t>
      </w:r>
      <w:r>
        <w:rPr>
          <w:rFonts w:hint="eastAsia" w:ascii="仿宋" w:hAnsi="仿宋" w:eastAsia="仿宋" w:cs="仿宋"/>
          <w:sz w:val="28"/>
          <w:szCs w:val="28"/>
          <w:lang w:val="en-US" w:eastAsia="zh-CN"/>
        </w:rPr>
        <w:t>1</w:t>
      </w:r>
    </w:p>
    <w:p>
      <w:pPr>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西华县</w:t>
      </w:r>
      <w:r>
        <w:rPr>
          <w:rFonts w:hint="eastAsia" w:ascii="方正小标宋_GBK" w:hAnsi="方正小标宋_GBK" w:eastAsia="方正小标宋_GBK" w:cs="方正小标宋_GBK"/>
          <w:sz w:val="36"/>
          <w:szCs w:val="36"/>
          <w:lang w:val="en-US" w:eastAsia="zh-CN"/>
        </w:rPr>
        <w:t>卫生健康委员会</w:t>
      </w:r>
      <w:r>
        <w:rPr>
          <w:rFonts w:hint="eastAsia" w:ascii="方正小标宋_GBK" w:hAnsi="方正小标宋_GBK" w:eastAsia="方正小标宋_GBK" w:cs="方正小标宋_GBK"/>
          <w:sz w:val="36"/>
          <w:szCs w:val="36"/>
        </w:rPr>
        <w:t>权力清单</w:t>
      </w:r>
    </w:p>
    <w:p>
      <w:pPr>
        <w:jc w:val="center"/>
        <w:rPr>
          <w:rFonts w:hint="eastAsia" w:asciiTheme="minorEastAsia" w:hAnsiTheme="minorEastAsia" w:eastAsiaTheme="minorEastAsia" w:cstheme="minorEastAsia"/>
          <w:szCs w:val="21"/>
        </w:rPr>
      </w:pPr>
    </w:p>
    <w:p>
      <w:pPr>
        <w:jc w:val="center"/>
        <w:outlineLvl w:val="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（一）</w:t>
      </w:r>
      <w:r>
        <w:rPr>
          <w:rFonts w:hint="eastAsia" w:asciiTheme="minorEastAsia" w:hAnsiTheme="minorEastAsia" w:eastAsiaTheme="minorEastAsia" w:cstheme="minorEastAsia"/>
          <w:sz w:val="32"/>
          <w:szCs w:val="32"/>
        </w:rPr>
        <w:t>行政权力登记表</w:t>
      </w:r>
    </w:p>
    <w:tbl>
      <w:tblPr>
        <w:tblStyle w:val="3"/>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7"/>
        <w:gridCol w:w="1835"/>
        <w:gridCol w:w="5545"/>
        <w:gridCol w:w="6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4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序</w:t>
            </w:r>
          </w:p>
          <w:p>
            <w:pPr>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号</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职权名称</w:t>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事  实  依  据</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承办机构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一</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行政许可</w:t>
            </w:r>
            <w:r>
              <w:rPr>
                <w:rFonts w:hint="eastAsia" w:ascii="仿宋" w:hAnsi="仿宋" w:eastAsia="仿宋" w:cs="仿宋"/>
                <w:color w:val="000000" w:themeColor="text1"/>
                <w:sz w:val="24"/>
                <w:szCs w:val="24"/>
                <w:lang w:val="en-US" w:eastAsia="zh-CN"/>
                <w14:textFill>
                  <w14:solidFill>
                    <w14:schemeClr w14:val="tx1"/>
                  </w14:solidFill>
                </w14:textFill>
              </w:rPr>
              <w:t>(34)</w:t>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instrText xml:space="preserve"> HYPERLINK "http://zkxh.hnzwfw.gov.cn/art/2018/10/3/art_36891_781816.html" \o "饮用水供水单位卫生许可" \t "http://zkxh.hnzwfw.gov.cn/hnzw/bmft/index/_blank" </w:instrTex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饮用水供水单位卫生许可</w: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中华人民共和国传染病防治法》（1989年2月21日主席令第十五号，2013年6月29日予以修改）第二十九条：……饮用水供水单位从事生产或者供应活动，应当依法取得卫生许可证</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instrText xml:space="preserve"> HYPERLINK "http://zkxh.hnzwfw.gov.cn/art/2018/10/3/art_36891_784595.html" \o "饮用水供水单位卫生许可（变更）" \t "http://zkxh.hnzwfw.gov.cn/hnzw/bmft/index/_blank" </w:instrTex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饮用水供水单位卫生许可（变更）</w: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《中华人民共和国传染病防治法》（1989年2月21日主席令第十五号，2013年6月29日予以修改）第二十九条：……饮用水供水单位从事生产或者供应活动，应当依法取得卫生许可证</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45" w:hRule="atLeast"/>
        </w:trPr>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instrText xml:space="preserve"> HYPERLINK "http://zkxh.hnzwfw.gov.cn/art/2018/10/8/art_36891_857468.html" \o "饮用水供水单位卫生许可（延续）" \t "http://zkxh.hnzwfw.gov.cn/hnzw/bmft/index/_blank" </w:instrTex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饮用水供水单位卫生许可（延续）</w: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《中华人民共和国传染病防治法》（1989年2月21日主席令第十五号，2013年6月29日予以修改）第二十九条：……饮用水供水单位从事生产或者供应活动，应当依法取得卫生许可证。</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4</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instrText xml:space="preserve"> HYPERLINK "http://zkxh.hnzwfw.gov.cn/art/2019/7/15/art_36891_28358765.html" \o "母婴保健服务人员（助产技术、结扎、终止妊娠手术）资格认定" \t "http://zkxh.hnzwfw.gov.cn/hnzw/bmft/index/_blank" </w:instrTex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t>母婴保健服务人员（助产技术、结扎、终止妊娠手术）资格认定</w: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中华人民共和国母婴保健法》（1994年10月27日主席令第三十三号，2017年11月4日予以修改）第三十三条：从事本法规定的遗传病诊断、产前诊断的人员，必须经过省、自治区、直辖市人民政府卫生行政部门的考核，并取得相应的合格证书。从事本法规定的婚前医学检查、施行结扎手术和终止妊娠手术的人员以及从事家庭接生的人员，必须经过县级以上地方人民政府卫生行政部门的考核，并取得相应的合格证书。 《计划生育技术服务管理条例》（2001年6月13日国务院令第309号，2004年12月10日予以修改）第二十九条：计划生育技术服务人员中依据本条例的规定从事与计划生育有关的临床服务人员，应当依照执业医师法和国家有关护士管理的规定，分别取得执业医师、执业助理医师、乡村医生或者护士的资格，并在依照本条例设立的机构中执业。在计划生育技术服务机构执业的执业医师和执业助理医师应当依照执业医师法的规定向所在地县级以上地方人民政府卫生行政部门申请注册。具体办法由国务院计划生育行政部门、卫生行政部门共同制定。</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w:t>
            </w:r>
            <w:r>
              <w:rPr>
                <w:rFonts w:hint="eastAsia" w:ascii="仿宋" w:hAnsi="仿宋" w:eastAsia="仿宋" w:cs="仿宋"/>
                <w:color w:val="000000" w:themeColor="text1"/>
                <w:sz w:val="24"/>
                <w:szCs w:val="24"/>
                <w:lang w:eastAsia="zh-CN"/>
                <w14:textFill>
                  <w14:solidFill>
                    <w14:schemeClr w14:val="tx1"/>
                  </w14:solidFill>
                </w14:textFill>
              </w:rPr>
              <w:t>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5</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instrText xml:space="preserve"> HYPERLINK "http://zkxh.hnzwfw.gov.cn/art/2019/7/15/art_36891_28359029.html" \o "母婴保健技术服务（助产技术、结扎、终止妊娠手术）机构执业许可" \t "http://zkxh.hnzwfw.gov.cn/hnzw/bmft/index/_blank" </w:instrTex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母婴保健技术服务（助产技术、结扎、终止妊娠手术）机构执业许可</w: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中华人民共和国母婴保健法》（1994年10月27日主席令第三十三号，2017年11月4日予以修改）第三十二条：医疗保健机构依照本法规定开展婚前医学检查、遗传病诊断、产前诊断以及施行结扎手术和终止妊娠手术的，必须符合国务院卫生行政部门规定的条件和技术标准，并经县级以上地方人民政府卫生行政部门许可。 《计划生育技术服务管理条例》（2001年6月13日国务院令第309号，2004年12月10日予以修改）第二十二条：从事计划生育技术服务的医疗、保健机构，由县级以上地方人民政府卫生行政部门审查批准，在其《医疗机构执业许可证》上注明获准开展的计划生育技术服务项目，并向同级计划生育行政部门通报。第二十四条：计划生育技术服务机构从事产前诊断的，应当经省、自治区、直辖市人民政府计划生育行政部门同意后，由同级卫生行政部门审查批准，并报国务院计划生育行政部门和国务院卫生行政部门备案。从事计划生育技术服务的机构使用辅助生育技术治疗不育症的，由省级以上人民政府卫生行政部门审查批准，并向同级计划生育行政部门通报。使用辅助生育技术治疗不育症的具体管理办法，由国务院卫生行政部门会同国务院计划生育行政部门制定。使用辅助生育技术治疗不育症的技术规范，由国务院卫生行政部门征求国务院计划生育行政部门意见后制定。 《国务院关于第六批取消和调整行政审批项目的决定》（国发〔2012〕52号）附件2（一）第50项：计划生育技术服务机构设立许可，下放至县级以上地方人民政府人口计生行政部门。</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w:t>
            </w:r>
            <w:r>
              <w:rPr>
                <w:rFonts w:hint="eastAsia" w:ascii="仿宋" w:hAnsi="仿宋" w:eastAsia="仿宋" w:cs="仿宋"/>
                <w:color w:val="000000" w:themeColor="text1"/>
                <w:sz w:val="24"/>
                <w:szCs w:val="24"/>
                <w:lang w:eastAsia="zh-CN"/>
                <w14:textFill>
                  <w14:solidFill>
                    <w14:schemeClr w14:val="tx1"/>
                  </w14:solidFill>
                </w14:textFill>
              </w:rPr>
              <w:t>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6</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instrText xml:space="preserve"> HYPERLINK "http://zkxh.hnzwfw.gov.cn/art/2018/10/1/art_36891_748328.html" \o "放射源诊疗技术和医用辐射机构许可" \t "http://zkxh.hnzwfw.gov.cn/hnzw/bmft/index/_blank" </w:instrTex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t>放射源诊疗技术和医用辐射机构许可</w: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放射性同位素与射线装置安全和防护条例》（2005年9月14日国务院令第449号，2014年7月29日予以修改）第八条：……使用放射线同位素和射线装置进行放射诊疗的医疗卫生机构，还应当获得放射源诊疗技术和医用辐射机构许可。</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w:t>
            </w:r>
            <w:r>
              <w:rPr>
                <w:rFonts w:hint="eastAsia" w:ascii="仿宋" w:hAnsi="仿宋" w:eastAsia="仿宋" w:cs="仿宋"/>
                <w:color w:val="000000" w:themeColor="text1"/>
                <w:sz w:val="24"/>
                <w:szCs w:val="24"/>
                <w:lang w:eastAsia="zh-CN"/>
                <w14:textFill>
                  <w14:solidFill>
                    <w14:schemeClr w14:val="tx1"/>
                  </w14:solidFill>
                </w14:textFill>
              </w:rPr>
              <w:t>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7</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instrText xml:space="preserve"> HYPERLINK "http://zkxh.hnzwfw.gov.cn/art/2018/10/8/art_36891_857395.html" \o "放射源诊疗技术和医用辐射机构许可（变更）" \t "http://zkxh.hnzwfw.gov.cn/hnzw/bmft/index/_blank" </w:instrTex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t>放射源诊疗技术和医用辐射机构许可（变更）</w: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放射性同位素与射线装置安全和防护条例》（2005年9月14日国务院令第449号，2014年7月29日予以修改）第八条：……使用放射线同位素和射线装置进行放射诊疗的医疗卫生机构，还应当获得放射源诊疗技术和医用辐射机构许可。</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w:t>
            </w:r>
            <w:r>
              <w:rPr>
                <w:rFonts w:hint="eastAsia" w:ascii="仿宋" w:hAnsi="仿宋" w:eastAsia="仿宋" w:cs="仿宋"/>
                <w:color w:val="000000" w:themeColor="text1"/>
                <w:sz w:val="24"/>
                <w:szCs w:val="24"/>
                <w:lang w:eastAsia="zh-CN"/>
                <w14:textFill>
                  <w14:solidFill>
                    <w14:schemeClr w14:val="tx1"/>
                  </w14:solidFill>
                </w14:textFill>
              </w:rPr>
              <w:t>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8</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instrText xml:space="preserve"> HYPERLINK "http://zkxh.hnzwfw.gov.cn/art/2019/6/15/art_36891_1360910.html" \o "护士执业注册" \t "http://zkxh.hnzwfw.gov.cn/hnzw/bmft/index/_blank" </w:instrTex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护士执业注册</w: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1.《护士条例》（2008年1月31日国务院令第517号）第八条：申请护士执业注册的，应当向拟执业地省、自治区、直辖市人民政府卫生主管部门提出申请。收到申请的卫生主管部门应当自收到申请之日起20个工作日内做出决定，对具备本条例规定条件的，准予注册，并发给护士执业证书；对不具备本条例规定条件的，不予注册，并书面说明理由。2.《国务院关于取消和下放一批行政许可事项的决定》（国发〔2019〕6号）中“护士执业医疗机构由设区的市级卫生健康部门批准设立的，下放至设区的市级卫生健康部门；护士执业医疗机构由县级卫生健康部门批准设立或备案的，下放至县级卫生健康部门。”</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w:t>
            </w:r>
            <w:r>
              <w:rPr>
                <w:rFonts w:hint="eastAsia" w:ascii="仿宋" w:hAnsi="仿宋" w:eastAsia="仿宋" w:cs="仿宋"/>
                <w:color w:val="000000" w:themeColor="text1"/>
                <w:sz w:val="24"/>
                <w:szCs w:val="24"/>
                <w:lang w:eastAsia="zh-CN"/>
                <w14:textFill>
                  <w14:solidFill>
                    <w14:schemeClr w14:val="tx1"/>
                  </w14:solidFill>
                </w14:textFill>
              </w:rPr>
              <w:t>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9</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instrText xml:space="preserve"> HYPERLINK "http://zkxh.hnzwfw.gov.cn/art/2019/6/16/art_36891_1364130.html" \o "护士执业注册（变更）" \t "http://zkxh.hnzwfw.gov.cn/hnzw/bmft/index/_blank" </w:instrTex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护士执业注册（变更）</w: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1.《护士条例》（2008年1月31日国务院令第517号）第八条：申请护士执业注册的，应当向拟执业地省、自治区、直辖市人民政府卫生主管部门提出申请。收到申请的卫生主管部门应当自收到申请之日起20个工作日内做出决定，对具备本条例规定条件的，准予注册，并发给护士执业证书；对不具备本条例规定条件的，不予注册，并书面说明理由。2.《国务院关于取消和下放一批行政许可事项的决定》（国发〔2019〕6号）中“护士执业医疗机构由设区的市级卫生健康部门批准设立的，下放至设区的市级卫生健康部门；护士执业医疗机构由县级卫生健康部门批准设立或备案的，下放至县级卫生健康部门。”</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w:t>
            </w:r>
            <w:r>
              <w:rPr>
                <w:rFonts w:hint="eastAsia" w:ascii="仿宋" w:hAnsi="仿宋" w:eastAsia="仿宋" w:cs="仿宋"/>
                <w:color w:val="000000" w:themeColor="text1"/>
                <w:sz w:val="24"/>
                <w:szCs w:val="24"/>
                <w:lang w:eastAsia="zh-CN"/>
                <w14:textFill>
                  <w14:solidFill>
                    <w14:schemeClr w14:val="tx1"/>
                  </w14:solidFill>
                </w14:textFill>
              </w:rPr>
              <w:t>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10</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instrText xml:space="preserve"> HYPERLINK "http://zkxh.hnzwfw.gov.cn/art/2019/6/16/art_36891_1363706.html" \o "护士执业注册（延续）" \t "http://zkxh.hnzwfw.gov.cn/hnzw/bmft/index/_blank" </w:instrTex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护士执业注册（延续）</w: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1.《护士条例》（2008年1月31日国务院令第517号）第八条：申请护士执业注册的，应当向拟执业地省、自治区、直辖市人民政府卫生主管部门提出申请。收到申请的卫生主管部门应当自收到申请之日起20个工作日内做出决定，对具备本条例规定条件的，准予注册，并发给护士执业证书；对不具备本条例规定条件的，不予注册，并书面说明理由。2.《国务院关于取消和下放一批行政许可事项的决定》（国发〔2019〕6号）中“护士执业医疗机构由设区的市级卫生健康部门批准设立的，下放至设区的市级卫生健康部门；护士执业医疗机构由县级卫生健康部门批准设立或备案的，下放至县级卫生健康部门。”</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w:t>
            </w:r>
            <w:r>
              <w:rPr>
                <w:rFonts w:hint="eastAsia" w:ascii="仿宋" w:hAnsi="仿宋" w:eastAsia="仿宋" w:cs="仿宋"/>
                <w:color w:val="000000" w:themeColor="text1"/>
                <w:sz w:val="24"/>
                <w:szCs w:val="24"/>
                <w:lang w:eastAsia="zh-CN"/>
                <w14:textFill>
                  <w14:solidFill>
                    <w14:schemeClr w14:val="tx1"/>
                  </w14:solidFill>
                </w14:textFill>
              </w:rPr>
              <w:t>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11</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instrText xml:space="preserve"> HYPERLINK "http://zkxh.hnzwfw.gov.cn/art/2019/6/15/art_36891_1359756.html" \o "护士执业注册（重新注册）" \t "http://zkxh.hnzwfw.gov.cn/hnzw/bmft/index/_blank" </w:instrTex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护士执业注册（重新注册）</w: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1.《护士条例》（2008年1月31日国务院令第517号）第八条：申请护士执业注册的，应当向拟执业地省、自治区、直辖市人民政府卫生主管部门提出申请。收到申请的卫生主管部门应当自收到申请之日起20个工作日内做出决定，对具备本条例规定条件的，准予注册，并发给护士执业证书；对不具备本条例规定条件的，不予注册，并书面说明理由。2.《国务院关于取消和下放一批行政许可事项的决定》（国发〔2019〕6号）中“护士执业医疗机构由设区的市级卫生健康部门批准设立的，下放至设区的市级卫生健康部门；护士执业医疗机构由县级卫生健康部门批准设立或备案的，下放至县级卫生健康部门。”</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w:t>
            </w:r>
            <w:r>
              <w:rPr>
                <w:rFonts w:hint="eastAsia" w:ascii="仿宋" w:hAnsi="仿宋" w:eastAsia="仿宋" w:cs="仿宋"/>
                <w:color w:val="000000" w:themeColor="text1"/>
                <w:sz w:val="24"/>
                <w:szCs w:val="24"/>
                <w:lang w:eastAsia="zh-CN"/>
                <w14:textFill>
                  <w14:solidFill>
                    <w14:schemeClr w14:val="tx1"/>
                  </w14:solidFill>
                </w14:textFill>
              </w:rPr>
              <w:t>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12</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instrText xml:space="preserve"> HYPERLINK "http://zkxh.hnzwfw.gov.cn/art/2019/6/18/art_36891_1379223.html" \o "护士执业注册（注销）" \t "http://zkxh.hnzwfw.gov.cn/hnzw/bmft/index/_blank" </w:instrTex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护士执业注册（注销）</w: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1.《护士条例》（2008年1月31日国务院令第517号）第八条：申请护士执业注册的，应当向拟执业地省、自治区、直辖市人民政府卫生主管部门提出申请。收到申请的卫生主管部门应当自收到申请之日起20个工作日内做出决定，对具备本条例规定条件的，准予注册，并发给护士执业证书；对不具备本条例规定条件的，不予注册，并书面说明理由。2.《国务院关于取消和下放一批行政许可事项的决定》（国发〔2019〕6号）中“护士执业医疗机构由设区的市级卫生健康部门批准设立的，下放至设区的市级卫生健康部门；护士执业医疗机构由县级卫生健康部门批准设立或备案的，下放至县级卫生健康部门</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w:t>
            </w:r>
            <w:r>
              <w:rPr>
                <w:rFonts w:hint="eastAsia" w:ascii="仿宋" w:hAnsi="仿宋" w:eastAsia="仿宋" w:cs="仿宋"/>
                <w:color w:val="000000" w:themeColor="text1"/>
                <w:sz w:val="24"/>
                <w:szCs w:val="24"/>
                <w:lang w:eastAsia="zh-CN"/>
                <w14:textFill>
                  <w14:solidFill>
                    <w14:schemeClr w14:val="tx1"/>
                  </w14:solidFill>
                </w14:textFill>
              </w:rPr>
              <w:t>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13</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instrText xml:space="preserve"> HYPERLINK "http://zkxh.hnzwfw.gov.cn/art/2019/10/23/art_36891_56978811.html" \o "医疗机构放射性职业病危害建设项目预评价报告审核" \t "http://zkxh.hnzwfw.gov.cn/hnzw/bmft/index/_blank" </w:instrTex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t>医疗机构放射性职业病危害建设项目预评价报告审核</w: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中华人民共和国职业病防治法》（2001年10月27日主席令第六十号，2018年12月29日予以修改）第十七条：新建、扩建、改建建设项目和技术改造、技术引进项目（以下统称建设项目）可能产生职业病危害的，建设单位在可行性论证阶段应当进行职业病危害预评价。 医疗机构建设项目可能产生放射性职业病危害的，建设单位应当向卫生行政部门提交放射性职业病危害预评价报告。卫生行政部门应当自收到预评价报告之日起三十日内，作出审核决定并书面通知建设单位。未提交预评价报告或者预评价报告未经卫生行政部门审核同意的，不得开工建设。……第八十九条：对医疗机构放射性职业病危害控制的监督管理，由卫生行政部门依照本法的规定实施。 《放射诊疗管理规定》（2006年1月24日卫生部令第46号，2016年1月19日予以修改）第十一条：医疗机构设置放射诊疗项目，应当按照其开展的放射诊疗工作的类别，分别向相应的卫生行政部门提出建设项目卫生审查、竣工验收和设置放射诊疗项目申请：（一）开展放射治疗、核医学工作的，向省级卫生行政部门申请办理；（二）开展介入放射学工作的，向设区的市级卫生行政部门申请办理；（三）开展X射线影像诊断工作的，向县级卫生行政部门申请办理。同时开展不同类别放射诊疗工作的，向具有高类别审批权的卫生行政部门申请办理。</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w:t>
            </w:r>
            <w:r>
              <w:rPr>
                <w:rFonts w:hint="eastAsia" w:ascii="仿宋" w:hAnsi="仿宋" w:eastAsia="仿宋" w:cs="仿宋"/>
                <w:color w:val="000000" w:themeColor="text1"/>
                <w:sz w:val="24"/>
                <w:szCs w:val="24"/>
                <w:lang w:eastAsia="zh-CN"/>
                <w14:textFill>
                  <w14:solidFill>
                    <w14:schemeClr w14:val="tx1"/>
                  </w14:solidFill>
                </w14:textFill>
              </w:rPr>
              <w:t>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14</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instrText xml:space="preserve"> HYPERLINK "http://zkxh.hnzwfw.gov.cn/art/2019/7/15/art_36891_28358606.html" \o "医疗机构放射性职业病危害建设项目竣工验收" \t "http://zkxh.hnzwfw.gov.cn/hnzw/bmft/index/_blank" </w:instrTex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医疗机构放射性职业病危害建设项目竣工验收</w: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中华人民共和国职业病防治法》（2001年10月27日主席令第六十号，2018年12月29日予以修改）第十八条：……医疗机构可能产生放射性职业病危害的建设项目竣工验收时，其放射性职业病防护设施经卫生行政部门验收合格后，方可投入使用；……第八十七条：对医疗机构放射性职业病危害控制的监督管理，由卫生行政部门依照本法的规定实施。 《放射诊疗管理规定》（2006年1月24日卫生部令第46号，2016年1月19日予以修改）第十三条：医疗机构在放射诊疗建设项目竣工验收前，应当进行职业病危害控制效果评价；并向相应的卫生行政部门提交下列资料，申请进行卫生验收：…</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w:t>
            </w:r>
            <w:r>
              <w:rPr>
                <w:rFonts w:hint="eastAsia" w:ascii="仿宋" w:hAnsi="仿宋" w:eastAsia="仿宋" w:cs="仿宋"/>
                <w:color w:val="000000" w:themeColor="text1"/>
                <w:sz w:val="24"/>
                <w:szCs w:val="24"/>
                <w:lang w:eastAsia="zh-CN"/>
                <w14:textFill>
                  <w14:solidFill>
                    <w14:schemeClr w14:val="tx1"/>
                  </w14:solidFill>
                </w14:textFill>
              </w:rPr>
              <w:t>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15</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instrText xml:space="preserve"> HYPERLINK "http://zkxh.hnzwfw.gov.cn/art/2018/10/2/art_36891_767557.html" \o "医疗机构设置及执业登记" \t "http://zkxh.hnzwfw.gov.cn/hnzw/bmft/index/_blank" </w:instrTex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t>医疗机构设置及执业登记</w: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医疗机构管理条例》（1994年2月26日国务院令第149号）第十五条：医疗机构执业，必须进行登记，领取《医疗机构执业许可证》。第十七条：医疗机构执业登记，由批准其设置的人民政府卫生行政部门办理。……第二十条：医疗机构改变名称、场所、主要负责人、诊疗科目、床位，必须向原登记机关办理变更登记。第二十一条：医疗机构歇业，必须向原登记机关办理注销登记。经登记机关核准后，收缴《医疗机构执业许可证》。</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w:t>
            </w:r>
            <w:r>
              <w:rPr>
                <w:rFonts w:hint="eastAsia" w:ascii="仿宋" w:hAnsi="仿宋" w:eastAsia="仿宋" w:cs="仿宋"/>
                <w:color w:val="000000" w:themeColor="text1"/>
                <w:sz w:val="24"/>
                <w:szCs w:val="24"/>
                <w:lang w:eastAsia="zh-CN"/>
                <w14:textFill>
                  <w14:solidFill>
                    <w14:schemeClr w14:val="tx1"/>
                  </w14:solidFill>
                </w14:textFill>
              </w:rPr>
              <w:t>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16</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instrText xml:space="preserve"> HYPERLINK "http://zkxh.hnzwfw.gov.cn/art/2019/12/2/art_36891_59117927.html" \o "医疗机构执业登记（变更）" \t "http://zkxh.hnzwfw.gov.cn/hnzw/bmft/index/_blank" </w:instrTex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t>医疗机构执业登记（变更）</w: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医疗机构管理条例》（1994年2月26日国务院令第149号）第十五条：医疗机构执业，必须进行登记，领取《医疗机构执业许可证》。第十七条：医疗机构执业登记，由批准其设置的人民政府卫生行政部门办理。……第二十条：医疗机构改变名称、场所、主要负责人、诊疗科目、床位，必须向原登记机关办理变更登记。第二十一条：医疗机构歇业，必须向原登记机关办理注销登记。经登记机关核准后，收缴《医疗机构执业许可证》。</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w:t>
            </w:r>
            <w:r>
              <w:rPr>
                <w:rFonts w:hint="eastAsia" w:ascii="仿宋" w:hAnsi="仿宋" w:eastAsia="仿宋" w:cs="仿宋"/>
                <w:color w:val="000000" w:themeColor="text1"/>
                <w:sz w:val="24"/>
                <w:szCs w:val="24"/>
                <w:lang w:eastAsia="zh-CN"/>
                <w14:textFill>
                  <w14:solidFill>
                    <w14:schemeClr w14:val="tx1"/>
                  </w14:solidFill>
                </w14:textFill>
              </w:rPr>
              <w:t>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17</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instrText xml:space="preserve"> HYPERLINK "http://zkxh.hnzwfw.gov.cn/art/2018/10/2/art_36891_766225.html" \o "医疗机构执业登记（注销）" \t "http://zkxh.hnzwfw.gov.cn/hnzw/bmft/index/_blank" </w:instrTex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t>医疗机构执业登记（注销）</w: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医疗机构管理条例》（1994年2月26日国务院令第149号）第十五条：医疗机构执业，必须进行登记，领取《医疗机构执业许可证》。第十七条：医疗机构执业登记，由批准其设置的人民政府卫生行政部门办理。……第二十条：医疗机构改变名称、场所、主要负责人、诊疗科目、床位，必须向原登记机关办理变更登记。第二十一条：医疗机构歇业，必须向原登记机关办理注销登记。经登记机关核准后，收缴《医疗机构执业许可证》</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w:t>
            </w:r>
            <w:r>
              <w:rPr>
                <w:rFonts w:hint="eastAsia" w:ascii="仿宋" w:hAnsi="仿宋" w:eastAsia="仿宋" w:cs="仿宋"/>
                <w:color w:val="000000" w:themeColor="text1"/>
                <w:sz w:val="24"/>
                <w:szCs w:val="24"/>
                <w:lang w:eastAsia="zh-CN"/>
                <w14:textFill>
                  <w14:solidFill>
                    <w14:schemeClr w14:val="tx1"/>
                  </w14:solidFill>
                </w14:textFill>
              </w:rPr>
              <w:t>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93" w:hRule="atLeast"/>
        </w:trPr>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18</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instrText xml:space="preserve"> HYPERLINK "http://zkxh.hnzwfw.gov.cn/art/2018/10/5/art_36891_816279.html" \o "医疗机构设置及执业登记（中医、中西医结合医院）" \t "http://zkxh.hnzwfw.gov.cn/hnzw/bmft/index/_blank" </w:instrTex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t>医疗机构设置及执业登记（中医、中西医结合医院）</w: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医疗机构管理条例》（1994年2月26日国务院令第149号）第十五条：医疗机构执业，必须进行登记，领取《医疗机构执业许可证》。第十七条：医疗机构执业登记，由批准其设置的人民政府卫生行政部门办理。……第二十条：医疗机构改变名称、场所、主要负责人、诊疗科目、床位，必须向原登记机关办理变更登记。第二十一条：医疗机构歇业，必须向原登记机关办理注销登记。经登记机关核准后，收缴《医疗机构执业许可证》。……</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w:t>
            </w:r>
            <w:r>
              <w:rPr>
                <w:rFonts w:hint="eastAsia" w:ascii="仿宋" w:hAnsi="仿宋" w:eastAsia="仿宋" w:cs="仿宋"/>
                <w:color w:val="000000" w:themeColor="text1"/>
                <w:sz w:val="24"/>
                <w:szCs w:val="24"/>
                <w:lang w:eastAsia="zh-CN"/>
                <w14:textFill>
                  <w14:solidFill>
                    <w14:schemeClr w14:val="tx1"/>
                  </w14:solidFill>
                </w14:textFill>
              </w:rPr>
              <w:t>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19</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instrText xml:space="preserve"> HYPERLINK "http://zkxh.hnzwfw.gov.cn/art/2018/10/4/art_36891_807940.html" \o "医疗机构执业登记（中医、中西医结合医院）（变更）" \t "http://zkxh.hnzwfw.gov.cn/hnzw/bmft/index/_blank" </w:instrTex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t>医疗机构执业登记（中医、中西医结合医院）（变更）</w: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医疗机构管理条例》（1994年2月26日国务院令第149号）第十五条：医疗机构执业，必须进行登记，领取《医疗机构执业许可证》。第十七条：医疗机构执业登记，由批准其设置的人民政府卫生行政部门办理。……第二十条：医疗机构改变名称、场所、主要负责人、诊疗科目、床位，必须向原登记机关办理变更登记。第二十一条：医疗机构歇业，必须向原登记机关办理注销登记。经登记机关核准后，收缴《医疗机构执业许可证》。……</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w:t>
            </w:r>
            <w:r>
              <w:rPr>
                <w:rFonts w:hint="eastAsia" w:ascii="仿宋" w:hAnsi="仿宋" w:eastAsia="仿宋" w:cs="仿宋"/>
                <w:color w:val="000000" w:themeColor="text1"/>
                <w:sz w:val="24"/>
                <w:szCs w:val="24"/>
                <w:lang w:eastAsia="zh-CN"/>
                <w14:textFill>
                  <w14:solidFill>
                    <w14:schemeClr w14:val="tx1"/>
                  </w14:solidFill>
                </w14:textFill>
              </w:rPr>
              <w:t>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20</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instrText xml:space="preserve"> HYPERLINK "http://zkxh.hnzwfw.gov.cn/art/2018/10/4/art_36891_794017.html" \o "医疗机构执业登记（中医、中西医结合医院）（注销）" \t "http://zkxh.hnzwfw.gov.cn/hnzw/bmft/index/_blank" </w:instrTex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t>医疗机构执业登记（中医、中西医结合医院）（注销）</w: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医疗机构管理条例》（1994年2月26日国务院令第149号）第十五条：医疗机构执业，必须进行登记，领取《医疗机构执业许可证》。第十七条：医疗机构执业登记，由批准其设置的人民政府卫生行政部门办理。……第二十条：医疗机构改变名称、场所、主要负责人、诊疗科目、床位，必须向原登记机关办理变更登记。第二十一条：医疗机构歇业，必须向原登记机关办理注销登记。经登记机关核准后，收缴《医疗机构执业许可证》。……</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w:t>
            </w:r>
            <w:r>
              <w:rPr>
                <w:rFonts w:hint="eastAsia" w:ascii="仿宋" w:hAnsi="仿宋" w:eastAsia="仿宋" w:cs="仿宋"/>
                <w:color w:val="000000" w:themeColor="text1"/>
                <w:sz w:val="24"/>
                <w:szCs w:val="24"/>
                <w:lang w:eastAsia="zh-CN"/>
                <w14:textFill>
                  <w14:solidFill>
                    <w14:schemeClr w14:val="tx1"/>
                  </w14:solidFill>
                </w14:textFill>
              </w:rPr>
              <w:t>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21</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instrText xml:space="preserve"> HYPERLINK "http://zkxh.hnzwfw.gov.cn/art/2019/12/2/art_36891_59117925.html" \o "医师执业注册" \t "http://zkxh.hnzwfw.gov.cn/hnzw/bmft/index/_blank" </w:instrTex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医师执业注册</w: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医师执业注册管理办法》（国家卫生健康委令第13号，2017年2月28日）第三条，第二十四条）、《中华人民共和国执业医师法》（1998年6月26日主席令第五号，2009年8月27日予以修改）第十三条：国家实行医师执业注册制度。取得医师资格的，可以向所在地县级以上人民政府卫生行政部门申请注册。……第十四条：医师经注册后，可以在医疗、预防、保健机构中按照注册的执业地点、执业类别、执业范围执业，从事相应医疗、预防、保健业务。未经医师注册取得执业证书，不得从事医师执业活动</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w:t>
            </w:r>
            <w:r>
              <w:rPr>
                <w:rFonts w:hint="eastAsia" w:ascii="仿宋" w:hAnsi="仿宋" w:eastAsia="仿宋" w:cs="仿宋"/>
                <w:color w:val="000000" w:themeColor="text1"/>
                <w:sz w:val="24"/>
                <w:szCs w:val="24"/>
                <w:lang w:eastAsia="zh-CN"/>
                <w14:textFill>
                  <w14:solidFill>
                    <w14:schemeClr w14:val="tx1"/>
                  </w14:solidFill>
                </w14:textFill>
              </w:rPr>
              <w:t>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2" w:hRule="atLeast"/>
        </w:trPr>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22</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instrText xml:space="preserve"> HYPERLINK "http://zkxh.hnzwfw.gov.cn/art/2019/12/2/art_36891_59117921.html" \o "医师执业注册（变更）" \t "http://zkxh.hnzwfw.gov.cn/hnzw/bmft/index/_blank" </w:instrTex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医师执业注册（变更）</w: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医师执业注册管理办法》（国家卫生健康委令第13号，2017年2月28日）第三条，第二十四条）、《中华人民共和国执业医师法》（1998年6月26日主席令第五号，2009年8月27日予以修改）第十三条：国家实行医师执业注册制度。取得医师资格的，可以向所在地县级以上人民政府卫生行政部门申请注册。……第十四条：医师经注册后，可以在医疗、预防、保健机构中按照注册的执业地点、执业类别、执业范围执业，从事相应医疗、预防、保健业务。未经医师注册取得执业证书，不得从事医师执业活动。</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w:t>
            </w:r>
            <w:r>
              <w:rPr>
                <w:rFonts w:hint="eastAsia" w:ascii="仿宋" w:hAnsi="仿宋" w:eastAsia="仿宋" w:cs="仿宋"/>
                <w:color w:val="000000" w:themeColor="text1"/>
                <w:sz w:val="24"/>
                <w:szCs w:val="24"/>
                <w:lang w:eastAsia="zh-CN"/>
                <w14:textFill>
                  <w14:solidFill>
                    <w14:schemeClr w14:val="tx1"/>
                  </w14:solidFill>
                </w14:textFill>
              </w:rPr>
              <w:t>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23</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instrText xml:space="preserve"> HYPERLINK "http://zkxh.hnzwfw.gov.cn/art/2018/10/2/art_36891_760828.html" \o "医师执业注册（注销）" \t "http://zkxh.hnzwfw.gov.cn/hnzw/bmft/index/_blank" </w:instrTex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医师执业注册（注销）</w: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医师执业注册管理办法》（国家卫生健康委令第13号，2017年2月28日）第三条，第二十四条）、《中华人民共和国执业医师法》（1998年6月26日主席令第五号，2009年8月27日予以修改）第十三条：国家实行医师执业注册制度。取得医师资格的，可以向所在地县级以上人民政府卫生行政部门申请注册。……第十四条：医师经注册后，可以在医疗、预防、保健机构中按照注册的执业地点、执业类别、执业范围执业，从事相应医疗、预防、保健业务。未经医师注册取得执业证书，不得从事医师执业活动</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w:t>
            </w:r>
            <w:r>
              <w:rPr>
                <w:rFonts w:hint="eastAsia" w:ascii="仿宋" w:hAnsi="仿宋" w:eastAsia="仿宋" w:cs="仿宋"/>
                <w:color w:val="000000" w:themeColor="text1"/>
                <w:sz w:val="24"/>
                <w:szCs w:val="24"/>
                <w:lang w:eastAsia="zh-CN"/>
                <w14:textFill>
                  <w14:solidFill>
                    <w14:schemeClr w14:val="tx1"/>
                  </w14:solidFill>
                </w14:textFill>
              </w:rPr>
              <w:t>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24</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instrText xml:space="preserve"> HYPERLINK "http://zkxh.hnzwfw.gov.cn/art/2019/12/2/art_36891_59117919.html" \o "医师执业注册（离职备案）" \t "http://zkxh.hnzwfw.gov.cn/hnzw/bmft/index/_blank" </w:instrTex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医师执业注册（离职备案）</w: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医师执业注册管理办法》（国家卫生健康委令第13号，2017年2月28日）第三条，第二十四条）、《中华人民共和国执业医师法》（1998年6月26日主席令第五号，2009年8月27日予以修改）第十三条：国家实行医师执业注册制度。取得医师资格的，可以向所在地县级以上人民政府卫生行政部门申请注册。……第十四条：医师经注册后，可以在医疗、预防、保健机构中按照注册的执业地点、执业类别、执业范围执业，从事相应医疗、预防、保健业务。未经医师注册取得执业证书，不得从事医师执业活动。</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w:t>
            </w:r>
            <w:r>
              <w:rPr>
                <w:rFonts w:hint="eastAsia" w:ascii="仿宋" w:hAnsi="仿宋" w:eastAsia="仿宋" w:cs="仿宋"/>
                <w:color w:val="000000" w:themeColor="text1"/>
                <w:sz w:val="24"/>
                <w:szCs w:val="24"/>
                <w:lang w:eastAsia="zh-CN"/>
                <w14:textFill>
                  <w14:solidFill>
                    <w14:schemeClr w14:val="tx1"/>
                  </w14:solidFill>
                </w14:textFill>
              </w:rPr>
              <w:t>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25</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instrText xml:space="preserve"> HYPERLINK "http://zkxh.hnzwfw.gov.cn/art/2019/12/2/art_36891_59117929.html" \o "医师执业注册（多机构备案）" \t "http://zkxh.hnzwfw.gov.cn/hnzw/bmft/index/_blank" </w:instrTex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医师执业注册（多机构备案）</w: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医师执业注册管理办法》（国家卫生健康委令第13号，2017年2月28日）第三条，第二十四条）、《中华人民共和国执业医师法》（1998年6月26日主席令第五号，2009年8月27日予以修改）第十三条：国家实行医师执业注册制度。取得医师资格的，可以向所在地县级以上人民政府卫生行政部门申请注册。……第十四条：医师经注册后，可以在医疗、预防、保健机构中按照注册的执业地点、执业类别、执业范围执业，从事相应医疗、预防、保健业务。未经医师注册取得执业证书，不得从事医师执业活动。</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w:t>
            </w:r>
            <w:r>
              <w:rPr>
                <w:rFonts w:hint="eastAsia" w:ascii="仿宋" w:hAnsi="仿宋" w:eastAsia="仿宋" w:cs="仿宋"/>
                <w:color w:val="000000" w:themeColor="text1"/>
                <w:sz w:val="24"/>
                <w:szCs w:val="24"/>
                <w:lang w:eastAsia="zh-CN"/>
                <w14:textFill>
                  <w14:solidFill>
                    <w14:schemeClr w14:val="tx1"/>
                  </w14:solidFill>
                </w14:textFill>
              </w:rPr>
              <w:t>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26</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instrText xml:space="preserve"> HYPERLINK "http://zkxh.hnzwfw.gov.cn/art/2019/10/23/art_36891_56978809.html" \o "公共场所卫生许可" \t "http://zkxh.hnzwfw.gov.cn/hnzw/bmft/index/_blank" </w:instrTex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t>公共场所卫生许可</w: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《公共场所卫生管理条例》（国发〔1987〕24号）第四条：国家对公共场所以及新建、改建、扩建的公共场所的选址和设计实行“卫生许可证”制度。“卫生许可证”由县以上卫生行政部门签发。 《公共场所卫生管理条例实施细则》（2011年3月10日卫生部令第80号）第二十二条：国家对公共场所实行卫生许可证管理。公共场所经营者应当按照规定向县级以上地方人民政府卫生计生行政部门申请卫生许可证。未取得卫生许可证的，不得营业。…… 《国务院关于第六批取消和调整行政审批项目的决定》（国发〔2012〕52号）下放管理层级的行政审批项目第49项：公共场所改、扩建卫生许可，下放至设区的市级、县级人民政府卫生行政部门。 《国务院关于整合调整餐饮服务场所的公共场所卫生许可证和食品经营许可证的决定》（国发[2016]12号）规定：取消地方卫生部门对饭馆、咖啡馆、酒吧、茶座等4类公共场所核发的卫生许可证，有关食品安全许可内容整合进食品药品监管部门核发的食品经营许可证</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w:t>
            </w:r>
            <w:r>
              <w:rPr>
                <w:rFonts w:hint="eastAsia" w:ascii="仿宋" w:hAnsi="仿宋" w:eastAsia="仿宋" w:cs="仿宋"/>
                <w:color w:val="000000" w:themeColor="text1"/>
                <w:sz w:val="24"/>
                <w:szCs w:val="24"/>
                <w:lang w:eastAsia="zh-CN"/>
                <w14:textFill>
                  <w14:solidFill>
                    <w14:schemeClr w14:val="tx1"/>
                  </w14:solidFill>
                </w14:textFill>
              </w:rPr>
              <w:t>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27</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instrText xml:space="preserve"> HYPERLINK "http://zkxh.hnzwfw.gov.cn/art/2019/7/15/art_36891_28358802.html" \o "公共场所卫生许可（延续）" \t "http://zkxh.hnzwfw.gov.cn/hnzw/bmft/index/_blank" </w:instrTex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t>公共场所卫生许可（延续）</w: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《公共场所卫生管理条例》（国发〔1987〕24号）第四条：国家对公共场所以及新建、改建、扩建的公共场所的选址和设计实行“卫生许可证”制度。“卫生许可证”由县以上卫生行政部门签发。 《公共场所卫生管理条例实施细则》（2011年3月10日卫生部令第80号）第二十二条：国家对公共场所实行卫生许可证管理。公共场所经营者应当按照规定向县级以上地方人民政府卫生计生行政部门申请卫生许可证。未取得卫生许可证的，不得营业。…… 《国务院关于第六批取消和调整行政审批项目的决定》（国发〔2012〕52号）下放管理层级的行政审批项目第49项：公共场所改、扩建卫生许可，下放至设区的市级、县级人民政府卫生行政部门。 《国务院关于整合调整餐饮服务场所的公共场所卫生许可证和食品经营许可证的决定》（国发[2016]12号）规定：取消地方卫生部门对饭馆、咖啡馆、酒吧、茶座等4类公共场所核发的卫生许可证，有关食品安全许可内容整合进食品药品监管部门核发的食品经营许可证。</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w:t>
            </w:r>
            <w:r>
              <w:rPr>
                <w:rFonts w:hint="eastAsia" w:ascii="仿宋" w:hAnsi="仿宋" w:eastAsia="仿宋" w:cs="仿宋"/>
                <w:color w:val="000000" w:themeColor="text1"/>
                <w:sz w:val="24"/>
                <w:szCs w:val="24"/>
                <w:lang w:eastAsia="zh-CN"/>
                <w14:textFill>
                  <w14:solidFill>
                    <w14:schemeClr w14:val="tx1"/>
                  </w14:solidFill>
                </w14:textFill>
              </w:rPr>
              <w:t>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28</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instrText xml:space="preserve"> HYPERLINK "http://zkxh.hnzwfw.gov.cn/art/2019/7/15/art_36891_28359032.html" \o "公共场所卫生许可（变更）" \t "http://zkxh.hnzwfw.gov.cn/hnzw/bmft/index/_blank" </w:instrTex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t>公共场所卫生许可（变更）</w: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《公共场所卫生管理条例》（国发〔1987〕24号）第四条：国家对公共场所以及新建、改建、扩建的公共场所的选址和设计实行“卫生许可证”制度。“卫生许可证”由县以上卫生行政部门签发。 《公共场所卫生管理条例实施细则》（2011年3月10日卫生部令第80号）第二十二条：国家对公共场所实行卫生许可证管理。公共场所经营者应当按照规定向县级以上地方人民政府卫生计生行政部门申请卫生许可证。未取得卫生许可证的，不得营业。…… 《国务院关于第六批取消和调整行政审批项目的决定》（国发〔2012〕52号）下放管理层级的行政审批项目第49项：公共场所改、扩建卫生许可，下放至设区的市级、县级人民政府卫生行政部门。 《国务院关于整合调整餐饮服务场所的公共场所卫生许可证和食品经营许可证的决定》（国发[2016]12号）规定：取消地方卫生部门对饭馆、咖啡馆、酒吧、茶座等4类公共场所核发的卫生许可证，有关食品安全许可内容整合进食品药品监管部门核发的食品经营许可证。</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w:t>
            </w:r>
            <w:r>
              <w:rPr>
                <w:rFonts w:hint="eastAsia" w:ascii="仿宋" w:hAnsi="仿宋" w:eastAsia="仿宋" w:cs="仿宋"/>
                <w:color w:val="000000" w:themeColor="text1"/>
                <w:sz w:val="24"/>
                <w:szCs w:val="24"/>
                <w:lang w:eastAsia="zh-CN"/>
                <w14:textFill>
                  <w14:solidFill>
                    <w14:schemeClr w14:val="tx1"/>
                  </w14:solidFill>
                </w14:textFill>
              </w:rPr>
              <w:t>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29</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instrText xml:space="preserve"> HYPERLINK "http://zkxh.hnzwfw.gov.cn/art/2018/10/5/art_36891_817762.html" \o "乡村医生执业（再注册）" \t "http://zkxh.hnzwfw.gov.cn/hnzw/bmft/index/_blank" </w:instrTex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乡村医生执业（再注册）</w: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《乡村医生从业管理条例》（2003年8月5日国务院令第386号）第九条：国家实行乡村医生执业注册制度。县级人民政府卫生行政主管部门负责乡村医生执业注册工作</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w:t>
            </w:r>
            <w:r>
              <w:rPr>
                <w:rFonts w:hint="eastAsia" w:ascii="仿宋" w:hAnsi="仿宋" w:eastAsia="仿宋" w:cs="仿宋"/>
                <w:color w:val="000000" w:themeColor="text1"/>
                <w:sz w:val="24"/>
                <w:szCs w:val="24"/>
                <w:lang w:eastAsia="zh-CN"/>
                <w14:textFill>
                  <w14:solidFill>
                    <w14:schemeClr w14:val="tx1"/>
                  </w14:solidFill>
                </w14:textFill>
              </w:rPr>
              <w:t>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30</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instrText xml:space="preserve"> HYPERLINK "http://zkxh.hnzwfw.gov.cn/art/2018/10/8/art_36891_857344.html" \o "乡村医生执业（变更）" \t "http://zkxh.hnzwfw.gov.cn/hnzw/bmft/index/_blank" </w:instrTex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乡村医生执业（变更）</w: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乡村医生从业管理条例》（2003年8月5日国务院令第386号）第九条：国家实行乡村医生执业注册制度。县级人民政府卫生行政主管部门负责乡村医生执业注册工作</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w:t>
            </w:r>
            <w:r>
              <w:rPr>
                <w:rFonts w:hint="eastAsia" w:ascii="仿宋" w:hAnsi="仿宋" w:eastAsia="仿宋" w:cs="仿宋"/>
                <w:color w:val="000000" w:themeColor="text1"/>
                <w:sz w:val="24"/>
                <w:szCs w:val="24"/>
                <w:lang w:eastAsia="zh-CN"/>
                <w14:textFill>
                  <w14:solidFill>
                    <w14:schemeClr w14:val="tx1"/>
                  </w14:solidFill>
                </w14:textFill>
              </w:rPr>
              <w:t>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31</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instrText xml:space="preserve"> HYPERLINK "http://zkxh.hnzwfw.gov.cn/art/2018/10/29/art_36891_967110.html" \o "三孩生育证审批" \t "http://zkxh.hnzwfw.gov.cn/hnzw/bmft/index/_blank" </w:instrTex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t>三孩生育证审批</w: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end"/>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河南省人口与计划生育条例》(根据2016年5月27日河南省第十二届人民代表大会常务委员会第二十二次会议《关于修改〈河南省人口与计划生育条例〉的决定》第四次修正）第十五条：“提倡一对夫妻生育两个子女。符合下列条件之一要求生育的夫妻，经批准可以再生育：(一)夫妻双方合计已生育两个子女，且没有共同生育子女的；(二)经鉴定两个子女均为非遗传性病残儿，不能成长为正常劳动力，医学上认为可以再生育的。第十六条：夫妻生育第一个、第二个子女的，不实行审批，由家庭自主安排生育，实行生育登记服务制度。符合本条例第十五条第二款规定要求再生育的夫妻，应当向夫妻一方户籍所在地的乡(镇)人民政府或者街道办事处提出申请，乡(镇)人民政府或者街道办事处应当在五个工作日内审核完毕，报县级卫生和计划生育行政部门批准。县级卫生和计划生育行政部门应当在十五个工作日内作出决定。批准生育的，发给生育证；不予批准的，应当书面通知申请人并说明理由</w:t>
            </w: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w:t>
            </w:r>
            <w:r>
              <w:rPr>
                <w:rFonts w:hint="eastAsia" w:ascii="仿宋" w:hAnsi="仿宋" w:eastAsia="仿宋" w:cs="仿宋"/>
                <w:color w:val="000000" w:themeColor="text1"/>
                <w:sz w:val="24"/>
                <w:szCs w:val="24"/>
                <w:lang w:eastAsia="zh-CN"/>
                <w14:textFill>
                  <w14:solidFill>
                    <w14:schemeClr w14:val="tx1"/>
                  </w14:solidFill>
                </w14:textFill>
              </w:rPr>
              <w:t>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32</w:t>
            </w:r>
          </w:p>
        </w:tc>
        <w:tc>
          <w:tcPr>
            <w:tcW w:w="1835" w:type="dxa"/>
            <w:noWrap w:val="0"/>
            <w:vAlign w:val="center"/>
          </w:tcPr>
          <w:p>
            <w:pPr>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公共场所许可</w:t>
            </w:r>
          </w:p>
        </w:tc>
        <w:tc>
          <w:tcPr>
            <w:tcW w:w="5545" w:type="dxa"/>
            <w:noWrap w:val="0"/>
            <w:vAlign w:val="center"/>
          </w:tcPr>
          <w:p>
            <w:pPr>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eastAsia="zh-CN"/>
              </w:rPr>
              <w:t>《行政许可法》</w:t>
            </w:r>
            <w:r>
              <w:rPr>
                <w:rFonts w:hint="eastAsia" w:ascii="仿宋" w:hAnsi="仿宋" w:eastAsia="仿宋" w:cs="仿宋"/>
                <w:b w:val="0"/>
                <w:bCs w:val="0"/>
                <w:sz w:val="24"/>
                <w:szCs w:val="24"/>
                <w:lang w:val="en-US" w:eastAsia="zh-CN"/>
              </w:rPr>
              <w:t xml:space="preserve"> </w:t>
            </w:r>
          </w:p>
          <w:p>
            <w:pPr>
              <w:pStyle w:val="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《卫生行政许可管理办法》</w:t>
            </w:r>
          </w:p>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《公共场所卫生管理条例》</w:t>
            </w:r>
          </w:p>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《公共场所卫生管理条例实施细则》</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33</w:t>
            </w:r>
          </w:p>
        </w:tc>
        <w:tc>
          <w:tcPr>
            <w:tcW w:w="1835" w:type="dxa"/>
            <w:noWrap w:val="0"/>
            <w:vAlign w:val="center"/>
          </w:tcPr>
          <w:p>
            <w:pPr>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生活饮用水许可</w:t>
            </w:r>
          </w:p>
        </w:tc>
        <w:tc>
          <w:tcPr>
            <w:tcW w:w="5545" w:type="dxa"/>
            <w:noWrap w:val="0"/>
            <w:vAlign w:val="center"/>
          </w:tcPr>
          <w:p>
            <w:pPr>
              <w:jc w:val="both"/>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《行政许可法》</w:t>
            </w:r>
          </w:p>
          <w:p>
            <w:pPr>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《生活饮用水卫生监督管理办法》</w:t>
            </w:r>
          </w:p>
          <w:p>
            <w:pPr>
              <w:pStyle w:val="2"/>
              <w:rPr>
                <w:rFonts w:hint="eastAsia" w:ascii="仿宋" w:hAnsi="仿宋" w:eastAsia="仿宋" w:cs="仿宋"/>
                <w:sz w:val="24"/>
                <w:szCs w:val="24"/>
                <w:lang w:val="en-US" w:eastAsia="zh-CN"/>
              </w:rPr>
            </w:pPr>
            <w:r>
              <w:rPr>
                <w:rFonts w:hint="eastAsia" w:ascii="仿宋" w:hAnsi="仿宋" w:eastAsia="仿宋" w:cs="仿宋"/>
                <w:b w:val="0"/>
                <w:bCs w:val="0"/>
                <w:sz w:val="24"/>
                <w:szCs w:val="24"/>
                <w:lang w:val="en-US" w:eastAsia="zh-CN"/>
              </w:rPr>
              <w:t>《》</w:t>
            </w:r>
          </w:p>
          <w:p>
            <w:pPr>
              <w:jc w:val="center"/>
              <w:rPr>
                <w:rFonts w:hint="eastAsia" w:ascii="仿宋" w:hAnsi="仿宋" w:eastAsia="仿宋" w:cs="仿宋"/>
                <w:b w:val="0"/>
                <w:bCs w:val="0"/>
                <w:sz w:val="24"/>
                <w:szCs w:val="24"/>
              </w:rPr>
            </w:pP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34</w:t>
            </w:r>
          </w:p>
        </w:tc>
        <w:tc>
          <w:tcPr>
            <w:tcW w:w="1835" w:type="dxa"/>
            <w:noWrap w:val="0"/>
            <w:vAlign w:val="center"/>
          </w:tcPr>
          <w:p>
            <w:pPr>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放射许可</w:t>
            </w:r>
          </w:p>
        </w:tc>
        <w:tc>
          <w:tcPr>
            <w:tcW w:w="5545" w:type="dxa"/>
            <w:noWrap w:val="0"/>
            <w:vAlign w:val="center"/>
          </w:tcPr>
          <w:p>
            <w:pPr>
              <w:jc w:val="both"/>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《行政许可法》</w:t>
            </w:r>
          </w:p>
          <w:p>
            <w:pPr>
              <w:pStyle w:val="2"/>
              <w:rPr>
                <w:rFonts w:hint="eastAsia" w:ascii="仿宋" w:hAnsi="仿宋" w:eastAsia="仿宋" w:cs="仿宋"/>
                <w:b w:val="0"/>
                <w:bCs w:val="0"/>
                <w:sz w:val="24"/>
                <w:szCs w:val="24"/>
              </w:rPr>
            </w:pPr>
            <w:r>
              <w:rPr>
                <w:rFonts w:hint="eastAsia" w:ascii="仿宋" w:hAnsi="仿宋" w:eastAsia="仿宋" w:cs="仿宋"/>
                <w:sz w:val="24"/>
                <w:szCs w:val="24"/>
                <w:lang w:val="en-US" w:eastAsia="zh-CN"/>
              </w:rPr>
              <w:t>《放射诊疗管理规定》</w:t>
            </w:r>
          </w:p>
        </w:tc>
        <w:tc>
          <w:tcPr>
            <w:tcW w:w="685"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卫生计生监督所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pP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二</w:t>
            </w: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行政处罚</w:t>
            </w: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457" w:type="dxa"/>
            <w:noWrap w:val="0"/>
            <w:vAlign w:val="center"/>
          </w:tcPr>
          <w:p>
            <w:pPr>
              <w:widowControl/>
              <w:jc w:val="both"/>
              <w:rPr>
                <w:rFonts w:hint="eastAsia" w:ascii="仿宋" w:hAnsi="仿宋" w:eastAsia="仿宋" w:cs="仿宋"/>
                <w:b/>
                <w:bCs/>
                <w:sz w:val="24"/>
                <w:szCs w:val="24"/>
              </w:rPr>
            </w:pPr>
          </w:p>
        </w:tc>
        <w:tc>
          <w:tcPr>
            <w:tcW w:w="1835" w:type="dxa"/>
            <w:noWrap w:val="0"/>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行政处罚（</w:t>
            </w:r>
            <w:r>
              <w:rPr>
                <w:rFonts w:hint="eastAsia" w:ascii="仿宋" w:hAnsi="仿宋" w:eastAsia="仿宋" w:cs="仿宋"/>
                <w:b/>
                <w:bCs/>
                <w:sz w:val="24"/>
                <w:szCs w:val="24"/>
                <w:lang w:val="en-US" w:eastAsia="zh-CN"/>
              </w:rPr>
              <w:t>252项</w:t>
            </w:r>
            <w:r>
              <w:rPr>
                <w:rFonts w:hint="eastAsia" w:ascii="仿宋" w:hAnsi="仿宋" w:eastAsia="仿宋" w:cs="仿宋"/>
                <w:b/>
                <w:bCs/>
                <w:sz w:val="24"/>
                <w:szCs w:val="24"/>
              </w:rPr>
              <w:t>）</w:t>
            </w:r>
          </w:p>
        </w:tc>
        <w:tc>
          <w:tcPr>
            <w:tcW w:w="5545" w:type="dxa"/>
            <w:noWrap w:val="0"/>
            <w:vAlign w:val="center"/>
          </w:tcPr>
          <w:p>
            <w:pPr>
              <w:rPr>
                <w:rFonts w:hint="eastAsia" w:ascii="仿宋" w:hAnsi="仿宋" w:eastAsia="仿宋" w:cs="仿宋"/>
                <w:sz w:val="24"/>
                <w:szCs w:val="24"/>
              </w:rPr>
            </w:pPr>
          </w:p>
        </w:tc>
        <w:tc>
          <w:tcPr>
            <w:tcW w:w="685" w:type="dxa"/>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457" w:type="dxa"/>
            <w:noWrap w:val="0"/>
            <w:vAlign w:val="center"/>
          </w:tcPr>
          <w:p>
            <w:pPr>
              <w:widowControl/>
              <w:jc w:val="center"/>
              <w:rPr>
                <w:rFonts w:hint="eastAsia" w:ascii="仿宋" w:hAnsi="仿宋" w:eastAsia="仿宋" w:cs="仿宋"/>
                <w:b/>
                <w:bCs/>
                <w:sz w:val="24"/>
                <w:szCs w:val="24"/>
              </w:rPr>
            </w:pPr>
            <w:r>
              <w:rPr>
                <w:rFonts w:hint="eastAsia" w:ascii="仿宋" w:hAnsi="仿宋" w:eastAsia="仿宋" w:cs="仿宋"/>
                <w:b/>
                <w:bCs/>
                <w:sz w:val="24"/>
                <w:szCs w:val="24"/>
              </w:rPr>
              <w:t>1</w:t>
            </w:r>
          </w:p>
        </w:tc>
        <w:tc>
          <w:tcPr>
            <w:tcW w:w="1835" w:type="dxa"/>
            <w:noWrap w:val="0"/>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医疗机构执业（27项）</w:t>
            </w:r>
          </w:p>
        </w:tc>
        <w:tc>
          <w:tcPr>
            <w:tcW w:w="5545" w:type="dxa"/>
            <w:noWrap w:val="0"/>
            <w:vAlign w:val="center"/>
          </w:tcPr>
          <w:p>
            <w:pPr>
              <w:rPr>
                <w:rFonts w:hint="eastAsia" w:ascii="仿宋" w:hAnsi="仿宋" w:eastAsia="仿宋" w:cs="仿宋"/>
                <w:sz w:val="24"/>
                <w:szCs w:val="24"/>
              </w:rPr>
            </w:pPr>
          </w:p>
        </w:tc>
        <w:tc>
          <w:tcPr>
            <w:tcW w:w="685" w:type="dxa"/>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未取得《医疗机构执业许可证》擅自执业</w:t>
            </w:r>
          </w:p>
        </w:tc>
        <w:tc>
          <w:tcPr>
            <w:tcW w:w="554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《医疗机构管理条例》第二十四条</w:t>
            </w:r>
          </w:p>
        </w:tc>
        <w:tc>
          <w:tcPr>
            <w:tcW w:w="685"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出卖、转让、出借《医疗机构执业许可证》</w:t>
            </w:r>
          </w:p>
        </w:tc>
        <w:tc>
          <w:tcPr>
            <w:tcW w:w="554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《医疗机构管理条例》第二十三条</w:t>
            </w:r>
          </w:p>
        </w:tc>
        <w:tc>
          <w:tcPr>
            <w:tcW w:w="685"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逾期不校验《医疗机构执业许可证》</w:t>
            </w:r>
          </w:p>
        </w:tc>
        <w:tc>
          <w:tcPr>
            <w:tcW w:w="554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 xml:space="preserve">《医疗机构管理条例》第二十二条 </w:t>
            </w:r>
          </w:p>
          <w:p>
            <w:pPr>
              <w:jc w:val="left"/>
              <w:rPr>
                <w:rFonts w:hint="eastAsia" w:ascii="仿宋" w:hAnsi="仿宋" w:eastAsia="仿宋" w:cs="仿宋"/>
                <w:sz w:val="24"/>
                <w:szCs w:val="24"/>
              </w:rPr>
            </w:pPr>
            <w:r>
              <w:rPr>
                <w:rFonts w:hint="eastAsia" w:ascii="仿宋" w:hAnsi="仿宋" w:eastAsia="仿宋" w:cs="仿宋"/>
                <w:sz w:val="24"/>
                <w:szCs w:val="24"/>
              </w:rPr>
              <w:t>《医疗机构管理条例实施细则》第三十五条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诊疗活动超出登记范围</w:t>
            </w:r>
          </w:p>
        </w:tc>
        <w:tc>
          <w:tcPr>
            <w:tcW w:w="554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《医疗机构管理条例》第二十七条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使用非卫生技术人员从事医疗卫生技术工作</w:t>
            </w:r>
          </w:p>
        </w:tc>
        <w:tc>
          <w:tcPr>
            <w:tcW w:w="554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《医疗机构管理条例》第二十八条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6</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出具虚假证明文件</w:t>
            </w:r>
          </w:p>
        </w:tc>
        <w:tc>
          <w:tcPr>
            <w:tcW w:w="554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《医疗机构管理条例》第三十二条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7</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违规发布医疗广告</w:t>
            </w:r>
          </w:p>
        </w:tc>
        <w:tc>
          <w:tcPr>
            <w:tcW w:w="554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《医疗广告管理办法》第五条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8</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使用未取得处方权的人员、被取消处方权的医师开具处方</w:t>
            </w:r>
          </w:p>
        </w:tc>
        <w:tc>
          <w:tcPr>
            <w:tcW w:w="554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《处方管理办法》第八条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9</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使用未取得相应处方资格的医师开具麻醉药品和第一类精神药品处方</w:t>
            </w:r>
          </w:p>
        </w:tc>
        <w:tc>
          <w:tcPr>
            <w:tcW w:w="554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《处方管理办法》第十一条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违反药事管理制度</w:t>
            </w:r>
          </w:p>
        </w:tc>
        <w:tc>
          <w:tcPr>
            <w:tcW w:w="554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《医疗机构药事管理规定》第三十九条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使用未取任职资格的人员从事处方调剂工作</w:t>
            </w:r>
          </w:p>
        </w:tc>
        <w:tc>
          <w:tcPr>
            <w:tcW w:w="554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《处方管理办法》第二十九条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未按照规定保管麻醉药品和精神药品处方或未依照规定进行专册登记</w:t>
            </w:r>
          </w:p>
        </w:tc>
        <w:tc>
          <w:tcPr>
            <w:tcW w:w="554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《麻醉药品和精神药品管理条例》第四十一条</w:t>
            </w:r>
          </w:p>
          <w:p>
            <w:pPr>
              <w:jc w:val="left"/>
              <w:rPr>
                <w:rFonts w:hint="eastAsia" w:ascii="仿宋" w:hAnsi="仿宋" w:eastAsia="仿宋" w:cs="仿宋"/>
                <w:sz w:val="24"/>
                <w:szCs w:val="24"/>
              </w:rPr>
            </w:pPr>
            <w:r>
              <w:rPr>
                <w:rFonts w:hint="eastAsia" w:ascii="仿宋" w:hAnsi="仿宋" w:eastAsia="仿宋" w:cs="仿宋"/>
                <w:sz w:val="24"/>
                <w:szCs w:val="24"/>
              </w:rPr>
              <w:t>《处方管理办法》第五十一条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未依照规定购买、储存、销毁麻醉药品和第一类精神药品</w:t>
            </w:r>
          </w:p>
        </w:tc>
        <w:tc>
          <w:tcPr>
            <w:tcW w:w="554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《麻醉药品和精神药品管理条例》第三十六条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违反规定使用护士</w:t>
            </w:r>
          </w:p>
        </w:tc>
        <w:tc>
          <w:tcPr>
            <w:tcW w:w="554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《护士条例》第八条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护士的配备数量低于规定标准</w:t>
            </w:r>
          </w:p>
        </w:tc>
        <w:tc>
          <w:tcPr>
            <w:tcW w:w="554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《护士条例》第二十条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16</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违反护士培训规定</w:t>
            </w:r>
          </w:p>
        </w:tc>
        <w:tc>
          <w:tcPr>
            <w:tcW w:w="554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《护士条例》第二十四条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17</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未履行护士管理职责</w:t>
            </w:r>
          </w:p>
        </w:tc>
        <w:tc>
          <w:tcPr>
            <w:tcW w:w="554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《护士条例》第二十六条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18</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聘用未取得《外国医师短期行医许可证》的外国医师开展医疗执业活动</w:t>
            </w:r>
          </w:p>
        </w:tc>
        <w:tc>
          <w:tcPr>
            <w:tcW w:w="554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《外国医师来华短期行医暂行管理办法》第三条第一款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19</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未建立或未执行抗菌药物管理工作机构和制度</w:t>
            </w:r>
          </w:p>
        </w:tc>
        <w:tc>
          <w:tcPr>
            <w:tcW w:w="554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《抗菌药物临床应用管理办法》第八条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违反抗菌药物的统销、调剂、临床应用和处理管理制度</w:t>
            </w:r>
          </w:p>
        </w:tc>
        <w:tc>
          <w:tcPr>
            <w:tcW w:w="554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《抗菌药物临床应用管理办法》第二十一条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21</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未设立或建立临床用血管理机构和相关管理制度</w:t>
            </w:r>
          </w:p>
        </w:tc>
        <w:tc>
          <w:tcPr>
            <w:tcW w:w="554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《医疗机构临床用血管理办法》第八条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22</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使用未经卫生行政部门指定的血战供应的血液</w:t>
            </w:r>
          </w:p>
        </w:tc>
        <w:tc>
          <w:tcPr>
            <w:tcW w:w="554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《医疗机构临床用血管理办法》第十三条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23</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违反应急用血采血规定</w:t>
            </w:r>
          </w:p>
        </w:tc>
        <w:tc>
          <w:tcPr>
            <w:tcW w:w="554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《医疗机构临床用血管理办法》第二十七条第二款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24</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将不符合国家规定标准的血液用于患者</w:t>
            </w:r>
          </w:p>
        </w:tc>
        <w:tc>
          <w:tcPr>
            <w:tcW w:w="554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《医疗机构临床用血管理办法》第十五条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rPr>
              <w:t>25</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未执行国家有关规定、导致因输入血液、使用血液制品引起经血液传播疾病发生的</w:t>
            </w:r>
          </w:p>
        </w:tc>
        <w:tc>
          <w:tcPr>
            <w:tcW w:w="554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《传染病防治法》第二十三条第二款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26</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违反院前医疗急救管理规定的</w:t>
            </w:r>
          </w:p>
        </w:tc>
        <w:tc>
          <w:tcPr>
            <w:tcW w:w="554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《院前医疗急救管理办法》第九条第二款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27</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未经登记擅自在临床应用医疗技术的</w:t>
            </w:r>
          </w:p>
        </w:tc>
        <w:tc>
          <w:tcPr>
            <w:tcW w:w="554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《医疗机构临床应用管理办法》第三十四条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bCs/>
                <w:sz w:val="24"/>
                <w:szCs w:val="24"/>
              </w:rPr>
            </w:pPr>
            <w:r>
              <w:rPr>
                <w:rFonts w:hint="eastAsia" w:ascii="仿宋" w:hAnsi="仿宋" w:eastAsia="仿宋" w:cs="仿宋"/>
                <w:b/>
                <w:bCs/>
                <w:sz w:val="24"/>
                <w:szCs w:val="24"/>
              </w:rPr>
              <w:t>2</w:t>
            </w:r>
          </w:p>
        </w:tc>
        <w:tc>
          <w:tcPr>
            <w:tcW w:w="1835" w:type="dxa"/>
            <w:noWrap w:val="0"/>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人体器官移植（6项）</w:t>
            </w:r>
          </w:p>
        </w:tc>
        <w:tc>
          <w:tcPr>
            <w:tcW w:w="5545" w:type="dxa"/>
            <w:noWrap w:val="0"/>
            <w:vAlign w:val="center"/>
          </w:tcPr>
          <w:p>
            <w:pPr>
              <w:rPr>
                <w:rFonts w:hint="eastAsia" w:ascii="仿宋" w:hAnsi="仿宋" w:eastAsia="仿宋" w:cs="仿宋"/>
                <w:sz w:val="24"/>
                <w:szCs w:val="24"/>
              </w:rPr>
            </w:pPr>
          </w:p>
        </w:tc>
        <w:tc>
          <w:tcPr>
            <w:tcW w:w="685" w:type="dxa"/>
            <w:noWrap w:val="0"/>
            <w:vAlign w:val="center"/>
          </w:tcPr>
          <w:p>
            <w:pPr>
              <w:jc w:val="center"/>
              <w:rPr>
                <w:rFonts w:hint="eastAsia" w:ascii="仿宋" w:hAnsi="仿宋" w:eastAsia="仿宋" w:cs="仿宋"/>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未经过诊疗科目登记擅自开展人体器官移植</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《人体器官移植条例》第十一条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参与买卖人体器官或者从事与买卖人体器官有关活动</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《人体器官移植条例》第二十六条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不再具备条件，仍从事人体器官移植</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《人体器官移植条例》第十一条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未经审查同意，做出摘取人体器官的决定，或者胁迫医务人员违反规定摘取人体器官</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《人体器官移植条例》第十七条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摘取活体器官前未依照规定履行说明、查验、确认义务的</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《人体器官移植条例》第十九条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6</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对摘取器官完毕的尸体未进行符合伦理的医学处理，恢复尸体原貌的</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《人体器官移植条例》第二十条第二款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bCs/>
                <w:sz w:val="24"/>
                <w:szCs w:val="24"/>
              </w:rPr>
            </w:pPr>
            <w:r>
              <w:rPr>
                <w:rFonts w:hint="eastAsia" w:ascii="仿宋" w:hAnsi="仿宋" w:eastAsia="仿宋" w:cs="仿宋"/>
                <w:b/>
                <w:bCs/>
                <w:sz w:val="24"/>
                <w:szCs w:val="24"/>
              </w:rPr>
              <w:t>3</w:t>
            </w:r>
          </w:p>
        </w:tc>
        <w:tc>
          <w:tcPr>
            <w:tcW w:w="1835" w:type="dxa"/>
            <w:noWrap w:val="0"/>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精神障碍诊疗（9项）</w:t>
            </w:r>
          </w:p>
        </w:tc>
        <w:tc>
          <w:tcPr>
            <w:tcW w:w="5545" w:type="dxa"/>
            <w:noWrap w:val="0"/>
            <w:vAlign w:val="center"/>
          </w:tcPr>
          <w:p>
            <w:pPr>
              <w:rPr>
                <w:rFonts w:hint="eastAsia" w:ascii="仿宋" w:hAnsi="仿宋" w:eastAsia="仿宋" w:cs="仿宋"/>
                <w:sz w:val="24"/>
                <w:szCs w:val="24"/>
              </w:rPr>
            </w:pPr>
          </w:p>
        </w:tc>
        <w:tc>
          <w:tcPr>
            <w:tcW w:w="685" w:type="dxa"/>
            <w:noWrap w:val="0"/>
            <w:vAlign w:val="center"/>
          </w:tcPr>
          <w:p>
            <w:pPr>
              <w:jc w:val="center"/>
              <w:rPr>
                <w:rFonts w:hint="eastAsia" w:ascii="仿宋" w:hAnsi="仿宋" w:eastAsia="仿宋" w:cs="仿宋"/>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不符合规定条件擅自从事精神障碍诊断、治疗</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《精神卫生法》第二十五条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拒绝对送诊的疑似精神障碍患者作出诊断</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《精神卫生法》第二十八条第三款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拒绝对送诊的疑似精神障碍患者作出诊断</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《精神卫生法》第二十八条第三款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对依法实施住院治疗的精神病患者未及时进行检查评估或者未根据评估结果作出处理</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《精神卫生法》第三十二条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对精神病患者违法实施约束、隔离等防护性医疗措施</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《精神卫生法》第四十条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6</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强迫精神障碍患者劳动</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《精神卫生法》第四十一条第二款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7</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对精神障碍患者实施外科手术或者实验性临床医疗</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《精神卫生法》第四十二条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8</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侵害精神障碍患者的通讯和会见探访者等权利</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《精神卫生法》第四十六条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9</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违反精神障碍诊断标准，将非精神障碍患者诊断为精神障碍患者</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《精神卫生法》第三十九条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bCs/>
                <w:sz w:val="24"/>
                <w:szCs w:val="24"/>
              </w:rPr>
            </w:pPr>
            <w:r>
              <w:rPr>
                <w:rFonts w:hint="eastAsia" w:ascii="仿宋" w:hAnsi="仿宋" w:eastAsia="仿宋" w:cs="仿宋"/>
                <w:b/>
                <w:bCs/>
                <w:sz w:val="24"/>
                <w:szCs w:val="24"/>
              </w:rPr>
              <w:t>4</w:t>
            </w:r>
          </w:p>
        </w:tc>
        <w:tc>
          <w:tcPr>
            <w:tcW w:w="1835" w:type="dxa"/>
            <w:noWrap w:val="0"/>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大型医用设备配置和使用（3项）</w:t>
            </w:r>
          </w:p>
        </w:tc>
        <w:tc>
          <w:tcPr>
            <w:tcW w:w="5545" w:type="dxa"/>
            <w:noWrap w:val="0"/>
            <w:vAlign w:val="center"/>
          </w:tcPr>
          <w:p>
            <w:pPr>
              <w:rPr>
                <w:rFonts w:hint="eastAsia" w:ascii="仿宋" w:hAnsi="仿宋" w:eastAsia="仿宋" w:cs="仿宋"/>
                <w:sz w:val="24"/>
                <w:szCs w:val="24"/>
              </w:rPr>
            </w:pP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擅自购置大型医用设备的</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《大型医用设备配置与使用管理办法》第十四条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使用淘汰机型和不合格的大型医用设备的</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《大型医用设备配置与使用管理办法》第二十四条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聘用不具备资质人员操作、使用大型医用设备</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《大型医用设备配置与使用管理办法》第二十一条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bCs/>
                <w:sz w:val="24"/>
                <w:szCs w:val="24"/>
              </w:rPr>
            </w:pPr>
            <w:r>
              <w:rPr>
                <w:rFonts w:hint="eastAsia" w:ascii="仿宋" w:hAnsi="仿宋" w:eastAsia="仿宋" w:cs="仿宋"/>
                <w:b/>
                <w:bCs/>
                <w:sz w:val="24"/>
                <w:szCs w:val="24"/>
              </w:rPr>
              <w:t>5</w:t>
            </w:r>
          </w:p>
        </w:tc>
        <w:tc>
          <w:tcPr>
            <w:tcW w:w="1835" w:type="dxa"/>
            <w:noWrap w:val="0"/>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健康体检（4项）</w:t>
            </w:r>
          </w:p>
        </w:tc>
        <w:tc>
          <w:tcPr>
            <w:tcW w:w="5545" w:type="dxa"/>
            <w:noWrap w:val="0"/>
            <w:vAlign w:val="center"/>
          </w:tcPr>
          <w:p>
            <w:pPr>
              <w:rPr>
                <w:rFonts w:hint="eastAsia" w:ascii="仿宋" w:hAnsi="仿宋" w:eastAsia="仿宋" w:cs="仿宋"/>
                <w:sz w:val="24"/>
                <w:szCs w:val="24"/>
              </w:rPr>
            </w:pPr>
          </w:p>
        </w:tc>
        <w:tc>
          <w:tcPr>
            <w:tcW w:w="685" w:type="dxa"/>
            <w:noWrap w:val="0"/>
            <w:vAlign w:val="center"/>
          </w:tcPr>
          <w:p>
            <w:pPr>
              <w:jc w:val="center"/>
              <w:rPr>
                <w:rFonts w:hint="eastAsia" w:ascii="仿宋" w:hAnsi="仿宋" w:eastAsia="仿宋" w:cs="仿宋"/>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未经许可开展健康体检</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《健康体检管理暂行规定》第四条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2</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未经备案开展外出健康体检的</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《健康体检管理暂行规定》第二十三条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健康体检超出备案的《健康体检项目目录》的</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《健康体检管理暂行规定》第七条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出具虚假或者伪造健康体检结果</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《健康体检管理暂行规定》第十三条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bCs/>
                <w:sz w:val="24"/>
                <w:szCs w:val="24"/>
              </w:rPr>
            </w:pPr>
            <w:r>
              <w:rPr>
                <w:rFonts w:hint="eastAsia" w:ascii="仿宋" w:hAnsi="仿宋" w:eastAsia="仿宋" w:cs="仿宋"/>
                <w:b/>
                <w:bCs/>
                <w:sz w:val="24"/>
                <w:szCs w:val="24"/>
              </w:rPr>
              <w:t>6</w:t>
            </w:r>
          </w:p>
        </w:tc>
        <w:tc>
          <w:tcPr>
            <w:tcW w:w="1835" w:type="dxa"/>
            <w:noWrap w:val="0"/>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母婴保健（</w:t>
            </w:r>
            <w:r>
              <w:rPr>
                <w:rFonts w:hint="eastAsia" w:ascii="仿宋" w:hAnsi="仿宋" w:eastAsia="仿宋" w:cs="仿宋"/>
                <w:b/>
                <w:bCs/>
                <w:sz w:val="24"/>
                <w:szCs w:val="24"/>
                <w:lang w:val="en-US" w:eastAsia="zh-CN"/>
              </w:rPr>
              <w:t>3</w:t>
            </w:r>
            <w:r>
              <w:rPr>
                <w:rFonts w:hint="eastAsia" w:ascii="仿宋" w:hAnsi="仿宋" w:eastAsia="仿宋" w:cs="仿宋"/>
                <w:b/>
                <w:bCs/>
                <w:sz w:val="24"/>
                <w:szCs w:val="24"/>
              </w:rPr>
              <w:t>项）</w:t>
            </w:r>
          </w:p>
        </w:tc>
        <w:tc>
          <w:tcPr>
            <w:tcW w:w="5545" w:type="dxa"/>
            <w:noWrap w:val="0"/>
            <w:vAlign w:val="center"/>
          </w:tcPr>
          <w:p>
            <w:pPr>
              <w:rPr>
                <w:rFonts w:hint="eastAsia" w:ascii="仿宋" w:hAnsi="仿宋" w:eastAsia="仿宋" w:cs="仿宋"/>
                <w:sz w:val="24"/>
                <w:szCs w:val="24"/>
              </w:rPr>
            </w:pPr>
          </w:p>
        </w:tc>
        <w:tc>
          <w:tcPr>
            <w:tcW w:w="685" w:type="dxa"/>
            <w:noWrap w:val="0"/>
            <w:vAlign w:val="center"/>
          </w:tcPr>
          <w:p>
            <w:pPr>
              <w:jc w:val="center"/>
              <w:rPr>
                <w:rFonts w:hint="eastAsia" w:ascii="仿宋" w:hAnsi="仿宋" w:eastAsia="仿宋" w:cs="仿宋"/>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未取得母婴保健技术许可，擅自从事婚前医学检查、遗传病诊断、产前诊断、终止妊娠手术和医学技术坚定或者出具有关医学证明</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《母婴保健法》第三十二条第一款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6</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违反规定进行胎儿性别鉴定</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《母婴保健法》第三十二条第二款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7</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未建立真实完整的终止妊娠药品购进记录，或者未按照规定为终止妊娠药品使用者建立完整用药档案</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《禁止非医学需要的胎儿性别鉴定和选择性别人工终止妊娠的规定》第十四条第四款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bCs/>
                <w:sz w:val="24"/>
                <w:szCs w:val="24"/>
              </w:rPr>
            </w:pPr>
            <w:r>
              <w:rPr>
                <w:rFonts w:hint="eastAsia" w:ascii="仿宋" w:hAnsi="仿宋" w:eastAsia="仿宋" w:cs="仿宋"/>
                <w:b/>
                <w:bCs/>
                <w:sz w:val="24"/>
                <w:szCs w:val="24"/>
              </w:rPr>
              <w:t>7</w:t>
            </w:r>
          </w:p>
        </w:tc>
        <w:tc>
          <w:tcPr>
            <w:tcW w:w="1835" w:type="dxa"/>
            <w:noWrap w:val="0"/>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人类辅助生殖技术服务（4项）</w:t>
            </w:r>
          </w:p>
        </w:tc>
        <w:tc>
          <w:tcPr>
            <w:tcW w:w="5545" w:type="dxa"/>
            <w:noWrap w:val="0"/>
            <w:vAlign w:val="center"/>
          </w:tcPr>
          <w:p>
            <w:pPr>
              <w:rPr>
                <w:rFonts w:hint="eastAsia" w:ascii="仿宋" w:hAnsi="仿宋" w:eastAsia="仿宋" w:cs="仿宋"/>
                <w:sz w:val="24"/>
                <w:szCs w:val="24"/>
              </w:rPr>
            </w:pPr>
          </w:p>
        </w:tc>
        <w:tc>
          <w:tcPr>
            <w:tcW w:w="685" w:type="dxa"/>
            <w:noWrap w:val="0"/>
            <w:vAlign w:val="center"/>
          </w:tcPr>
          <w:p>
            <w:pPr>
              <w:jc w:val="center"/>
              <w:rPr>
                <w:rFonts w:hint="eastAsia" w:ascii="仿宋" w:hAnsi="仿宋" w:eastAsia="仿宋" w:cs="仿宋"/>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8</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未经批准擅自开展人类辅助生殖技术的</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《人类辅助生殖技术管理办法》第十二条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违反规定开展人类辅助生殖技术</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《人类辅助生殖技术管理办法》第三条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未经批准擅自设置人类精子库、采集、提供精子</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《人类精子库管理办法》第十三条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违反规定开展采集、提供精子活动的</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《人类精子库管理办法》第十四条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bCs/>
                <w:sz w:val="24"/>
                <w:szCs w:val="24"/>
              </w:rPr>
            </w:pPr>
            <w:r>
              <w:rPr>
                <w:rFonts w:hint="eastAsia" w:ascii="仿宋" w:hAnsi="仿宋" w:eastAsia="仿宋" w:cs="仿宋"/>
                <w:b/>
                <w:bCs/>
                <w:sz w:val="24"/>
                <w:szCs w:val="24"/>
              </w:rPr>
              <w:t>8</w:t>
            </w:r>
          </w:p>
        </w:tc>
        <w:tc>
          <w:tcPr>
            <w:tcW w:w="1835" w:type="dxa"/>
            <w:noWrap w:val="0"/>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职业健康检查（3项）</w:t>
            </w:r>
          </w:p>
        </w:tc>
        <w:tc>
          <w:tcPr>
            <w:tcW w:w="5545" w:type="dxa"/>
            <w:noWrap w:val="0"/>
            <w:vAlign w:val="center"/>
          </w:tcPr>
          <w:p>
            <w:pPr>
              <w:rPr>
                <w:rFonts w:hint="eastAsia" w:ascii="仿宋" w:hAnsi="仿宋" w:eastAsia="仿宋" w:cs="仿宋"/>
                <w:sz w:val="24"/>
                <w:szCs w:val="24"/>
              </w:rPr>
            </w:pP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无《医疗机构执业许可证》擅自开展职业健康检查</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《职业病防治》第四十四条第二款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医疗机构未经批准擅自从事职业健康检查</w:t>
            </w:r>
          </w:p>
        </w:tc>
        <w:tc>
          <w:tcPr>
            <w:tcW w:w="5545" w:type="dxa"/>
            <w:noWrap w:val="0"/>
            <w:vAlign w:val="center"/>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《职业健康检查管理办法》第四条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3</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职业健康检查机构执业过程中违反规定</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lang w:val="en-US" w:eastAsia="zh-CN"/>
              </w:rPr>
              <w:t>《职业健康检查管理办法》第四十四条第三款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bCs/>
                <w:sz w:val="24"/>
                <w:szCs w:val="24"/>
              </w:rPr>
            </w:pPr>
            <w:r>
              <w:rPr>
                <w:rFonts w:hint="eastAsia" w:ascii="仿宋" w:hAnsi="仿宋" w:eastAsia="仿宋" w:cs="仿宋"/>
                <w:b/>
                <w:bCs/>
                <w:sz w:val="24"/>
                <w:szCs w:val="24"/>
              </w:rPr>
              <w:t>9</w:t>
            </w:r>
          </w:p>
        </w:tc>
        <w:tc>
          <w:tcPr>
            <w:tcW w:w="1835" w:type="dxa"/>
            <w:noWrap w:val="0"/>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放射诊疗（5项）</w:t>
            </w:r>
          </w:p>
        </w:tc>
        <w:tc>
          <w:tcPr>
            <w:tcW w:w="5545" w:type="dxa"/>
            <w:noWrap w:val="0"/>
            <w:vAlign w:val="center"/>
          </w:tcPr>
          <w:p>
            <w:pPr>
              <w:rPr>
                <w:rFonts w:hint="eastAsia" w:ascii="仿宋" w:hAnsi="仿宋" w:eastAsia="仿宋" w:cs="仿宋"/>
                <w:sz w:val="24"/>
                <w:szCs w:val="24"/>
              </w:rPr>
            </w:pPr>
          </w:p>
        </w:tc>
        <w:tc>
          <w:tcPr>
            <w:tcW w:w="685" w:type="dxa"/>
            <w:noWrap w:val="0"/>
            <w:vAlign w:val="center"/>
          </w:tcPr>
          <w:p>
            <w:pPr>
              <w:jc w:val="center"/>
              <w:rPr>
                <w:rFonts w:hint="eastAsia" w:ascii="仿宋" w:hAnsi="仿宋" w:eastAsia="仿宋" w:cs="仿宋"/>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未取得放射诊疗学科从事放射诊疗工作</w:t>
            </w:r>
          </w:p>
        </w:tc>
        <w:tc>
          <w:tcPr>
            <w:tcW w:w="5545" w:type="dxa"/>
            <w:noWrap w:val="0"/>
            <w:vAlign w:val="center"/>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《放射诊疗管理规定》第四条第二款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未办理诊疗科目登记或者未按照规定进行校验</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《放射诊疗管理规定》第十六四条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未经批准擅自变更放射诊疗项目或者超出批准范围从事放射诊疗工作</w:t>
            </w:r>
          </w:p>
        </w:tc>
        <w:tc>
          <w:tcPr>
            <w:tcW w:w="5545" w:type="dxa"/>
            <w:noWrap w:val="0"/>
            <w:vAlign w:val="center"/>
          </w:tcPr>
          <w:p>
            <w:pPr>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《放射诊疗管理规定》第十七条第二款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使用不具备相应资质的人员从事放射诊疗工作的</w:t>
            </w:r>
          </w:p>
        </w:tc>
        <w:tc>
          <w:tcPr>
            <w:tcW w:w="5545" w:type="dxa"/>
            <w:noWrap w:val="0"/>
            <w:vAlign w:val="center"/>
          </w:tcPr>
          <w:p>
            <w:pPr>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《放射诊疗管理规定》第七条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未按照规定做好放射诊疗工作人员职业健康监护的</w:t>
            </w:r>
          </w:p>
        </w:tc>
        <w:tc>
          <w:tcPr>
            <w:tcW w:w="5545" w:type="dxa"/>
            <w:noWrap w:val="0"/>
            <w:vAlign w:val="center"/>
          </w:tcPr>
          <w:p>
            <w:pPr>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《放射诊疗管理规定》第二十条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bCs/>
                <w:sz w:val="24"/>
                <w:szCs w:val="24"/>
              </w:rPr>
            </w:pPr>
            <w:r>
              <w:rPr>
                <w:rFonts w:hint="eastAsia" w:ascii="仿宋" w:hAnsi="仿宋" w:eastAsia="仿宋" w:cs="仿宋"/>
                <w:b/>
                <w:bCs/>
                <w:sz w:val="24"/>
                <w:szCs w:val="24"/>
              </w:rPr>
              <w:t>10</w:t>
            </w:r>
          </w:p>
        </w:tc>
        <w:tc>
          <w:tcPr>
            <w:tcW w:w="1835" w:type="dxa"/>
            <w:noWrap w:val="0"/>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医师执业（</w:t>
            </w:r>
            <w:r>
              <w:rPr>
                <w:rFonts w:hint="eastAsia" w:ascii="仿宋" w:hAnsi="仿宋" w:eastAsia="仿宋" w:cs="仿宋"/>
                <w:b/>
                <w:bCs/>
                <w:sz w:val="24"/>
                <w:szCs w:val="24"/>
                <w:lang w:val="en-US" w:eastAsia="zh-CN"/>
              </w:rPr>
              <w:t>16</w:t>
            </w:r>
            <w:r>
              <w:rPr>
                <w:rFonts w:hint="eastAsia" w:ascii="仿宋" w:hAnsi="仿宋" w:eastAsia="仿宋" w:cs="仿宋"/>
                <w:b/>
                <w:bCs/>
                <w:sz w:val="24"/>
                <w:szCs w:val="24"/>
              </w:rPr>
              <w:t>项）</w:t>
            </w:r>
          </w:p>
        </w:tc>
        <w:tc>
          <w:tcPr>
            <w:tcW w:w="5545" w:type="dxa"/>
            <w:noWrap w:val="0"/>
            <w:vAlign w:val="center"/>
          </w:tcPr>
          <w:p>
            <w:pPr>
              <w:rPr>
                <w:rFonts w:hint="eastAsia" w:ascii="仿宋" w:hAnsi="仿宋" w:eastAsia="仿宋" w:cs="仿宋"/>
                <w:sz w:val="24"/>
                <w:szCs w:val="24"/>
              </w:rPr>
            </w:pPr>
          </w:p>
        </w:tc>
        <w:tc>
          <w:tcPr>
            <w:tcW w:w="685" w:type="dxa"/>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非医师行医</w:t>
            </w:r>
          </w:p>
        </w:tc>
        <w:tc>
          <w:tcPr>
            <w:tcW w:w="5545" w:type="dxa"/>
            <w:noWrap w:val="0"/>
            <w:vAlign w:val="center"/>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《执业医师法》第十四条、《医师执业注册暂行办法》第十四条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擅自开办医疗机构行医</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《执业医师法》第十九条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以不正当手段取得医师执业证书</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《执业医师法》第三十六条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违反卫生行政规章制度或者技术操作规范，造成严重后果</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《执业医师法》第二十二条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由于不负责任延误病危患者的抢救和诊治，造成严重后果</w:t>
            </w:r>
          </w:p>
        </w:tc>
        <w:tc>
          <w:tcPr>
            <w:tcW w:w="5545" w:type="dxa"/>
            <w:noWrap w:val="0"/>
            <w:vAlign w:val="center"/>
          </w:tcPr>
          <w:p>
            <w:pPr>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《执业医师法》第二十四条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6</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未经亲自诊查、调查、签署证明文件</w:t>
            </w:r>
          </w:p>
        </w:tc>
        <w:tc>
          <w:tcPr>
            <w:tcW w:w="5545" w:type="dxa"/>
            <w:noWrap w:val="0"/>
            <w:vAlign w:val="center"/>
          </w:tcPr>
          <w:p>
            <w:pPr>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《执业医师法》第二十三条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7</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隐匿、伪造或者擅自销毁医学文书及有关材料</w:t>
            </w:r>
          </w:p>
        </w:tc>
        <w:tc>
          <w:tcPr>
            <w:tcW w:w="5545" w:type="dxa"/>
            <w:noWrap w:val="0"/>
            <w:vAlign w:val="center"/>
          </w:tcPr>
          <w:p>
            <w:pPr>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《执业医师法》第二十三条第一款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8</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使用未经批准使用的药品、消毒药剂和医疗器械</w:t>
            </w:r>
          </w:p>
        </w:tc>
        <w:tc>
          <w:tcPr>
            <w:tcW w:w="5545" w:type="dxa"/>
            <w:noWrap w:val="0"/>
            <w:vAlign w:val="center"/>
          </w:tcPr>
          <w:p>
            <w:pPr>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《执业医师法》第二十五条第一款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9</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不按照规定使用麻醉药品、医疗用毒性药品、精神药品、放射性药品</w:t>
            </w:r>
          </w:p>
        </w:tc>
        <w:tc>
          <w:tcPr>
            <w:tcW w:w="5545" w:type="dxa"/>
            <w:noWrap w:val="0"/>
            <w:vAlign w:val="center"/>
          </w:tcPr>
          <w:p>
            <w:pPr>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《执业医师法》第二十五条第二款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未经患者或者其家属同意，对患者进行实验性临床用药</w:t>
            </w:r>
          </w:p>
        </w:tc>
        <w:tc>
          <w:tcPr>
            <w:tcW w:w="5545" w:type="dxa"/>
            <w:noWrap w:val="0"/>
            <w:vAlign w:val="center"/>
          </w:tcPr>
          <w:p>
            <w:pPr>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《执业医师法》第二十二条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泄露患者隐私，造成严重后果</w:t>
            </w:r>
          </w:p>
        </w:tc>
        <w:tc>
          <w:tcPr>
            <w:tcW w:w="5545" w:type="dxa"/>
            <w:noWrap w:val="0"/>
            <w:vAlign w:val="center"/>
          </w:tcPr>
          <w:p>
            <w:pPr>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《执业医师法》第二十六条第二款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利用职务之便，索取、非法收受患者财务或者牟取其他不正当利益</w:t>
            </w:r>
          </w:p>
        </w:tc>
        <w:tc>
          <w:tcPr>
            <w:tcW w:w="5545" w:type="dxa"/>
            <w:noWrap w:val="0"/>
            <w:vAlign w:val="center"/>
          </w:tcPr>
          <w:p>
            <w:pPr>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《执业医师法》第二十七条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发生紧急情况时，不服从卫生行政部门调遣</w:t>
            </w:r>
          </w:p>
        </w:tc>
        <w:tc>
          <w:tcPr>
            <w:tcW w:w="5545" w:type="dxa"/>
            <w:noWrap w:val="0"/>
            <w:vAlign w:val="center"/>
          </w:tcPr>
          <w:p>
            <w:pPr>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《执业医师法》第二十八条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不按照规定报告事故、疫情或其他事件</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《执业医师法》第二十九条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未取得处方权或者被取消处方权后开具药品处方</w:t>
            </w:r>
          </w:p>
        </w:tc>
        <w:tc>
          <w:tcPr>
            <w:tcW w:w="5545" w:type="dxa"/>
            <w:noWrap w:val="0"/>
            <w:vAlign w:val="center"/>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《处方管理办法》第四十七条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16</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违反规定开具药品处方</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《处方管理办法》第六条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bCs/>
                <w:sz w:val="24"/>
                <w:szCs w:val="24"/>
              </w:rPr>
            </w:pPr>
            <w:r>
              <w:rPr>
                <w:rFonts w:hint="eastAsia" w:ascii="仿宋" w:hAnsi="仿宋" w:eastAsia="仿宋" w:cs="仿宋"/>
                <w:b/>
                <w:bCs/>
                <w:sz w:val="24"/>
                <w:szCs w:val="24"/>
              </w:rPr>
              <w:t>11</w:t>
            </w:r>
          </w:p>
        </w:tc>
        <w:tc>
          <w:tcPr>
            <w:tcW w:w="1835" w:type="dxa"/>
            <w:noWrap w:val="0"/>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护士执业（4项）</w:t>
            </w:r>
          </w:p>
        </w:tc>
        <w:tc>
          <w:tcPr>
            <w:tcW w:w="5545" w:type="dxa"/>
            <w:noWrap w:val="0"/>
            <w:vAlign w:val="center"/>
          </w:tcPr>
          <w:p>
            <w:pPr>
              <w:rPr>
                <w:rFonts w:hint="eastAsia" w:ascii="仿宋" w:hAnsi="仿宋" w:eastAsia="仿宋" w:cs="仿宋"/>
                <w:sz w:val="24"/>
                <w:szCs w:val="24"/>
              </w:rPr>
            </w:pPr>
          </w:p>
        </w:tc>
        <w:tc>
          <w:tcPr>
            <w:tcW w:w="685" w:type="dxa"/>
            <w:noWrap w:val="0"/>
            <w:vAlign w:val="center"/>
          </w:tcPr>
          <w:p>
            <w:pPr>
              <w:jc w:val="center"/>
              <w:rPr>
                <w:rFonts w:hint="eastAsia" w:ascii="仿宋" w:hAnsi="仿宋" w:eastAsia="仿宋" w:cs="仿宋"/>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发现患者病情危急未立即通知医师</w:t>
            </w:r>
          </w:p>
        </w:tc>
        <w:tc>
          <w:tcPr>
            <w:tcW w:w="5545" w:type="dxa"/>
            <w:noWrap w:val="0"/>
            <w:vAlign w:val="center"/>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《护士条例》第十七条第一款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发现医嘱违反规定，未提出或者报告</w:t>
            </w:r>
          </w:p>
        </w:tc>
        <w:tc>
          <w:tcPr>
            <w:tcW w:w="5545" w:type="dxa"/>
            <w:noWrap w:val="0"/>
            <w:vAlign w:val="center"/>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《护士条例》第十七条第二款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泄露患者隐私</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《护士条例》第十八条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发生突发事件，不服从安排参加医疗救护</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《护士条例》第十九条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bCs/>
                <w:sz w:val="24"/>
                <w:szCs w:val="24"/>
              </w:rPr>
            </w:pPr>
            <w:r>
              <w:rPr>
                <w:rFonts w:hint="eastAsia" w:ascii="仿宋" w:hAnsi="仿宋" w:eastAsia="仿宋" w:cs="仿宋"/>
                <w:b/>
                <w:bCs/>
                <w:sz w:val="24"/>
                <w:szCs w:val="24"/>
              </w:rPr>
              <w:t>12</w:t>
            </w:r>
          </w:p>
        </w:tc>
        <w:tc>
          <w:tcPr>
            <w:tcW w:w="1835" w:type="dxa"/>
            <w:noWrap w:val="0"/>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专项技术服务（</w:t>
            </w:r>
            <w:r>
              <w:rPr>
                <w:rFonts w:hint="eastAsia" w:ascii="仿宋" w:hAnsi="仿宋" w:eastAsia="仿宋" w:cs="仿宋"/>
                <w:b/>
                <w:bCs/>
                <w:sz w:val="24"/>
                <w:szCs w:val="24"/>
                <w:lang w:val="en-US" w:eastAsia="zh-CN"/>
              </w:rPr>
              <w:t>14项</w:t>
            </w:r>
            <w:r>
              <w:rPr>
                <w:rFonts w:hint="eastAsia" w:ascii="仿宋" w:hAnsi="仿宋" w:eastAsia="仿宋" w:cs="仿宋"/>
                <w:b/>
                <w:bCs/>
                <w:sz w:val="24"/>
                <w:szCs w:val="24"/>
              </w:rPr>
              <w:t>）</w:t>
            </w:r>
          </w:p>
        </w:tc>
        <w:tc>
          <w:tcPr>
            <w:tcW w:w="5545" w:type="dxa"/>
            <w:noWrap w:val="0"/>
            <w:vAlign w:val="center"/>
          </w:tcPr>
          <w:p>
            <w:pPr>
              <w:rPr>
                <w:rFonts w:hint="eastAsia" w:ascii="仿宋" w:hAnsi="仿宋" w:eastAsia="仿宋" w:cs="仿宋"/>
                <w:sz w:val="24"/>
                <w:szCs w:val="24"/>
              </w:rPr>
            </w:pPr>
          </w:p>
        </w:tc>
        <w:tc>
          <w:tcPr>
            <w:tcW w:w="685" w:type="dxa"/>
            <w:noWrap w:val="0"/>
            <w:vAlign w:val="center"/>
          </w:tcPr>
          <w:p>
            <w:pPr>
              <w:jc w:val="center"/>
              <w:rPr>
                <w:rFonts w:hint="eastAsia" w:ascii="仿宋" w:hAnsi="仿宋" w:eastAsia="仿宋" w:cs="仿宋"/>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未取得资格擅自开具麻醉 药品和第一类精神药品处方</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《处方管理办法》第十一条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未按照规定开具麻醉药品和第一类精神药品处方，或使用麻醉药品和第一类精神药品</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《处方管理办法》第二十条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违反规定开具抗菌药物处方，或者使用抗菌药物</w:t>
            </w:r>
          </w:p>
        </w:tc>
        <w:tc>
          <w:tcPr>
            <w:tcW w:w="5545" w:type="dxa"/>
            <w:noWrap w:val="0"/>
            <w:vAlign w:val="center"/>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《抗菌药物临床应用管理办法》第十六条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未取得母婴保健技术合格证，擅自从事婚前医学检查、遗传学诊断、产前诊断、终止妊娠手术和医学技术鉴定或者出具有关医学证明</w:t>
            </w:r>
          </w:p>
        </w:tc>
        <w:tc>
          <w:tcPr>
            <w:tcW w:w="5545" w:type="dxa"/>
            <w:noWrap w:val="0"/>
            <w:vAlign w:val="center"/>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《母婴保健法》第三十三条、《母婴保健法实施办法》第三十五条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从事母婴保健技术服务的人员出具虚假医学证明文件</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《母婴保健法》第三十七条、《母婴保健法实施办法》第四十一条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6</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违反规定进行胎儿性别鉴定</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《母婴保健法》第三十二条第二款、《母婴保健法实施办法》第二十三条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rPr>
              <w:t>（</w:t>
            </w:r>
            <w:r>
              <w:rPr>
                <w:rFonts w:hint="eastAsia" w:ascii="仿宋" w:hAnsi="仿宋" w:eastAsia="仿宋" w:cs="仿宋"/>
                <w:sz w:val="24"/>
                <w:szCs w:val="24"/>
                <w:lang w:val="en-US" w:eastAsia="zh-CN"/>
              </w:rPr>
              <w:t>7</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未经人体器官移植技术临床应用与伦理委员会审查同意摘取人体器官</w:t>
            </w:r>
          </w:p>
        </w:tc>
        <w:tc>
          <w:tcPr>
            <w:tcW w:w="5545" w:type="dxa"/>
            <w:noWrap w:val="0"/>
            <w:vAlign w:val="center"/>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《人体器官移植条例》第十七条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8</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摘取活体器官前未依照规定履行说明、查验、确认义务</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《人体器官移植条例》第十九条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9</w:t>
            </w:r>
          </w:p>
        </w:tc>
        <w:tc>
          <w:tcPr>
            <w:tcW w:w="1835" w:type="dxa"/>
            <w:noWrap w:val="0"/>
            <w:vAlign w:val="center"/>
          </w:tcPr>
          <w:p>
            <w:pPr>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对摘取器官完毕的尸体未进行复核伦理原则的医学处理，恢复尸体原貌</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《人体器官移植条例》第二十条第二款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1835" w:type="dxa"/>
            <w:noWrap w:val="0"/>
            <w:vAlign w:val="center"/>
          </w:tcPr>
          <w:p>
            <w:pPr>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从事人体器官移植的医务人员参与尸体器官捐献人的死亡判定</w:t>
            </w:r>
          </w:p>
        </w:tc>
        <w:tc>
          <w:tcPr>
            <w:tcW w:w="5545" w:type="dxa"/>
            <w:noWrap w:val="0"/>
            <w:vAlign w:val="center"/>
          </w:tcPr>
          <w:p>
            <w:pPr>
              <w:rPr>
                <w:rFonts w:hint="eastAsia" w:ascii="仿宋" w:hAnsi="仿宋" w:eastAsia="仿宋" w:cs="仿宋"/>
                <w:sz w:val="24"/>
                <w:szCs w:val="24"/>
                <w:lang w:val="en-US" w:eastAsia="zh-CN"/>
              </w:rPr>
            </w:pPr>
            <w:r>
              <w:rPr>
                <w:rFonts w:hint="eastAsia" w:ascii="仿宋" w:hAnsi="仿宋" w:eastAsia="仿宋" w:cs="仿宋"/>
                <w:sz w:val="24"/>
                <w:szCs w:val="24"/>
                <w:lang w:eastAsia="zh-CN"/>
              </w:rPr>
              <w:t>《人体器官移植条例》第二十条第一款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w:t>
            </w:r>
          </w:p>
        </w:tc>
        <w:tc>
          <w:tcPr>
            <w:tcW w:w="1835" w:type="dxa"/>
            <w:noWrap w:val="0"/>
            <w:vAlign w:val="center"/>
          </w:tcPr>
          <w:p>
            <w:pPr>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心理咨询人员从事心理治疗或者精神障碍的诊断、治疗</w:t>
            </w:r>
          </w:p>
        </w:tc>
        <w:tc>
          <w:tcPr>
            <w:tcW w:w="5545" w:type="dxa"/>
            <w:noWrap w:val="0"/>
            <w:vAlign w:val="center"/>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《精神卫生法》第二十三条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w:t>
            </w:r>
          </w:p>
        </w:tc>
        <w:tc>
          <w:tcPr>
            <w:tcW w:w="1835" w:type="dxa"/>
            <w:noWrap w:val="0"/>
            <w:vAlign w:val="center"/>
          </w:tcPr>
          <w:p>
            <w:pPr>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从事心理治疗的人员在医疗机构以外开展心理诊疗活动</w:t>
            </w:r>
          </w:p>
        </w:tc>
        <w:tc>
          <w:tcPr>
            <w:tcW w:w="5545" w:type="dxa"/>
            <w:noWrap w:val="0"/>
            <w:vAlign w:val="center"/>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《精神卫生法》第五十一条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w:t>
            </w:r>
          </w:p>
        </w:tc>
        <w:tc>
          <w:tcPr>
            <w:tcW w:w="1835" w:type="dxa"/>
            <w:noWrap w:val="0"/>
            <w:vAlign w:val="center"/>
          </w:tcPr>
          <w:p>
            <w:pPr>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专门从事心理治疗的人员从事精神障碍的诊断</w:t>
            </w:r>
          </w:p>
        </w:tc>
        <w:tc>
          <w:tcPr>
            <w:tcW w:w="5545" w:type="dxa"/>
            <w:noWrap w:val="0"/>
            <w:vAlign w:val="center"/>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《精神卫生法》第五十一条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w:t>
            </w:r>
          </w:p>
        </w:tc>
        <w:tc>
          <w:tcPr>
            <w:tcW w:w="1835" w:type="dxa"/>
            <w:noWrap w:val="0"/>
            <w:vAlign w:val="center"/>
          </w:tcPr>
          <w:p>
            <w:pPr>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专门从事心理治疗的人员为精神障碍患者开具处方或者提供外科治疗</w:t>
            </w:r>
          </w:p>
        </w:tc>
        <w:tc>
          <w:tcPr>
            <w:tcW w:w="5545" w:type="dxa"/>
            <w:noWrap w:val="0"/>
            <w:vAlign w:val="center"/>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《精神卫生法》第五十一条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bCs/>
                <w:sz w:val="24"/>
                <w:szCs w:val="24"/>
              </w:rPr>
            </w:pPr>
            <w:r>
              <w:rPr>
                <w:rFonts w:hint="eastAsia" w:ascii="仿宋" w:hAnsi="仿宋" w:eastAsia="仿宋" w:cs="仿宋"/>
                <w:b/>
                <w:bCs/>
                <w:sz w:val="24"/>
                <w:szCs w:val="24"/>
              </w:rPr>
              <w:t>13</w:t>
            </w:r>
          </w:p>
        </w:tc>
        <w:tc>
          <w:tcPr>
            <w:tcW w:w="1835" w:type="dxa"/>
            <w:noWrap w:val="0"/>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乡村医生（2项）</w:t>
            </w:r>
          </w:p>
        </w:tc>
        <w:tc>
          <w:tcPr>
            <w:tcW w:w="5545" w:type="dxa"/>
            <w:noWrap w:val="0"/>
            <w:vAlign w:val="center"/>
          </w:tcPr>
          <w:p>
            <w:pPr>
              <w:rPr>
                <w:rFonts w:hint="eastAsia" w:ascii="仿宋" w:hAnsi="仿宋" w:eastAsia="仿宋" w:cs="仿宋"/>
                <w:sz w:val="24"/>
                <w:szCs w:val="24"/>
              </w:rPr>
            </w:pPr>
          </w:p>
        </w:tc>
        <w:tc>
          <w:tcPr>
            <w:tcW w:w="685" w:type="dxa"/>
            <w:noWrap w:val="0"/>
            <w:vAlign w:val="center"/>
          </w:tcPr>
          <w:p>
            <w:pPr>
              <w:jc w:val="center"/>
              <w:rPr>
                <w:rFonts w:hint="eastAsia" w:ascii="仿宋" w:hAnsi="仿宋" w:eastAsia="仿宋" w:cs="仿宋"/>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未经注册在村医疗卫生机构从事医疗活动</w:t>
            </w:r>
          </w:p>
        </w:tc>
        <w:tc>
          <w:tcPr>
            <w:tcW w:w="5545" w:type="dxa"/>
            <w:noWrap w:val="0"/>
            <w:vAlign w:val="center"/>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《乡村医生从业管理条例》第十五条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乡村医生在执业活动中违反规定</w:t>
            </w:r>
          </w:p>
        </w:tc>
        <w:tc>
          <w:tcPr>
            <w:tcW w:w="5545" w:type="dxa"/>
            <w:noWrap w:val="0"/>
            <w:vAlign w:val="center"/>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《乡村医生从业管理条例》第二十五条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bCs/>
                <w:sz w:val="24"/>
                <w:szCs w:val="24"/>
              </w:rPr>
            </w:pPr>
            <w:r>
              <w:rPr>
                <w:rFonts w:hint="eastAsia" w:ascii="仿宋" w:hAnsi="仿宋" w:eastAsia="仿宋" w:cs="仿宋"/>
                <w:b/>
                <w:bCs/>
                <w:sz w:val="24"/>
                <w:szCs w:val="24"/>
              </w:rPr>
              <w:t>14</w:t>
            </w:r>
          </w:p>
        </w:tc>
        <w:tc>
          <w:tcPr>
            <w:tcW w:w="1835" w:type="dxa"/>
            <w:noWrap w:val="0"/>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药师（3项）</w:t>
            </w:r>
          </w:p>
        </w:tc>
        <w:tc>
          <w:tcPr>
            <w:tcW w:w="5545" w:type="dxa"/>
            <w:noWrap w:val="0"/>
            <w:vAlign w:val="center"/>
          </w:tcPr>
          <w:p>
            <w:pPr>
              <w:rPr>
                <w:rFonts w:hint="eastAsia" w:ascii="仿宋" w:hAnsi="仿宋" w:eastAsia="仿宋" w:cs="仿宋"/>
                <w:sz w:val="24"/>
                <w:szCs w:val="24"/>
              </w:rPr>
            </w:pPr>
          </w:p>
        </w:tc>
        <w:tc>
          <w:tcPr>
            <w:tcW w:w="685" w:type="dxa"/>
            <w:noWrap w:val="0"/>
            <w:vAlign w:val="center"/>
          </w:tcPr>
          <w:p>
            <w:pPr>
              <w:jc w:val="center"/>
              <w:rPr>
                <w:rFonts w:hint="eastAsia" w:ascii="仿宋" w:hAnsi="仿宋" w:eastAsia="仿宋" w:cs="仿宋"/>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未按照规定调剂麻醉药品、精神药品处方</w:t>
            </w:r>
          </w:p>
        </w:tc>
        <w:tc>
          <w:tcPr>
            <w:tcW w:w="5545" w:type="dxa"/>
            <w:noWrap w:val="0"/>
            <w:vAlign w:val="center"/>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《处方管理办法》第三十九条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未按照规定调剂处方药品</w:t>
            </w:r>
          </w:p>
        </w:tc>
        <w:tc>
          <w:tcPr>
            <w:tcW w:w="5545" w:type="dxa"/>
            <w:noWrap w:val="0"/>
            <w:vAlign w:val="center"/>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《处方管理办法》第三十二条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未按照规定审核、调剂抗菌药物处方，或者私自增加抗菌药物品种或者品规</w:t>
            </w:r>
          </w:p>
        </w:tc>
        <w:tc>
          <w:tcPr>
            <w:tcW w:w="5545" w:type="dxa"/>
            <w:noWrap w:val="0"/>
            <w:vAlign w:val="center"/>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《抗菌药物临床应用管理办法》第四十七条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bCs/>
                <w:sz w:val="24"/>
                <w:szCs w:val="24"/>
              </w:rPr>
            </w:pPr>
            <w:r>
              <w:rPr>
                <w:rFonts w:hint="eastAsia" w:ascii="仿宋" w:hAnsi="仿宋" w:eastAsia="仿宋" w:cs="仿宋"/>
                <w:b/>
                <w:bCs/>
                <w:sz w:val="24"/>
                <w:szCs w:val="24"/>
              </w:rPr>
              <w:t>15</w:t>
            </w:r>
          </w:p>
        </w:tc>
        <w:tc>
          <w:tcPr>
            <w:tcW w:w="1835" w:type="dxa"/>
            <w:noWrap w:val="0"/>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医疗事故和处置（4项）</w:t>
            </w:r>
          </w:p>
        </w:tc>
        <w:tc>
          <w:tcPr>
            <w:tcW w:w="5545" w:type="dxa"/>
            <w:noWrap w:val="0"/>
            <w:vAlign w:val="center"/>
          </w:tcPr>
          <w:p>
            <w:pPr>
              <w:rPr>
                <w:rFonts w:hint="eastAsia" w:ascii="仿宋" w:hAnsi="仿宋" w:eastAsia="仿宋" w:cs="仿宋"/>
                <w:sz w:val="24"/>
                <w:szCs w:val="24"/>
              </w:rPr>
            </w:pPr>
          </w:p>
        </w:tc>
        <w:tc>
          <w:tcPr>
            <w:tcW w:w="685" w:type="dxa"/>
            <w:noWrap w:val="0"/>
            <w:vAlign w:val="center"/>
          </w:tcPr>
          <w:p>
            <w:pPr>
              <w:jc w:val="center"/>
              <w:rPr>
                <w:rFonts w:hint="eastAsia" w:ascii="仿宋" w:hAnsi="仿宋" w:eastAsia="仿宋" w:cs="仿宋"/>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医疗机构发生医疗事故</w:t>
            </w:r>
          </w:p>
        </w:tc>
        <w:tc>
          <w:tcPr>
            <w:tcW w:w="5545" w:type="dxa"/>
            <w:noWrap w:val="0"/>
            <w:vAlign w:val="center"/>
          </w:tcPr>
          <w:p>
            <w:pPr>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《医疗事故处理条例》第七条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医务人员发生医疗事故</w:t>
            </w:r>
          </w:p>
        </w:tc>
        <w:tc>
          <w:tcPr>
            <w:tcW w:w="5545" w:type="dxa"/>
            <w:noWrap w:val="0"/>
            <w:vAlign w:val="center"/>
          </w:tcPr>
          <w:p>
            <w:pPr>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《医疗事故处理条例》第五十五条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从事计划生育技术服务的机构发生技术服务事故</w:t>
            </w:r>
          </w:p>
        </w:tc>
        <w:tc>
          <w:tcPr>
            <w:tcW w:w="5545" w:type="dxa"/>
            <w:noWrap w:val="0"/>
            <w:vAlign w:val="center"/>
          </w:tcPr>
          <w:p>
            <w:pPr>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《医疗事故处理条例》第六十条、《计划声音技术服务管理条例》第四十三条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疫苗接种单位违反规定给受种者造成损害</w:t>
            </w:r>
          </w:p>
        </w:tc>
        <w:tc>
          <w:tcPr>
            <w:tcW w:w="5545" w:type="dxa"/>
            <w:noWrap w:val="0"/>
            <w:vAlign w:val="center"/>
          </w:tcPr>
          <w:p>
            <w:pP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《疫苗流通和预防接种管理条例》第二十四条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bCs/>
                <w:sz w:val="24"/>
                <w:szCs w:val="24"/>
              </w:rPr>
            </w:pPr>
            <w:r>
              <w:rPr>
                <w:rFonts w:hint="eastAsia" w:ascii="仿宋" w:hAnsi="仿宋" w:eastAsia="仿宋" w:cs="仿宋"/>
                <w:b/>
                <w:bCs/>
                <w:sz w:val="24"/>
                <w:szCs w:val="24"/>
              </w:rPr>
              <w:t>16</w:t>
            </w:r>
          </w:p>
        </w:tc>
        <w:tc>
          <w:tcPr>
            <w:tcW w:w="1835" w:type="dxa"/>
            <w:noWrap w:val="0"/>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传染病防控机构职责（3项）</w:t>
            </w:r>
          </w:p>
        </w:tc>
        <w:tc>
          <w:tcPr>
            <w:tcW w:w="5545" w:type="dxa"/>
            <w:noWrap w:val="0"/>
            <w:vAlign w:val="center"/>
          </w:tcPr>
          <w:p>
            <w:pPr>
              <w:rPr>
                <w:rFonts w:hint="eastAsia" w:ascii="仿宋" w:hAnsi="仿宋" w:eastAsia="仿宋" w:cs="仿宋"/>
                <w:sz w:val="24"/>
                <w:szCs w:val="24"/>
              </w:rPr>
            </w:pPr>
          </w:p>
        </w:tc>
        <w:tc>
          <w:tcPr>
            <w:tcW w:w="685" w:type="dxa"/>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疾病预防控制机构未履行传染病监测、疫情报告等职责</w:t>
            </w:r>
          </w:p>
        </w:tc>
        <w:tc>
          <w:tcPr>
            <w:tcW w:w="5545" w:type="dxa"/>
            <w:noWrap w:val="0"/>
            <w:vAlign w:val="center"/>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《传染病防治法》第七条第一款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医疗机构未按照规定承担传染病预防控制、疫情报告等职责</w:t>
            </w:r>
          </w:p>
        </w:tc>
        <w:tc>
          <w:tcPr>
            <w:tcW w:w="5545" w:type="dxa"/>
            <w:noWrap w:val="0"/>
            <w:vAlign w:val="center"/>
          </w:tcPr>
          <w:p>
            <w:pPr>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《传染病防治法》第七条第二款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采供血机构未按照规定履行传染病疫情报告职责</w:t>
            </w:r>
          </w:p>
        </w:tc>
        <w:tc>
          <w:tcPr>
            <w:tcW w:w="5545" w:type="dxa"/>
            <w:noWrap w:val="0"/>
            <w:vAlign w:val="center"/>
          </w:tcPr>
          <w:p>
            <w:pPr>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《传染病防治法》第三十条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bCs/>
                <w:sz w:val="24"/>
                <w:szCs w:val="24"/>
              </w:rPr>
            </w:pPr>
            <w:r>
              <w:rPr>
                <w:rFonts w:hint="eastAsia" w:ascii="仿宋" w:hAnsi="仿宋" w:eastAsia="仿宋" w:cs="仿宋"/>
                <w:b/>
                <w:bCs/>
                <w:sz w:val="24"/>
                <w:szCs w:val="24"/>
              </w:rPr>
              <w:t>17</w:t>
            </w:r>
          </w:p>
        </w:tc>
        <w:tc>
          <w:tcPr>
            <w:tcW w:w="1835" w:type="dxa"/>
            <w:noWrap w:val="0"/>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疫苗流通和预防接种（4项）</w:t>
            </w:r>
          </w:p>
        </w:tc>
        <w:tc>
          <w:tcPr>
            <w:tcW w:w="5545" w:type="dxa"/>
            <w:noWrap w:val="0"/>
            <w:vAlign w:val="center"/>
          </w:tcPr>
          <w:p>
            <w:pPr>
              <w:rPr>
                <w:rFonts w:hint="eastAsia" w:ascii="仿宋" w:hAnsi="仿宋" w:eastAsia="仿宋" w:cs="仿宋"/>
                <w:sz w:val="24"/>
                <w:szCs w:val="24"/>
              </w:rPr>
            </w:pPr>
          </w:p>
        </w:tc>
        <w:tc>
          <w:tcPr>
            <w:tcW w:w="685" w:type="dxa"/>
            <w:noWrap w:val="0"/>
            <w:vAlign w:val="center"/>
          </w:tcPr>
          <w:p>
            <w:pPr>
              <w:jc w:val="center"/>
              <w:rPr>
                <w:rFonts w:hint="eastAsia" w:ascii="仿宋" w:hAnsi="仿宋" w:eastAsia="仿宋" w:cs="仿宋"/>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疾病预防控制机构违反疫苗流通和预防接种管理规定</w:t>
            </w:r>
          </w:p>
        </w:tc>
        <w:tc>
          <w:tcPr>
            <w:tcW w:w="5545" w:type="dxa"/>
            <w:noWrap w:val="0"/>
            <w:vAlign w:val="center"/>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《疫苗流通和预防接种管理条例》第十五条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接种单位违反疫苗流通和预防接种管理规定</w:t>
            </w:r>
          </w:p>
        </w:tc>
        <w:tc>
          <w:tcPr>
            <w:tcW w:w="5545" w:type="dxa"/>
            <w:noWrap w:val="0"/>
            <w:vAlign w:val="center"/>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《疫苗流通和预防接种管理条例》第十六条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乡级医疗卫生机构未依照规定将第一类疫苗分发到承担预防接种工作的村医疗卫生机构</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《疫苗流通和预防接种管理条例》第十四条第一款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擅自进行群体性预防接种</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《疫苗流通和预防接种管理条例》第三十一条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bCs/>
                <w:sz w:val="24"/>
                <w:szCs w:val="24"/>
              </w:rPr>
            </w:pPr>
            <w:r>
              <w:rPr>
                <w:rFonts w:hint="eastAsia" w:ascii="仿宋" w:hAnsi="仿宋" w:eastAsia="仿宋" w:cs="仿宋"/>
                <w:b/>
                <w:bCs/>
                <w:sz w:val="24"/>
                <w:szCs w:val="24"/>
              </w:rPr>
              <w:t>18</w:t>
            </w:r>
          </w:p>
        </w:tc>
        <w:tc>
          <w:tcPr>
            <w:tcW w:w="1835" w:type="dxa"/>
            <w:noWrap w:val="0"/>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消毒产品和消毒隔离（7项）</w:t>
            </w:r>
          </w:p>
        </w:tc>
        <w:tc>
          <w:tcPr>
            <w:tcW w:w="5545" w:type="dxa"/>
            <w:noWrap w:val="0"/>
            <w:vAlign w:val="center"/>
          </w:tcPr>
          <w:p>
            <w:pPr>
              <w:rPr>
                <w:rFonts w:hint="eastAsia" w:ascii="仿宋" w:hAnsi="仿宋" w:eastAsia="仿宋" w:cs="仿宋"/>
                <w:sz w:val="24"/>
                <w:szCs w:val="24"/>
              </w:rPr>
            </w:pPr>
          </w:p>
        </w:tc>
        <w:tc>
          <w:tcPr>
            <w:tcW w:w="685" w:type="dxa"/>
            <w:noWrap w:val="0"/>
            <w:vAlign w:val="center"/>
          </w:tcPr>
          <w:p>
            <w:pPr>
              <w:jc w:val="center"/>
              <w:rPr>
                <w:rFonts w:hint="eastAsia" w:ascii="仿宋" w:hAnsi="仿宋" w:eastAsia="仿宋" w:cs="仿宋"/>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医疗卫生机构违反消毒隔离管理制度的</w:t>
            </w:r>
          </w:p>
        </w:tc>
        <w:tc>
          <w:tcPr>
            <w:tcW w:w="5545" w:type="dxa"/>
            <w:noWrap w:val="0"/>
            <w:vAlign w:val="center"/>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《传染病防治法》第三十九条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出售、运输疫区中被传染病病原体污染或者可能被传染病病原体污染的物品，未进行消毒处理</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《传染病防治法》第四十七条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消毒产品的命名、标签不符合规定</w:t>
            </w:r>
          </w:p>
        </w:tc>
        <w:tc>
          <w:tcPr>
            <w:tcW w:w="5545" w:type="dxa"/>
            <w:noWrap w:val="0"/>
            <w:vAlign w:val="center"/>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《消毒管理办法》第三十一条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rPr>
              <w:t>（</w:t>
            </w:r>
            <w:r>
              <w:rPr>
                <w:rFonts w:hint="eastAsia" w:ascii="仿宋" w:hAnsi="仿宋" w:eastAsia="仿宋" w:cs="仿宋"/>
                <w:sz w:val="24"/>
                <w:szCs w:val="24"/>
                <w:lang w:val="en-US" w:eastAsia="zh-CN"/>
              </w:rPr>
              <w:t>4</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生产经营无生产企业卫生许可证、产品备案凭证或卫生许可批件的消毒产品或产品卫生质量不符合要求</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《消毒管理办法》第三十二条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用于传染病防治的消毒产品不符合国家卫生标准和卫生规范</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《传染病防治法》第二十九条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6</w:t>
            </w:r>
          </w:p>
        </w:tc>
        <w:tc>
          <w:tcPr>
            <w:tcW w:w="1835" w:type="dxa"/>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消毒服务机构消毒后的物品未达到卫生标准和要求</w:t>
            </w:r>
          </w:p>
        </w:tc>
        <w:tc>
          <w:tcPr>
            <w:tcW w:w="5545" w:type="dxa"/>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《传染病防治法》第三十三条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7</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餐具、饮具集中消毒服务单位违反餐具、饮具消毒规定</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《食品安全法》第五十八条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bCs/>
                <w:sz w:val="24"/>
                <w:szCs w:val="24"/>
              </w:rPr>
            </w:pPr>
            <w:r>
              <w:rPr>
                <w:rFonts w:hint="eastAsia" w:ascii="仿宋" w:hAnsi="仿宋" w:eastAsia="仿宋" w:cs="仿宋"/>
                <w:b/>
                <w:bCs/>
                <w:sz w:val="24"/>
                <w:szCs w:val="24"/>
              </w:rPr>
              <w:t>19</w:t>
            </w:r>
          </w:p>
        </w:tc>
        <w:tc>
          <w:tcPr>
            <w:tcW w:w="1835" w:type="dxa"/>
            <w:noWrap w:val="0"/>
            <w:vAlign w:val="top"/>
          </w:tcPr>
          <w:p>
            <w:pPr>
              <w:jc w:val="center"/>
              <w:rPr>
                <w:rFonts w:hint="eastAsia" w:ascii="仿宋" w:hAnsi="仿宋" w:eastAsia="仿宋" w:cs="仿宋"/>
                <w:b/>
                <w:bCs/>
                <w:sz w:val="24"/>
                <w:szCs w:val="24"/>
              </w:rPr>
            </w:pPr>
            <w:r>
              <w:rPr>
                <w:rFonts w:hint="eastAsia" w:ascii="仿宋" w:hAnsi="仿宋" w:eastAsia="仿宋" w:cs="仿宋"/>
                <w:b/>
                <w:bCs/>
                <w:sz w:val="24"/>
                <w:szCs w:val="24"/>
              </w:rPr>
              <w:t>医疗废物管理（1</w:t>
            </w:r>
            <w:r>
              <w:rPr>
                <w:rFonts w:hint="eastAsia" w:ascii="仿宋" w:hAnsi="仿宋" w:eastAsia="仿宋" w:cs="仿宋"/>
                <w:b/>
                <w:bCs/>
                <w:sz w:val="24"/>
                <w:szCs w:val="24"/>
                <w:lang w:val="en-US" w:eastAsia="zh-CN"/>
              </w:rPr>
              <w:t>3</w:t>
            </w:r>
            <w:r>
              <w:rPr>
                <w:rFonts w:hint="eastAsia" w:ascii="仿宋" w:hAnsi="仿宋" w:eastAsia="仿宋" w:cs="仿宋"/>
                <w:b/>
                <w:bCs/>
                <w:sz w:val="24"/>
                <w:szCs w:val="24"/>
              </w:rPr>
              <w:t>项）</w:t>
            </w:r>
          </w:p>
        </w:tc>
        <w:tc>
          <w:tcPr>
            <w:tcW w:w="5545" w:type="dxa"/>
            <w:noWrap w:val="0"/>
            <w:vAlign w:val="top"/>
          </w:tcPr>
          <w:p>
            <w:pPr>
              <w:rPr>
                <w:rFonts w:hint="eastAsia" w:ascii="仿宋" w:hAnsi="仿宋" w:eastAsia="仿宋" w:cs="仿宋"/>
                <w:sz w:val="24"/>
                <w:szCs w:val="24"/>
              </w:rPr>
            </w:pPr>
          </w:p>
        </w:tc>
        <w:tc>
          <w:tcPr>
            <w:tcW w:w="685" w:type="dxa"/>
            <w:noWrap w:val="0"/>
            <w:vAlign w:val="center"/>
          </w:tcPr>
          <w:p>
            <w:pPr>
              <w:jc w:val="center"/>
              <w:rPr>
                <w:rFonts w:hint="eastAsia" w:ascii="仿宋" w:hAnsi="仿宋" w:eastAsia="仿宋" w:cs="仿宋"/>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未建立、健全医疗废物管理制度，或者未设置监控部门或者专（兼）职人员</w:t>
            </w:r>
          </w:p>
        </w:tc>
        <w:tc>
          <w:tcPr>
            <w:tcW w:w="5545" w:type="dxa"/>
            <w:noWrap w:val="0"/>
            <w:vAlign w:val="top"/>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《医疗废物管理条例》第七条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未对有关人员进行医疗废物相关法律和知识培训</w:t>
            </w:r>
          </w:p>
        </w:tc>
        <w:tc>
          <w:tcPr>
            <w:tcW w:w="5545" w:type="dxa"/>
            <w:noWrap w:val="0"/>
            <w:vAlign w:val="top"/>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《医疗废物管理条例》第九条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未对医疗废物进行登记或者保存登记资料</w:t>
            </w:r>
          </w:p>
        </w:tc>
        <w:tc>
          <w:tcPr>
            <w:tcW w:w="5545" w:type="dxa"/>
            <w:noWrap w:val="0"/>
            <w:vAlign w:val="top"/>
          </w:tcPr>
          <w:p>
            <w:pPr>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《医疗废物管理条例》第十二条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对使用后的医疗废物运送工具或者运送车辆未在指定地点及时进行消毒和清洁</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《医疗废物管理条例》第十八条第二款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未定期对医疗废物处置设施的卫生学效果进行检测、评价者未将检测、评价效果存档、报告</w:t>
            </w:r>
          </w:p>
        </w:tc>
        <w:tc>
          <w:tcPr>
            <w:tcW w:w="5545" w:type="dxa"/>
            <w:noWrap w:val="0"/>
            <w:vAlign w:val="top"/>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《医疗废物管理条例》第三十条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6</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未对从事医疗废物工作的人员和管理人员采取职业卫生防护措施</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《医疗废物管理条例》第十条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7</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贮存设施或者设备不符合环境保护、卫生要求</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《医疗废物管理条例》第十七条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8</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未将医疗废物按照类别分置于专用包装物或者容器</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《医疗废物管理条例》第十六条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9</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未使用符合标准的运送工具运送医疗废物</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《医疗废物管理条例》第十八条第一款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运送过程中丢弃医疗废物，在非贮存地点倾倒、堆放医疗废物或者医疗废物混入其他废物和生活垃圾</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《医疗废物管理条例》第十四条第二款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未按照规定对污水、传染病病人或者疑似传染病病人的排泄物，进行严格消毒的，或者未达到国家规定的排放标准，排入医疗卫生机构内的污水处理系统</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《医疗废物管理条例》第二十条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对收治的传染病病人或者疑似传染病病人产生的生活垃圾，未按照医疗废物进行管理和处置</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《医疗废物管理条例》第三条第二款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rPr>
              <w:t>（</w:t>
            </w:r>
            <w:r>
              <w:rPr>
                <w:rFonts w:hint="eastAsia" w:ascii="仿宋" w:hAnsi="仿宋" w:eastAsia="仿宋" w:cs="仿宋"/>
                <w:sz w:val="24"/>
                <w:szCs w:val="24"/>
                <w:lang w:val="en-US" w:eastAsia="zh-CN"/>
              </w:rPr>
              <w:t>13</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发生医疗废物流失、泄露、扩散时，未采取紧急处理措施，或者未及时向卫生行政主管部门报告</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《医疗废物管理条例》第十二条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bCs/>
                <w:sz w:val="24"/>
                <w:szCs w:val="24"/>
              </w:rPr>
            </w:pPr>
            <w:r>
              <w:rPr>
                <w:rFonts w:hint="eastAsia" w:ascii="仿宋" w:hAnsi="仿宋" w:eastAsia="仿宋" w:cs="仿宋"/>
                <w:b/>
                <w:bCs/>
                <w:sz w:val="24"/>
                <w:szCs w:val="24"/>
              </w:rPr>
              <w:t>20</w:t>
            </w:r>
          </w:p>
        </w:tc>
        <w:tc>
          <w:tcPr>
            <w:tcW w:w="1835" w:type="dxa"/>
            <w:noWrap w:val="0"/>
            <w:vAlign w:val="top"/>
          </w:tcPr>
          <w:p>
            <w:pPr>
              <w:jc w:val="center"/>
              <w:rPr>
                <w:rFonts w:hint="eastAsia" w:ascii="仿宋" w:hAnsi="仿宋" w:eastAsia="仿宋" w:cs="仿宋"/>
                <w:b/>
                <w:bCs/>
                <w:sz w:val="24"/>
                <w:szCs w:val="24"/>
              </w:rPr>
            </w:pPr>
            <w:r>
              <w:rPr>
                <w:rFonts w:hint="eastAsia" w:ascii="仿宋" w:hAnsi="仿宋" w:eastAsia="仿宋" w:cs="仿宋"/>
                <w:b/>
                <w:bCs/>
                <w:sz w:val="24"/>
                <w:szCs w:val="24"/>
              </w:rPr>
              <w:t>病原微生物及实验室管理（</w:t>
            </w:r>
            <w:r>
              <w:rPr>
                <w:rFonts w:hint="eastAsia" w:ascii="仿宋" w:hAnsi="仿宋" w:eastAsia="仿宋" w:cs="仿宋"/>
                <w:b/>
                <w:bCs/>
                <w:sz w:val="24"/>
                <w:szCs w:val="24"/>
                <w:lang w:val="en-US" w:eastAsia="zh-CN"/>
              </w:rPr>
              <w:t>23项</w:t>
            </w:r>
            <w:r>
              <w:rPr>
                <w:rFonts w:hint="eastAsia" w:ascii="仿宋" w:hAnsi="仿宋" w:eastAsia="仿宋" w:cs="仿宋"/>
                <w:b/>
                <w:bCs/>
                <w:sz w:val="24"/>
                <w:szCs w:val="24"/>
              </w:rPr>
              <w:t>）</w:t>
            </w:r>
          </w:p>
        </w:tc>
        <w:tc>
          <w:tcPr>
            <w:tcW w:w="5545" w:type="dxa"/>
            <w:noWrap w:val="0"/>
            <w:vAlign w:val="top"/>
          </w:tcPr>
          <w:p>
            <w:pPr>
              <w:rPr>
                <w:rFonts w:hint="eastAsia" w:ascii="仿宋" w:hAnsi="仿宋" w:eastAsia="仿宋" w:cs="仿宋"/>
                <w:sz w:val="24"/>
                <w:szCs w:val="24"/>
              </w:rPr>
            </w:pPr>
          </w:p>
        </w:tc>
        <w:tc>
          <w:tcPr>
            <w:tcW w:w="685" w:type="dxa"/>
            <w:noWrap w:val="0"/>
            <w:vAlign w:val="center"/>
          </w:tcPr>
          <w:p>
            <w:pPr>
              <w:jc w:val="center"/>
              <w:rPr>
                <w:rFonts w:hint="eastAsia" w:ascii="仿宋" w:hAnsi="仿宋" w:eastAsia="仿宋" w:cs="仿宋"/>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c>
          <w:tcPr>
            <w:tcW w:w="1835" w:type="dxa"/>
            <w:noWrap w:val="0"/>
            <w:vAlign w:val="top"/>
          </w:tcPr>
          <w:p>
            <w:pPr>
              <w:rPr>
                <w:rFonts w:hint="eastAsia" w:ascii="仿宋" w:hAnsi="仿宋" w:eastAsia="仿宋" w:cs="仿宋"/>
                <w:sz w:val="24"/>
                <w:szCs w:val="24"/>
              </w:rPr>
            </w:pPr>
            <w:r>
              <w:rPr>
                <w:rFonts w:hint="eastAsia" w:ascii="仿宋" w:hAnsi="仿宋" w:eastAsia="仿宋" w:cs="仿宋"/>
                <w:sz w:val="24"/>
                <w:szCs w:val="24"/>
              </w:rPr>
              <w:t>对传染病病原体样本未按照规定进行严格管理，造成实验室感染和病原微生物扩散</w:t>
            </w:r>
          </w:p>
        </w:tc>
        <w:tc>
          <w:tcPr>
            <w:tcW w:w="5545" w:type="dxa"/>
            <w:noWrap w:val="0"/>
            <w:vAlign w:val="top"/>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《传染病防治法》第二十二条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835" w:type="dxa"/>
            <w:noWrap w:val="0"/>
            <w:vAlign w:val="top"/>
          </w:tcPr>
          <w:p>
            <w:pPr>
              <w:rPr>
                <w:rFonts w:hint="eastAsia" w:ascii="仿宋" w:hAnsi="仿宋" w:eastAsia="仿宋" w:cs="仿宋"/>
                <w:sz w:val="24"/>
                <w:szCs w:val="24"/>
              </w:rPr>
            </w:pPr>
            <w:r>
              <w:rPr>
                <w:rFonts w:hint="eastAsia" w:ascii="仿宋" w:hAnsi="仿宋" w:eastAsia="仿宋" w:cs="仿宋"/>
                <w:sz w:val="24"/>
                <w:szCs w:val="24"/>
              </w:rPr>
              <w:t>违规采集、保藏、携带、运输和使用传染病菌种、毒种和传染病检测样本</w:t>
            </w:r>
          </w:p>
        </w:tc>
        <w:tc>
          <w:tcPr>
            <w:tcW w:w="5545" w:type="dxa"/>
            <w:noWrap w:val="0"/>
            <w:vAlign w:val="top"/>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《传染病防治法》第二十六条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rPr>
              <w:t>（</w:t>
            </w:r>
            <w:r>
              <w:rPr>
                <w:rFonts w:hint="eastAsia" w:ascii="仿宋" w:hAnsi="仿宋" w:eastAsia="仿宋" w:cs="仿宋"/>
                <w:sz w:val="24"/>
                <w:szCs w:val="24"/>
                <w:lang w:val="en-US" w:eastAsia="zh-CN"/>
              </w:rPr>
              <w:t>3</w:t>
            </w:r>
          </w:p>
        </w:tc>
        <w:tc>
          <w:tcPr>
            <w:tcW w:w="1835" w:type="dxa"/>
            <w:noWrap w:val="0"/>
            <w:vAlign w:val="top"/>
          </w:tcPr>
          <w:p>
            <w:pPr>
              <w:rPr>
                <w:rFonts w:hint="eastAsia" w:ascii="仿宋" w:hAnsi="仿宋" w:eastAsia="仿宋" w:cs="仿宋"/>
                <w:sz w:val="24"/>
                <w:szCs w:val="24"/>
              </w:rPr>
            </w:pPr>
            <w:r>
              <w:rPr>
                <w:rFonts w:hint="eastAsia" w:ascii="仿宋" w:hAnsi="仿宋" w:eastAsia="仿宋" w:cs="仿宋"/>
                <w:sz w:val="24"/>
                <w:szCs w:val="24"/>
              </w:rPr>
              <w:t>保藏机构未依照规定储存实验室送交的菌（毒）种和样本，或者未依照规定提供菌（毒）种和样本</w:t>
            </w:r>
          </w:p>
        </w:tc>
        <w:tc>
          <w:tcPr>
            <w:tcW w:w="5545" w:type="dxa"/>
            <w:noWrap w:val="0"/>
            <w:vAlign w:val="top"/>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《病原微生物实验室生物安全管理条例》第十四条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p>
        </w:tc>
        <w:tc>
          <w:tcPr>
            <w:tcW w:w="1835" w:type="dxa"/>
            <w:noWrap w:val="0"/>
            <w:vAlign w:val="top"/>
          </w:tcPr>
          <w:p>
            <w:pPr>
              <w:rPr>
                <w:rFonts w:hint="eastAsia" w:ascii="仿宋" w:hAnsi="仿宋" w:eastAsia="仿宋" w:cs="仿宋"/>
                <w:sz w:val="24"/>
                <w:szCs w:val="24"/>
              </w:rPr>
            </w:pPr>
            <w:r>
              <w:rPr>
                <w:rFonts w:hint="eastAsia" w:ascii="仿宋" w:hAnsi="仿宋" w:eastAsia="仿宋" w:cs="仿宋"/>
                <w:sz w:val="24"/>
                <w:szCs w:val="24"/>
              </w:rPr>
              <w:t>运输单位未经批准运输高致病性病原微生（菌）毒种或者样本</w:t>
            </w:r>
          </w:p>
        </w:tc>
        <w:tc>
          <w:tcPr>
            <w:tcW w:w="5545" w:type="dxa"/>
            <w:noWrap w:val="0"/>
            <w:vAlign w:val="top"/>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《病原微生物实验室生物安全管理条例》第十一条第二款、第三款、第四款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p>
        </w:tc>
        <w:tc>
          <w:tcPr>
            <w:tcW w:w="1835" w:type="dxa"/>
            <w:noWrap w:val="0"/>
            <w:vAlign w:val="top"/>
          </w:tcPr>
          <w:p>
            <w:pPr>
              <w:rPr>
                <w:rFonts w:hint="eastAsia" w:ascii="仿宋" w:hAnsi="仿宋" w:eastAsia="仿宋" w:cs="仿宋"/>
                <w:sz w:val="24"/>
                <w:szCs w:val="24"/>
              </w:rPr>
            </w:pPr>
            <w:r>
              <w:rPr>
                <w:rFonts w:hint="eastAsia" w:ascii="仿宋" w:hAnsi="仿宋" w:eastAsia="仿宋" w:cs="仿宋"/>
                <w:sz w:val="24"/>
                <w:szCs w:val="24"/>
              </w:rPr>
              <w:t>未履行保护义务，导致高致病性病原微生物（菌）毒或者样本被盗、被抢、丢失、泄露</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《病原微生物实验室生物安全管理条例》第十二条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6</w:t>
            </w:r>
          </w:p>
        </w:tc>
        <w:tc>
          <w:tcPr>
            <w:tcW w:w="1835" w:type="dxa"/>
            <w:noWrap w:val="0"/>
            <w:vAlign w:val="top"/>
          </w:tcPr>
          <w:p>
            <w:pPr>
              <w:rPr>
                <w:rFonts w:hint="eastAsia" w:ascii="仿宋" w:hAnsi="仿宋" w:eastAsia="仿宋" w:cs="仿宋"/>
                <w:sz w:val="24"/>
                <w:szCs w:val="24"/>
              </w:rPr>
            </w:pPr>
            <w:r>
              <w:rPr>
                <w:rFonts w:hint="eastAsia" w:ascii="仿宋" w:hAnsi="仿宋" w:eastAsia="仿宋" w:cs="仿宋"/>
                <w:sz w:val="24"/>
                <w:szCs w:val="24"/>
              </w:rPr>
              <w:t>发生病原微生物被盗、被抢、丢失、泄露，未依照规定报告</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《病原微生物实验室生物安全管理条例》第十七条第一款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7</w:t>
            </w:r>
          </w:p>
        </w:tc>
        <w:tc>
          <w:tcPr>
            <w:tcW w:w="1835" w:type="dxa"/>
            <w:noWrap w:val="0"/>
            <w:vAlign w:val="top"/>
          </w:tcPr>
          <w:p>
            <w:pPr>
              <w:rPr>
                <w:rFonts w:hint="eastAsia" w:ascii="仿宋" w:hAnsi="仿宋" w:eastAsia="仿宋" w:cs="仿宋"/>
                <w:sz w:val="24"/>
                <w:szCs w:val="24"/>
              </w:rPr>
            </w:pPr>
            <w:r>
              <w:rPr>
                <w:rFonts w:hint="eastAsia" w:ascii="仿宋" w:hAnsi="仿宋" w:eastAsia="仿宋" w:cs="仿宋"/>
                <w:sz w:val="24"/>
                <w:szCs w:val="24"/>
              </w:rPr>
              <w:t>违反规定从事在我国尚未发展或者已经宣布取消的病原微生物相关实验活动</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《病原微生物实验室生物安全管理条例》第二十八条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8</w:t>
            </w:r>
          </w:p>
        </w:tc>
        <w:tc>
          <w:tcPr>
            <w:tcW w:w="1835" w:type="dxa"/>
            <w:noWrap w:val="0"/>
            <w:vAlign w:val="top"/>
          </w:tcPr>
          <w:p>
            <w:pPr>
              <w:rPr>
                <w:rFonts w:hint="eastAsia" w:ascii="仿宋" w:hAnsi="仿宋" w:eastAsia="仿宋" w:cs="仿宋"/>
                <w:sz w:val="24"/>
                <w:szCs w:val="24"/>
              </w:rPr>
            </w:pPr>
            <w:r>
              <w:rPr>
                <w:rFonts w:hint="eastAsia" w:ascii="仿宋" w:hAnsi="仿宋" w:eastAsia="仿宋" w:cs="仿宋"/>
                <w:sz w:val="24"/>
                <w:szCs w:val="24"/>
              </w:rPr>
              <w:t>发生实验室人员感染（或发生高致病性病原微生物泄露）未依照规定报告，或者未依照规定采取控制措施</w:t>
            </w:r>
          </w:p>
        </w:tc>
        <w:tc>
          <w:tcPr>
            <w:tcW w:w="5545" w:type="dxa"/>
            <w:noWrap w:val="0"/>
            <w:vAlign w:val="top"/>
          </w:tcPr>
          <w:p>
            <w:pPr>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《病原微生物实验室生物安全管理条例》第四十三条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9</w:t>
            </w:r>
          </w:p>
        </w:tc>
        <w:tc>
          <w:tcPr>
            <w:tcW w:w="1835" w:type="dxa"/>
            <w:noWrap w:val="0"/>
            <w:vAlign w:val="top"/>
          </w:tcPr>
          <w:p>
            <w:pPr>
              <w:rPr>
                <w:rFonts w:hint="eastAsia" w:ascii="仿宋" w:hAnsi="仿宋" w:eastAsia="仿宋" w:cs="仿宋"/>
                <w:sz w:val="24"/>
                <w:szCs w:val="24"/>
              </w:rPr>
            </w:pPr>
            <w:r>
              <w:rPr>
                <w:rFonts w:hint="eastAsia" w:ascii="仿宋" w:hAnsi="仿宋" w:eastAsia="仿宋" w:cs="仿宋"/>
                <w:sz w:val="24"/>
                <w:szCs w:val="24"/>
              </w:rPr>
              <w:t>未建立健全安全保卫制度</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《病原微生物实验室生物安全管理条例》第三十三条第一款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批准未采取保护措施的人员进入实验室</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《病原微生物实验室生物安全管理条例》第三十五条第二款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三级、四级实验室未取得资格证书从事高致病性病原微生物实验活动</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《病原微生物实验室生物安全管理条例》第二十二条第一款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三级、四级实验室未依照规定标示生物危险标识和生物安全实验室级别标志</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《病原微生物实验室生物安全管理条例》第三十九条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未经论证使用新技术、新方法从事高致病性病原微生物相关实验活动</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《病原微生物实验室生物安全管理条例》第二十九条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未遵守实验室生物安全技术规范和操作规程</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《病原微生物实验室生物安全管理条例》第三十二条第二款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违反规定同时从事两种或者两种以上高致病性病原微生物的相关实验活动</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《病原微生物实验室生物安全管理条例》第三十六条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rPr>
              <w:t>（</w:t>
            </w:r>
            <w:r>
              <w:rPr>
                <w:rFonts w:hint="eastAsia" w:ascii="仿宋" w:hAnsi="仿宋" w:eastAsia="仿宋" w:cs="仿宋"/>
                <w:sz w:val="24"/>
                <w:szCs w:val="24"/>
                <w:lang w:val="en-US" w:eastAsia="zh-CN"/>
              </w:rPr>
              <w:t>16</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未依照规定建立或者保存实验档案</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《病原微生物实验室生物安全管理条例》第三十七条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17</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未依照规定制定实验室感染应急处置预案并备案</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《病原微生物实验室生物安全管理条例》第四十条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18</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在相关实验活动结束后，未及时将病原微生物菌（毒）种和样本就地销毁或者移送保藏机构保管</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《病原微生物实验室生物安全管理条例》第十六条第一款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19</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未向原批准部门报告实验活动结果以及工作情况</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《病原微生物实验室生物安全管理条例》第二十二条第一款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未依照规定采集病原微生物样本，或者对所采集样本的来源、采集过程和方法等未作详细记录</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《病原微生物实验室生物安全管理条例》第九条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21</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未依照规定定期对工作人员进行培训，或者工作人员考核不合格允许其上岗</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《病原微生物实验室生物安全管理条例》第三十四条第一款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22</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新建、改建或者扩建一级、二级实验室未向社设区的市级人民政府卫生主管部门备案</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《病原微生物实验室生物安全管理条例》第二十五条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23</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在不符合相应生物安全要求的实验室从事病原微生物相关实验活动</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《病原微生物实验室生物安全管理条例》第五条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bCs/>
                <w:sz w:val="24"/>
                <w:szCs w:val="24"/>
              </w:rPr>
            </w:pPr>
            <w:r>
              <w:rPr>
                <w:rFonts w:hint="eastAsia" w:ascii="仿宋" w:hAnsi="仿宋" w:eastAsia="仿宋" w:cs="仿宋"/>
                <w:b/>
                <w:bCs/>
                <w:sz w:val="24"/>
                <w:szCs w:val="24"/>
              </w:rPr>
              <w:t>21</w:t>
            </w:r>
          </w:p>
        </w:tc>
        <w:tc>
          <w:tcPr>
            <w:tcW w:w="1835" w:type="dxa"/>
            <w:noWrap w:val="0"/>
            <w:vAlign w:val="top"/>
          </w:tcPr>
          <w:p>
            <w:pPr>
              <w:jc w:val="center"/>
              <w:rPr>
                <w:rFonts w:hint="eastAsia" w:ascii="仿宋" w:hAnsi="仿宋" w:eastAsia="仿宋" w:cs="仿宋"/>
                <w:b/>
                <w:bCs/>
                <w:sz w:val="24"/>
                <w:szCs w:val="24"/>
              </w:rPr>
            </w:pPr>
            <w:r>
              <w:rPr>
                <w:rFonts w:hint="eastAsia" w:ascii="仿宋" w:hAnsi="仿宋" w:eastAsia="仿宋" w:cs="仿宋"/>
                <w:b/>
                <w:bCs/>
                <w:sz w:val="24"/>
                <w:szCs w:val="24"/>
              </w:rPr>
              <w:t>自然疫源地建设项目（1项）</w:t>
            </w:r>
          </w:p>
        </w:tc>
        <w:tc>
          <w:tcPr>
            <w:tcW w:w="5545" w:type="dxa"/>
            <w:noWrap w:val="0"/>
            <w:vAlign w:val="top"/>
          </w:tcPr>
          <w:p>
            <w:pPr>
              <w:rPr>
                <w:rFonts w:hint="eastAsia" w:ascii="仿宋" w:hAnsi="仿宋" w:eastAsia="仿宋" w:cs="仿宋"/>
                <w:sz w:val="24"/>
                <w:szCs w:val="24"/>
              </w:rPr>
            </w:pPr>
          </w:p>
        </w:tc>
        <w:tc>
          <w:tcPr>
            <w:tcW w:w="685" w:type="dxa"/>
            <w:noWrap w:val="0"/>
            <w:vAlign w:val="center"/>
          </w:tcPr>
          <w:p>
            <w:pPr>
              <w:jc w:val="center"/>
              <w:rPr>
                <w:rFonts w:hint="eastAsia" w:ascii="仿宋" w:hAnsi="仿宋" w:eastAsia="仿宋" w:cs="仿宋"/>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rPr>
              <w:t>（</w:t>
            </w:r>
            <w:r>
              <w:rPr>
                <w:rFonts w:hint="eastAsia" w:ascii="仿宋" w:hAnsi="仿宋" w:eastAsia="仿宋" w:cs="仿宋"/>
                <w:sz w:val="24"/>
                <w:szCs w:val="24"/>
                <w:lang w:val="en-US" w:eastAsia="zh-CN"/>
              </w:rPr>
              <w:t>1</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在自然疫源地兴建大型建设项目，未经卫生调查进行施工的，或者未按照疾病预防控制机构的意见采取必要措施</w:t>
            </w:r>
          </w:p>
        </w:tc>
        <w:tc>
          <w:tcPr>
            <w:tcW w:w="5545" w:type="dxa"/>
            <w:noWrap w:val="0"/>
            <w:vAlign w:val="top"/>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《传染病防治法》第二十八条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bCs/>
                <w:sz w:val="24"/>
                <w:szCs w:val="24"/>
              </w:rPr>
            </w:pPr>
            <w:r>
              <w:rPr>
                <w:rFonts w:hint="eastAsia" w:ascii="仿宋" w:hAnsi="仿宋" w:eastAsia="仿宋" w:cs="仿宋"/>
                <w:b/>
                <w:bCs/>
                <w:sz w:val="24"/>
                <w:szCs w:val="24"/>
              </w:rPr>
              <w:t>22</w:t>
            </w:r>
          </w:p>
        </w:tc>
        <w:tc>
          <w:tcPr>
            <w:tcW w:w="1835" w:type="dxa"/>
            <w:noWrap w:val="0"/>
            <w:vAlign w:val="top"/>
          </w:tcPr>
          <w:p>
            <w:pPr>
              <w:jc w:val="center"/>
              <w:rPr>
                <w:rFonts w:hint="eastAsia" w:ascii="仿宋" w:hAnsi="仿宋" w:eastAsia="仿宋" w:cs="仿宋"/>
                <w:b/>
                <w:bCs/>
                <w:sz w:val="24"/>
                <w:szCs w:val="24"/>
              </w:rPr>
            </w:pPr>
            <w:r>
              <w:rPr>
                <w:rFonts w:hint="eastAsia" w:ascii="仿宋" w:hAnsi="仿宋" w:eastAsia="仿宋" w:cs="仿宋"/>
                <w:b/>
                <w:bCs/>
                <w:sz w:val="24"/>
                <w:szCs w:val="24"/>
              </w:rPr>
              <w:t>血站管理（11项）</w:t>
            </w:r>
          </w:p>
        </w:tc>
        <w:tc>
          <w:tcPr>
            <w:tcW w:w="5545" w:type="dxa"/>
            <w:noWrap w:val="0"/>
            <w:vAlign w:val="top"/>
          </w:tcPr>
          <w:p>
            <w:pPr>
              <w:rPr>
                <w:rFonts w:hint="eastAsia" w:ascii="仿宋" w:hAnsi="仿宋" w:eastAsia="仿宋" w:cs="仿宋"/>
                <w:sz w:val="24"/>
                <w:szCs w:val="24"/>
              </w:rPr>
            </w:pPr>
          </w:p>
        </w:tc>
        <w:tc>
          <w:tcPr>
            <w:tcW w:w="685" w:type="dxa"/>
            <w:noWrap w:val="0"/>
            <w:vAlign w:val="center"/>
          </w:tcPr>
          <w:p>
            <w:pPr>
              <w:jc w:val="center"/>
              <w:rPr>
                <w:rFonts w:hint="eastAsia" w:ascii="仿宋" w:hAnsi="仿宋" w:eastAsia="仿宋" w:cs="仿宋"/>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非法采集血液</w:t>
            </w:r>
          </w:p>
        </w:tc>
        <w:tc>
          <w:tcPr>
            <w:tcW w:w="5545" w:type="dxa"/>
            <w:noWrap w:val="0"/>
            <w:vAlign w:val="top"/>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《献血法》第八条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出售无偿献血血液</w:t>
            </w:r>
          </w:p>
        </w:tc>
        <w:tc>
          <w:tcPr>
            <w:tcW w:w="5545" w:type="dxa"/>
            <w:noWrap w:val="0"/>
            <w:vAlign w:val="top"/>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《献血法》第十一条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非法组织他人出卖血液</w:t>
            </w:r>
          </w:p>
        </w:tc>
        <w:tc>
          <w:tcPr>
            <w:tcW w:w="5545" w:type="dxa"/>
            <w:noWrap w:val="0"/>
            <w:vAlign w:val="top"/>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《献血法》第二条第一款、《传染病防治法》第二十三条第一款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临床用血的包装、储存、运输不符合国家规定的卫生标准和要求</w:t>
            </w:r>
          </w:p>
        </w:tc>
        <w:tc>
          <w:tcPr>
            <w:tcW w:w="5545" w:type="dxa"/>
            <w:noWrap w:val="0"/>
            <w:vAlign w:val="top"/>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《献血法》第十二条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血站违反执业要求</w:t>
            </w:r>
          </w:p>
        </w:tc>
        <w:tc>
          <w:tcPr>
            <w:tcW w:w="5545" w:type="dxa"/>
            <w:noWrap w:val="0"/>
            <w:vAlign w:val="top"/>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《血站管理办法》第二章第二节</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6</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脐带血造血干细胞库等特殊血站违反有关技术规范</w:t>
            </w:r>
          </w:p>
        </w:tc>
        <w:tc>
          <w:tcPr>
            <w:tcW w:w="5545" w:type="dxa"/>
            <w:noWrap w:val="0"/>
            <w:vAlign w:val="top"/>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《血站管理办法》第四十九条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7</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血站违反规定，向医疗机构提供不符合国家规定标准的血液</w:t>
            </w:r>
          </w:p>
        </w:tc>
        <w:tc>
          <w:tcPr>
            <w:tcW w:w="5545" w:type="dxa"/>
            <w:noWrap w:val="0"/>
            <w:vAlign w:val="top"/>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《献血法》第十条第三款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8</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未取得《单采血浆许可证》，非法从事组织，采集，供应，倒卖原料血浆活动</w:t>
            </w:r>
          </w:p>
        </w:tc>
        <w:tc>
          <w:tcPr>
            <w:tcW w:w="5545" w:type="dxa"/>
            <w:noWrap w:val="0"/>
            <w:vAlign w:val="top"/>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《血液制品管理条例》第五条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9</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单采血浆站违反执业要求</w:t>
            </w:r>
          </w:p>
        </w:tc>
        <w:tc>
          <w:tcPr>
            <w:tcW w:w="5545" w:type="dxa"/>
            <w:noWrap w:val="0"/>
            <w:vAlign w:val="top"/>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《单采血浆站管理办法》第三章</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单采血浆站已知其采集的血浆检测结果呈阳性，</w:t>
            </w:r>
            <w:r>
              <w:rPr>
                <w:rFonts w:hint="eastAsia" w:ascii="仿宋" w:hAnsi="仿宋" w:eastAsia="仿宋" w:cs="仿宋"/>
                <w:sz w:val="24"/>
                <w:szCs w:val="24"/>
                <w:lang w:eastAsia="zh-CN"/>
              </w:rPr>
              <w:t>仍</w:t>
            </w:r>
            <w:r>
              <w:rPr>
                <w:rFonts w:hint="eastAsia" w:ascii="仿宋" w:hAnsi="仿宋" w:eastAsia="仿宋" w:cs="仿宋"/>
                <w:sz w:val="24"/>
                <w:szCs w:val="24"/>
              </w:rPr>
              <w:t>向血液制品生产单位供应</w:t>
            </w:r>
          </w:p>
        </w:tc>
        <w:tc>
          <w:tcPr>
            <w:tcW w:w="5545" w:type="dxa"/>
            <w:noWrap w:val="0"/>
            <w:vAlign w:val="top"/>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《血液制品管理条例》第三十六条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涂改、伪造、转让《供血浆证》</w:t>
            </w:r>
          </w:p>
        </w:tc>
        <w:tc>
          <w:tcPr>
            <w:tcW w:w="5545" w:type="dxa"/>
            <w:noWrap w:val="0"/>
            <w:vAlign w:val="top"/>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《血液制品管理条例》第十一条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bCs/>
                <w:sz w:val="24"/>
                <w:szCs w:val="24"/>
              </w:rPr>
            </w:pPr>
            <w:r>
              <w:rPr>
                <w:rFonts w:hint="eastAsia" w:ascii="仿宋" w:hAnsi="仿宋" w:eastAsia="仿宋" w:cs="仿宋"/>
                <w:b/>
                <w:bCs/>
                <w:sz w:val="24"/>
                <w:szCs w:val="24"/>
              </w:rPr>
              <w:t>23</w:t>
            </w:r>
          </w:p>
        </w:tc>
        <w:tc>
          <w:tcPr>
            <w:tcW w:w="1835" w:type="dxa"/>
            <w:noWrap w:val="0"/>
            <w:vAlign w:val="top"/>
          </w:tcPr>
          <w:p>
            <w:pPr>
              <w:jc w:val="center"/>
              <w:rPr>
                <w:rFonts w:hint="eastAsia" w:ascii="仿宋" w:hAnsi="仿宋" w:eastAsia="仿宋" w:cs="仿宋"/>
                <w:b/>
                <w:bCs/>
                <w:sz w:val="24"/>
                <w:szCs w:val="24"/>
              </w:rPr>
            </w:pPr>
            <w:r>
              <w:rPr>
                <w:rFonts w:hint="eastAsia" w:ascii="仿宋" w:hAnsi="仿宋" w:eastAsia="仿宋" w:cs="仿宋"/>
                <w:b/>
                <w:bCs/>
                <w:sz w:val="24"/>
                <w:szCs w:val="24"/>
              </w:rPr>
              <w:t>计划生育（1</w:t>
            </w:r>
            <w:r>
              <w:rPr>
                <w:rFonts w:hint="eastAsia" w:ascii="仿宋" w:hAnsi="仿宋" w:eastAsia="仿宋" w:cs="仿宋"/>
                <w:b/>
                <w:bCs/>
                <w:sz w:val="24"/>
                <w:szCs w:val="24"/>
                <w:lang w:val="en-US" w:eastAsia="zh-CN"/>
              </w:rPr>
              <w:t>2</w:t>
            </w:r>
            <w:r>
              <w:rPr>
                <w:rFonts w:hint="eastAsia" w:ascii="仿宋" w:hAnsi="仿宋" w:eastAsia="仿宋" w:cs="仿宋"/>
                <w:b/>
                <w:bCs/>
                <w:sz w:val="24"/>
                <w:szCs w:val="24"/>
              </w:rPr>
              <w:t>项）</w:t>
            </w:r>
          </w:p>
        </w:tc>
        <w:tc>
          <w:tcPr>
            <w:tcW w:w="5545" w:type="dxa"/>
            <w:noWrap w:val="0"/>
            <w:vAlign w:val="top"/>
          </w:tcPr>
          <w:p>
            <w:pPr>
              <w:rPr>
                <w:rFonts w:hint="eastAsia" w:ascii="仿宋" w:hAnsi="仿宋" w:eastAsia="仿宋" w:cs="仿宋"/>
                <w:sz w:val="24"/>
                <w:szCs w:val="24"/>
              </w:rPr>
            </w:pPr>
          </w:p>
        </w:tc>
        <w:tc>
          <w:tcPr>
            <w:tcW w:w="685" w:type="dxa"/>
            <w:noWrap w:val="0"/>
            <w:vAlign w:val="center"/>
          </w:tcPr>
          <w:p>
            <w:pPr>
              <w:jc w:val="center"/>
              <w:rPr>
                <w:rFonts w:hint="eastAsia" w:ascii="仿宋" w:hAnsi="仿宋" w:eastAsia="仿宋" w:cs="仿宋"/>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非法为他人实施计划生育手术</w:t>
            </w:r>
          </w:p>
        </w:tc>
        <w:tc>
          <w:tcPr>
            <w:tcW w:w="5545" w:type="dxa"/>
            <w:noWrap w:val="0"/>
            <w:vAlign w:val="top"/>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《人口与计划生育法》第三十六条第（一）项</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利用技术手段为他人进行非医学需要的胎儿性别鉴定或者选择性别的人工终止妊娠</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《人口与计划生育法》第三十五条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实施假节育技术、进行假医学鉴定、出具假生育证明</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《人口与计划生育法》第三十条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伪造、变更、买卖计划生育证明</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《人口与计划生育法》第三十七条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计划生育技术服务机构或者医疗、保健机构以外的机构或者人员擅自从事计划生育技术服务</w:t>
            </w:r>
          </w:p>
        </w:tc>
        <w:tc>
          <w:tcPr>
            <w:tcW w:w="5545" w:type="dxa"/>
            <w:noWrap w:val="0"/>
            <w:vAlign w:val="top"/>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《计划生育技术服务管理条例》第十九条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6</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使用没有依法取得《合格证》的人员从事计划生育技术服务</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《计划生育技术服务管理条例实施细则》第三十三条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擅自从事产前诊断和使用辅助生育技术治疗不育症</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《计划生育技术服务管理条例》第二十四条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8</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逾期补校验计划生育技术服务执业许可证明文件，继续从事计划生育技术服务</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《计划生育技术服务管理条例》第二十五条第一款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9</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买卖、出借、出租或者涂改、伪造计划生育技术服务执业执业许可证明文件</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《计划生育技术服务管理条例》第二十五条第二款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向农村实施计划生育的育龄夫妻提供避孕、节育技术服务，收取费用</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《计划生育技术服务管理条例》第三条第三款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未经批准擅自扩大计划生育技术服务项目</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《计划生育技术服务管理条例》第二十六条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使用没有依法取得相应的医师资格的人员从事与计划生育技术服务有关的临床医疗服务</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《计划生育技术服务管理条例》第二十九第一款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bCs/>
                <w:sz w:val="24"/>
                <w:szCs w:val="24"/>
              </w:rPr>
            </w:pPr>
            <w:r>
              <w:rPr>
                <w:rFonts w:hint="eastAsia" w:ascii="仿宋" w:hAnsi="仿宋" w:eastAsia="仿宋" w:cs="仿宋"/>
                <w:b/>
                <w:bCs/>
                <w:sz w:val="24"/>
                <w:szCs w:val="24"/>
              </w:rPr>
              <w:t>24</w:t>
            </w:r>
          </w:p>
        </w:tc>
        <w:tc>
          <w:tcPr>
            <w:tcW w:w="1835" w:type="dxa"/>
            <w:noWrap w:val="0"/>
            <w:vAlign w:val="top"/>
          </w:tcPr>
          <w:p>
            <w:pPr>
              <w:jc w:val="center"/>
              <w:rPr>
                <w:rFonts w:hint="eastAsia" w:ascii="仿宋" w:hAnsi="仿宋" w:eastAsia="仿宋" w:cs="仿宋"/>
                <w:b/>
                <w:bCs/>
                <w:sz w:val="24"/>
                <w:szCs w:val="24"/>
              </w:rPr>
            </w:pPr>
            <w:r>
              <w:rPr>
                <w:rFonts w:hint="eastAsia" w:ascii="仿宋" w:hAnsi="仿宋" w:eastAsia="仿宋" w:cs="仿宋"/>
                <w:b/>
                <w:bCs/>
                <w:sz w:val="24"/>
                <w:szCs w:val="24"/>
              </w:rPr>
              <w:t>公共场所卫生（1</w:t>
            </w:r>
            <w:r>
              <w:rPr>
                <w:rFonts w:hint="eastAsia" w:ascii="仿宋" w:hAnsi="仿宋" w:eastAsia="仿宋" w:cs="仿宋"/>
                <w:b/>
                <w:bCs/>
                <w:sz w:val="24"/>
                <w:szCs w:val="24"/>
                <w:lang w:val="en-US" w:eastAsia="zh-CN"/>
              </w:rPr>
              <w:t>3</w:t>
            </w:r>
            <w:r>
              <w:rPr>
                <w:rFonts w:hint="eastAsia" w:ascii="仿宋" w:hAnsi="仿宋" w:eastAsia="仿宋" w:cs="仿宋"/>
                <w:b/>
                <w:bCs/>
                <w:sz w:val="24"/>
                <w:szCs w:val="24"/>
              </w:rPr>
              <w:t>项）</w:t>
            </w:r>
          </w:p>
        </w:tc>
        <w:tc>
          <w:tcPr>
            <w:tcW w:w="5545" w:type="dxa"/>
            <w:noWrap w:val="0"/>
            <w:vAlign w:val="top"/>
          </w:tcPr>
          <w:p>
            <w:pPr>
              <w:rPr>
                <w:rFonts w:hint="eastAsia" w:ascii="仿宋" w:hAnsi="仿宋" w:eastAsia="仿宋" w:cs="仿宋"/>
                <w:sz w:val="24"/>
                <w:szCs w:val="24"/>
              </w:rPr>
            </w:pPr>
          </w:p>
        </w:tc>
        <w:tc>
          <w:tcPr>
            <w:tcW w:w="685" w:type="dxa"/>
            <w:noWrap w:val="0"/>
            <w:vAlign w:val="center"/>
          </w:tcPr>
          <w:p>
            <w:pPr>
              <w:jc w:val="center"/>
              <w:rPr>
                <w:rFonts w:hint="eastAsia" w:ascii="仿宋" w:hAnsi="仿宋" w:eastAsia="仿宋" w:cs="仿宋"/>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未依法取得公共场所卫生许可证擅自营业</w:t>
            </w:r>
          </w:p>
        </w:tc>
        <w:tc>
          <w:tcPr>
            <w:tcW w:w="5545" w:type="dxa"/>
            <w:noWrap w:val="0"/>
            <w:vAlign w:val="top"/>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《公共场所卫生管理条例》第八条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未按照规定建立卫生管理制度、设立卫生管理部门或者配备专（兼）职卫生管理人员，或者未建立卫生管理档案</w:t>
            </w:r>
          </w:p>
        </w:tc>
        <w:tc>
          <w:tcPr>
            <w:tcW w:w="5545" w:type="dxa"/>
            <w:noWrap w:val="0"/>
            <w:vAlign w:val="top"/>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《公共场所卫生管理条例实施细则》第七条第二款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未按照规定对公共场所的空气、微小气候、水质、采光、照明、噪声、顾客用品用具等进行卫生检测</w:t>
            </w:r>
          </w:p>
        </w:tc>
        <w:tc>
          <w:tcPr>
            <w:tcW w:w="5545" w:type="dxa"/>
            <w:noWrap w:val="0"/>
            <w:vAlign w:val="top"/>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《公共场所卫生管理条例实施细则》第十九条第一款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未按照规定对客户用品用具进行清洗、消毒、保洁，或者重复使用一次性用品用具</w:t>
            </w:r>
          </w:p>
        </w:tc>
        <w:tc>
          <w:tcPr>
            <w:tcW w:w="5545" w:type="dxa"/>
            <w:noWrap w:val="0"/>
            <w:vAlign w:val="top"/>
          </w:tcPr>
          <w:p>
            <w:pPr>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《公共场所卫生管理条例实施细则》第十四条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未按照规定组织从业人员进行相关培训，或者安排未经培训考核的从业人员上岗</w:t>
            </w:r>
          </w:p>
        </w:tc>
        <w:tc>
          <w:tcPr>
            <w:tcW w:w="5545" w:type="dxa"/>
            <w:noWrap w:val="0"/>
            <w:vAlign w:val="top"/>
          </w:tcPr>
          <w:p>
            <w:pPr>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《公共场所卫生管理条例实施细则》第九条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6</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未按照规定设置相应的清洗、消毒、保洁、盥洗等设施设备和公共卫生间，或者擅自停止使用、拆除上述设施设备，或者挪作他用</w:t>
            </w:r>
          </w:p>
        </w:tc>
        <w:tc>
          <w:tcPr>
            <w:tcW w:w="5545" w:type="dxa"/>
            <w:noWrap w:val="0"/>
            <w:vAlign w:val="top"/>
          </w:tcPr>
          <w:p>
            <w:pPr>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《公共场所卫生管理条例实施细则》第十五条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7</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未按照规定配备预防控制鼠、蚊、蝇、蟑螂和其他病媒生物的设施设备以及废弃物存放专用设施设备，或者擅自停止使用、拆除</w:t>
            </w:r>
          </w:p>
        </w:tc>
        <w:tc>
          <w:tcPr>
            <w:tcW w:w="5545" w:type="dxa"/>
            <w:noWrap w:val="0"/>
            <w:vAlign w:val="top"/>
          </w:tcPr>
          <w:p>
            <w:pPr>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《公共场所卫生管理条例实施细则》第十六条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8</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未按照规定索取公共卫生用品检验合格证明和其他相关资料</w:t>
            </w:r>
          </w:p>
        </w:tc>
        <w:tc>
          <w:tcPr>
            <w:tcW w:w="5545" w:type="dxa"/>
            <w:noWrap w:val="0"/>
            <w:vAlign w:val="top"/>
          </w:tcPr>
          <w:p>
            <w:pPr>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《公共场所卫生管理条例实施细则》第三十七条第（五）项</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9</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未按照规定对公共场所新建、改建、扩建项目办理预防性卫生审查手续</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《公共场所卫生管理条例实施细则》第二十六条第一款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公共场所集中空调通风系统未经卫生检测或者评价不合格而投入使用</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《公共场所卫生管理条例实施细则》第十一条第二款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未按照规定公示公共场所卫生许可证、卫生检测结果 和卫生信誉度等级</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《公共场所卫生管理条例实施细则》第十九条第三款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安排未获得有效健康合格证明的从业人员从事直接未顾客服务工作</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《公共场所卫生管理条例实施细则》第十条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对发生的危害健康事故故未立即采取处置措施，导致危害扩大，或者隐瞒、缓报、谎报</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《公共场所卫生管理条例实施细则》第二十一条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bCs/>
                <w:sz w:val="24"/>
                <w:szCs w:val="24"/>
              </w:rPr>
            </w:pPr>
            <w:r>
              <w:rPr>
                <w:rFonts w:hint="eastAsia" w:ascii="仿宋" w:hAnsi="仿宋" w:eastAsia="仿宋" w:cs="仿宋"/>
                <w:b/>
                <w:bCs/>
                <w:sz w:val="24"/>
                <w:szCs w:val="24"/>
              </w:rPr>
              <w:t>26</w:t>
            </w:r>
          </w:p>
        </w:tc>
        <w:tc>
          <w:tcPr>
            <w:tcW w:w="1835" w:type="dxa"/>
            <w:noWrap w:val="0"/>
            <w:vAlign w:val="top"/>
          </w:tcPr>
          <w:p>
            <w:pPr>
              <w:jc w:val="center"/>
              <w:rPr>
                <w:rFonts w:hint="eastAsia" w:ascii="仿宋" w:hAnsi="仿宋" w:eastAsia="仿宋" w:cs="仿宋"/>
                <w:b/>
                <w:bCs/>
                <w:sz w:val="24"/>
                <w:szCs w:val="24"/>
              </w:rPr>
            </w:pPr>
            <w:r>
              <w:rPr>
                <w:rFonts w:hint="eastAsia" w:ascii="仿宋" w:hAnsi="仿宋" w:eastAsia="仿宋" w:cs="仿宋"/>
                <w:b/>
                <w:bCs/>
                <w:sz w:val="24"/>
                <w:szCs w:val="24"/>
              </w:rPr>
              <w:t>饮水卫生（7项）</w:t>
            </w:r>
          </w:p>
        </w:tc>
        <w:tc>
          <w:tcPr>
            <w:tcW w:w="5545" w:type="dxa"/>
            <w:noWrap w:val="0"/>
            <w:vAlign w:val="top"/>
          </w:tcPr>
          <w:p>
            <w:pPr>
              <w:rPr>
                <w:rFonts w:hint="eastAsia" w:ascii="仿宋" w:hAnsi="仿宋" w:eastAsia="仿宋" w:cs="仿宋"/>
                <w:sz w:val="24"/>
                <w:szCs w:val="24"/>
              </w:rPr>
            </w:pPr>
          </w:p>
        </w:tc>
        <w:tc>
          <w:tcPr>
            <w:tcW w:w="685" w:type="dxa"/>
            <w:noWrap w:val="0"/>
            <w:vAlign w:val="center"/>
          </w:tcPr>
          <w:p>
            <w:pPr>
              <w:jc w:val="center"/>
              <w:rPr>
                <w:rFonts w:hint="eastAsia" w:ascii="仿宋" w:hAnsi="仿宋" w:eastAsia="仿宋" w:cs="仿宋"/>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供水单位供应的饮用水不符合国家卫生标准和卫生规范</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《传染病防治法》第二十九条第一款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生产（销售）的涉及饮用水卫生安全产品不符合国家卫生标准和卫生规范</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《传染病防治法》第二十九条第一款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集中式供水单位安排未取得体检合格证的人员或患有有碍于饮用水卫生疾病者、病原携带者从事直接供、管水工作</w:t>
            </w:r>
          </w:p>
        </w:tc>
        <w:tc>
          <w:tcPr>
            <w:tcW w:w="5545" w:type="dxa"/>
            <w:noWrap w:val="0"/>
            <w:vAlign w:val="top"/>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《生活饮用水卫生监督管理办法》第十一条第一款、第二款</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p>
        </w:tc>
        <w:tc>
          <w:tcPr>
            <w:tcW w:w="1835" w:type="dxa"/>
            <w:noWrap w:val="0"/>
            <w:vAlign w:val="top"/>
          </w:tcPr>
          <w:p>
            <w:pPr>
              <w:jc w:val="left"/>
              <w:rPr>
                <w:rFonts w:hint="eastAsia" w:ascii="仿宋" w:hAnsi="仿宋" w:eastAsia="仿宋" w:cs="仿宋"/>
                <w:sz w:val="24"/>
                <w:szCs w:val="24"/>
              </w:rPr>
            </w:pPr>
            <w:r>
              <w:rPr>
                <w:rFonts w:hint="eastAsia" w:ascii="仿宋" w:hAnsi="仿宋" w:eastAsia="仿宋" w:cs="仿宋"/>
                <w:sz w:val="24"/>
                <w:szCs w:val="24"/>
              </w:rPr>
              <w:t>在饮用水水源保护区修建危害水源水质卫生的设施（或进行有碍水源水质卫生的作业）</w:t>
            </w:r>
          </w:p>
        </w:tc>
        <w:tc>
          <w:tcPr>
            <w:tcW w:w="5545" w:type="dxa"/>
            <w:noWrap w:val="0"/>
            <w:vAlign w:val="top"/>
          </w:tcPr>
          <w:p>
            <w:pPr>
              <w:rPr>
                <w:rFonts w:hint="eastAsia" w:ascii="仿宋" w:hAnsi="仿宋" w:eastAsia="仿宋" w:cs="仿宋"/>
                <w:sz w:val="24"/>
                <w:szCs w:val="24"/>
              </w:rPr>
            </w:pPr>
            <w:r>
              <w:rPr>
                <w:rFonts w:hint="eastAsia" w:ascii="仿宋" w:hAnsi="仿宋" w:eastAsia="仿宋" w:cs="仿宋"/>
                <w:sz w:val="24"/>
                <w:szCs w:val="24"/>
                <w:lang w:eastAsia="zh-CN"/>
              </w:rPr>
              <w:t>《生活饮用水卫生监督管理办法》第十三条</w:t>
            </w:r>
          </w:p>
        </w:tc>
        <w:tc>
          <w:tcPr>
            <w:tcW w:w="685"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5</w:t>
            </w:r>
          </w:p>
        </w:tc>
        <w:tc>
          <w:tcPr>
            <w:tcW w:w="1835" w:type="dxa"/>
            <w:noWrap w:val="0"/>
            <w:vAlign w:val="top"/>
          </w:tcPr>
          <w:p>
            <w:pPr>
              <w:jc w:val="left"/>
              <w:rPr>
                <w:rFonts w:hint="eastAsia" w:ascii="仿宋" w:hAnsi="仿宋" w:eastAsia="仿宋" w:cs="仿宋"/>
                <w:b w:val="0"/>
                <w:bCs w:val="0"/>
                <w:sz w:val="24"/>
                <w:szCs w:val="24"/>
              </w:rPr>
            </w:pPr>
            <w:r>
              <w:rPr>
                <w:rFonts w:hint="eastAsia" w:ascii="仿宋" w:hAnsi="仿宋" w:eastAsia="仿宋" w:cs="仿宋"/>
                <w:b w:val="0"/>
                <w:bCs w:val="0"/>
                <w:sz w:val="24"/>
                <w:szCs w:val="24"/>
              </w:rPr>
              <w:t>新、该、扩建的饮用水供水项目未经卫生行政部门参加选址设计审核和竣工验收而擅自供水</w:t>
            </w:r>
          </w:p>
        </w:tc>
        <w:tc>
          <w:tcPr>
            <w:tcW w:w="5545" w:type="dxa"/>
            <w:noWrap w:val="0"/>
            <w:vAlign w:val="top"/>
          </w:tcPr>
          <w:p>
            <w:pP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《生活饮用水卫生监督管理办法》第八条</w:t>
            </w: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6</w:t>
            </w:r>
          </w:p>
        </w:tc>
        <w:tc>
          <w:tcPr>
            <w:tcW w:w="1835" w:type="dxa"/>
            <w:noWrap w:val="0"/>
            <w:vAlign w:val="top"/>
          </w:tcPr>
          <w:p>
            <w:pPr>
              <w:jc w:val="left"/>
              <w:rPr>
                <w:rFonts w:hint="eastAsia" w:ascii="仿宋" w:hAnsi="仿宋" w:eastAsia="仿宋" w:cs="仿宋"/>
                <w:b w:val="0"/>
                <w:bCs w:val="0"/>
                <w:sz w:val="24"/>
                <w:szCs w:val="24"/>
              </w:rPr>
            </w:pPr>
            <w:r>
              <w:rPr>
                <w:rFonts w:hint="eastAsia" w:ascii="仿宋" w:hAnsi="仿宋" w:eastAsia="仿宋" w:cs="仿宋"/>
                <w:b w:val="0"/>
                <w:bCs w:val="0"/>
                <w:sz w:val="24"/>
                <w:szCs w:val="24"/>
              </w:rPr>
              <w:t>供水单位未取得卫生许可证擅自供水</w:t>
            </w:r>
          </w:p>
        </w:tc>
        <w:tc>
          <w:tcPr>
            <w:tcW w:w="5545" w:type="dxa"/>
            <w:noWrap w:val="0"/>
            <w:vAlign w:val="top"/>
          </w:tcPr>
          <w:p>
            <w:pP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《生活饮用水卫生监督管理办法》第七条</w:t>
            </w: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7</w:t>
            </w:r>
          </w:p>
        </w:tc>
        <w:tc>
          <w:tcPr>
            <w:tcW w:w="1835" w:type="dxa"/>
            <w:noWrap w:val="0"/>
            <w:vAlign w:val="top"/>
          </w:tcPr>
          <w:p>
            <w:pPr>
              <w:jc w:val="left"/>
              <w:rPr>
                <w:rFonts w:hint="eastAsia" w:ascii="仿宋" w:hAnsi="仿宋" w:eastAsia="仿宋" w:cs="仿宋"/>
                <w:b w:val="0"/>
                <w:bCs w:val="0"/>
                <w:sz w:val="24"/>
                <w:szCs w:val="24"/>
              </w:rPr>
            </w:pPr>
            <w:r>
              <w:rPr>
                <w:rFonts w:hint="eastAsia" w:ascii="仿宋" w:hAnsi="仿宋" w:eastAsia="仿宋" w:cs="仿宋"/>
                <w:b w:val="0"/>
                <w:bCs w:val="0"/>
                <w:sz w:val="24"/>
                <w:szCs w:val="24"/>
              </w:rPr>
              <w:t>生产（销售）无卫生许可批准文件的国产涉及饮用水卫生安全产品</w:t>
            </w:r>
          </w:p>
        </w:tc>
        <w:tc>
          <w:tcPr>
            <w:tcW w:w="5545" w:type="dxa"/>
            <w:noWrap w:val="0"/>
            <w:vAlign w:val="top"/>
          </w:tcPr>
          <w:p>
            <w:pP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《生活饮用水卫生监督管理办法》第十二条</w:t>
            </w: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bCs/>
                <w:kern w:val="2"/>
                <w:sz w:val="24"/>
                <w:szCs w:val="24"/>
                <w:lang w:val="en-US" w:eastAsia="zh-CN" w:bidi="ar-SA"/>
              </w:rPr>
            </w:pPr>
            <w:r>
              <w:rPr>
                <w:rFonts w:hint="eastAsia" w:ascii="仿宋" w:hAnsi="仿宋" w:eastAsia="仿宋" w:cs="仿宋"/>
                <w:b/>
                <w:bCs/>
                <w:sz w:val="24"/>
                <w:szCs w:val="24"/>
                <w:lang w:val="en-US" w:eastAsia="zh-CN"/>
              </w:rPr>
              <w:t>27</w:t>
            </w:r>
          </w:p>
        </w:tc>
        <w:tc>
          <w:tcPr>
            <w:tcW w:w="1835" w:type="dxa"/>
            <w:noWrap w:val="0"/>
            <w:vAlign w:val="center"/>
          </w:tcPr>
          <w:p>
            <w:pPr>
              <w:jc w:val="center"/>
              <w:rPr>
                <w:rFonts w:hint="eastAsia" w:ascii="仿宋" w:hAnsi="仿宋" w:eastAsia="仿宋" w:cs="仿宋"/>
                <w:b/>
                <w:bCs/>
                <w:kern w:val="2"/>
                <w:sz w:val="24"/>
                <w:szCs w:val="24"/>
                <w:lang w:val="en-US" w:eastAsia="zh-CN" w:bidi="ar-SA"/>
              </w:rPr>
            </w:pPr>
            <w:r>
              <w:rPr>
                <w:rFonts w:hint="eastAsia" w:ascii="仿宋" w:hAnsi="仿宋" w:eastAsia="仿宋" w:cs="仿宋"/>
                <w:b/>
                <w:bCs/>
                <w:sz w:val="24"/>
                <w:szCs w:val="24"/>
                <w:lang w:eastAsia="zh-CN"/>
              </w:rPr>
              <w:t>职业病</w:t>
            </w:r>
            <w:r>
              <w:rPr>
                <w:rFonts w:hint="eastAsia" w:ascii="仿宋" w:hAnsi="仿宋" w:eastAsia="仿宋" w:cs="仿宋"/>
                <w:b/>
                <w:bCs/>
                <w:sz w:val="24"/>
                <w:szCs w:val="24"/>
              </w:rPr>
              <w:t>（</w:t>
            </w:r>
            <w:r>
              <w:rPr>
                <w:rFonts w:hint="eastAsia" w:ascii="仿宋" w:hAnsi="仿宋" w:eastAsia="仿宋" w:cs="仿宋"/>
                <w:b/>
                <w:bCs/>
                <w:sz w:val="24"/>
                <w:szCs w:val="24"/>
                <w:lang w:val="en-US" w:eastAsia="zh-CN"/>
              </w:rPr>
              <w:t>42</w:t>
            </w:r>
            <w:r>
              <w:rPr>
                <w:rFonts w:hint="eastAsia" w:ascii="仿宋" w:hAnsi="仿宋" w:eastAsia="仿宋" w:cs="仿宋"/>
                <w:b/>
                <w:bCs/>
                <w:sz w:val="24"/>
                <w:szCs w:val="24"/>
              </w:rPr>
              <w:t>项）</w:t>
            </w:r>
          </w:p>
        </w:tc>
        <w:tc>
          <w:tcPr>
            <w:tcW w:w="5545" w:type="dxa"/>
            <w:noWrap w:val="0"/>
            <w:vAlign w:val="center"/>
          </w:tcPr>
          <w:p>
            <w:pPr>
              <w:jc w:val="left"/>
              <w:rPr>
                <w:rFonts w:hint="eastAsia" w:ascii="仿宋" w:hAnsi="仿宋" w:eastAsia="仿宋" w:cs="仿宋"/>
                <w:sz w:val="24"/>
                <w:szCs w:val="24"/>
                <w:lang w:val="en-US" w:eastAsia="zh-CN"/>
              </w:rPr>
            </w:pPr>
          </w:p>
        </w:tc>
        <w:tc>
          <w:tcPr>
            <w:tcW w:w="685" w:type="dxa"/>
            <w:noWrap w:val="0"/>
            <w:vAlign w:val="center"/>
          </w:tcPr>
          <w:p>
            <w:pPr>
              <w:jc w:val="center"/>
              <w:rPr>
                <w:rFonts w:hint="eastAsia" w:ascii="仿宋" w:hAnsi="仿宋" w:eastAsia="仿宋" w:cs="仿宋"/>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1</w:t>
            </w:r>
          </w:p>
        </w:tc>
        <w:tc>
          <w:tcPr>
            <w:tcW w:w="1835" w:type="dxa"/>
            <w:noWrap w:val="0"/>
            <w:vAlign w:val="center"/>
          </w:tcPr>
          <w:p>
            <w:pPr>
              <w:numPr>
                <w:ilvl w:val="0"/>
                <w:numId w:val="0"/>
              </w:numPr>
              <w:jc w:val="left"/>
              <w:rPr>
                <w:rFonts w:hint="eastAsia" w:ascii="仿宋" w:hAnsi="仿宋" w:eastAsia="仿宋" w:cs="仿宋"/>
                <w:b/>
                <w:bCs/>
                <w:sz w:val="24"/>
                <w:szCs w:val="24"/>
                <w:lang w:val="en-US" w:eastAsia="zh-CN"/>
              </w:rPr>
            </w:pPr>
            <w:r>
              <w:rPr>
                <w:rFonts w:hint="eastAsia" w:ascii="仿宋" w:hAnsi="仿宋" w:eastAsia="仿宋" w:cs="仿宋"/>
                <w:sz w:val="24"/>
                <w:szCs w:val="24"/>
              </w:rPr>
              <w:t>未按照规定进行职业病危害预评价的</w:t>
            </w:r>
          </w:p>
        </w:tc>
        <w:tc>
          <w:tcPr>
            <w:tcW w:w="5545" w:type="dxa"/>
            <w:noWrap w:val="0"/>
            <w:vAlign w:val="center"/>
          </w:tcPr>
          <w:p>
            <w:pPr>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eastAsia="zh-CN"/>
              </w:rPr>
              <w:t>《职业病防治法》第十七条第一款</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2</w:t>
            </w:r>
          </w:p>
        </w:tc>
        <w:tc>
          <w:tcPr>
            <w:tcW w:w="1835" w:type="dxa"/>
            <w:noWrap w:val="0"/>
            <w:vAlign w:val="center"/>
          </w:tcPr>
          <w:p>
            <w:pPr>
              <w:numPr>
                <w:ilvl w:val="0"/>
                <w:numId w:val="0"/>
              </w:numPr>
              <w:jc w:val="left"/>
              <w:rPr>
                <w:rFonts w:hint="eastAsia" w:ascii="仿宋" w:hAnsi="仿宋" w:eastAsia="仿宋" w:cs="仿宋"/>
                <w:b/>
                <w:bCs/>
                <w:sz w:val="24"/>
                <w:szCs w:val="24"/>
                <w:lang w:eastAsia="zh-CN"/>
              </w:rPr>
            </w:pPr>
            <w:r>
              <w:rPr>
                <w:rFonts w:hint="eastAsia" w:ascii="仿宋" w:hAnsi="仿宋" w:eastAsia="仿宋" w:cs="仿宋"/>
                <w:sz w:val="24"/>
                <w:szCs w:val="24"/>
              </w:rPr>
              <w:t>医疗机构可能产生放射性职业病危害的建设项目未按照规定提交放射性职业病危害预评价报告，或者放射性职业病危害预评价报告未经卫生行政部门审核同意，开工建设的</w:t>
            </w:r>
          </w:p>
        </w:tc>
        <w:tc>
          <w:tcPr>
            <w:tcW w:w="5545" w:type="dxa"/>
            <w:noWrap w:val="0"/>
            <w:vAlign w:val="center"/>
          </w:tcPr>
          <w:p>
            <w:pPr>
              <w:jc w:val="left"/>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eastAsia="zh-CN"/>
              </w:rPr>
              <w:t>《职业病防治法》第十七条第二款</w:t>
            </w: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3</w:t>
            </w:r>
          </w:p>
        </w:tc>
        <w:tc>
          <w:tcPr>
            <w:tcW w:w="1835" w:type="dxa"/>
            <w:noWrap w:val="0"/>
            <w:vAlign w:val="center"/>
          </w:tcPr>
          <w:p>
            <w:pPr>
              <w:numPr>
                <w:ilvl w:val="0"/>
                <w:numId w:val="0"/>
              </w:numPr>
              <w:jc w:val="left"/>
              <w:rPr>
                <w:rFonts w:hint="eastAsia" w:ascii="仿宋" w:hAnsi="仿宋" w:eastAsia="仿宋" w:cs="仿宋"/>
                <w:b/>
                <w:bCs/>
                <w:sz w:val="24"/>
                <w:szCs w:val="24"/>
                <w:lang w:eastAsia="zh-CN"/>
              </w:rPr>
            </w:pPr>
            <w:r>
              <w:rPr>
                <w:rFonts w:hint="eastAsia" w:ascii="仿宋" w:hAnsi="仿宋" w:eastAsia="仿宋" w:cs="仿宋"/>
                <w:sz w:val="24"/>
                <w:szCs w:val="24"/>
              </w:rPr>
              <w:t>建设项目的职业病防护设施未按照规定与主体工程同时设计、同时施工、同时投入生产和使用的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《职业病防治法》第十七条三款</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4</w:t>
            </w:r>
          </w:p>
        </w:tc>
        <w:tc>
          <w:tcPr>
            <w:tcW w:w="1835" w:type="dxa"/>
            <w:noWrap w:val="0"/>
            <w:vAlign w:val="center"/>
          </w:tcPr>
          <w:p>
            <w:pPr>
              <w:numPr>
                <w:ilvl w:val="0"/>
                <w:numId w:val="0"/>
              </w:numPr>
              <w:jc w:val="left"/>
              <w:rPr>
                <w:rFonts w:hint="eastAsia" w:ascii="仿宋" w:hAnsi="仿宋" w:eastAsia="仿宋" w:cs="仿宋"/>
                <w:b/>
                <w:bCs/>
                <w:sz w:val="24"/>
                <w:szCs w:val="24"/>
                <w:lang w:eastAsia="zh-CN"/>
              </w:rPr>
            </w:pPr>
            <w:r>
              <w:rPr>
                <w:rFonts w:hint="eastAsia" w:ascii="仿宋" w:hAnsi="仿宋" w:eastAsia="仿宋" w:cs="仿宋"/>
                <w:sz w:val="24"/>
                <w:szCs w:val="24"/>
              </w:rPr>
              <w:t>建设项目的职业病防护设施设计不符合国家职业卫生标准和卫生要求，或者医疗机构放射性职业病危害严重的建设项目的防护设施设计未经卫生行政部门审查同意擅自施工的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《职业病防治法》第十八条第二款</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5</w:t>
            </w:r>
          </w:p>
        </w:tc>
        <w:tc>
          <w:tcPr>
            <w:tcW w:w="1835" w:type="dxa"/>
            <w:noWrap w:val="0"/>
            <w:vAlign w:val="center"/>
          </w:tcPr>
          <w:p>
            <w:pPr>
              <w:numPr>
                <w:ilvl w:val="0"/>
                <w:numId w:val="0"/>
              </w:numPr>
              <w:jc w:val="left"/>
              <w:rPr>
                <w:rFonts w:hint="eastAsia" w:ascii="仿宋" w:hAnsi="仿宋" w:eastAsia="仿宋" w:cs="仿宋"/>
                <w:b/>
                <w:bCs/>
                <w:sz w:val="24"/>
                <w:szCs w:val="24"/>
                <w:lang w:eastAsia="zh-CN"/>
              </w:rPr>
            </w:pPr>
            <w:r>
              <w:rPr>
                <w:rFonts w:hint="eastAsia" w:ascii="仿宋" w:hAnsi="仿宋" w:eastAsia="仿宋" w:cs="仿宋"/>
                <w:sz w:val="24"/>
                <w:szCs w:val="24"/>
              </w:rPr>
              <w:t>未按照规定对职业病防护设施进行职业病危害控制效果评价的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《职业病防治法》第十八条三款</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6</w:t>
            </w:r>
          </w:p>
        </w:tc>
        <w:tc>
          <w:tcPr>
            <w:tcW w:w="1835" w:type="dxa"/>
            <w:noWrap w:val="0"/>
            <w:vAlign w:val="center"/>
          </w:tcPr>
          <w:p>
            <w:pPr>
              <w:numPr>
                <w:ilvl w:val="0"/>
                <w:numId w:val="0"/>
              </w:numPr>
              <w:jc w:val="left"/>
              <w:rPr>
                <w:rFonts w:hint="eastAsia" w:ascii="仿宋" w:hAnsi="仿宋" w:eastAsia="仿宋" w:cs="仿宋"/>
                <w:b/>
                <w:bCs/>
                <w:sz w:val="24"/>
                <w:szCs w:val="24"/>
                <w:lang w:eastAsia="zh-CN"/>
              </w:rPr>
            </w:pPr>
            <w:r>
              <w:rPr>
                <w:rFonts w:hint="eastAsia" w:ascii="仿宋" w:hAnsi="仿宋" w:eastAsia="仿宋" w:cs="仿宋"/>
                <w:sz w:val="24"/>
                <w:szCs w:val="24"/>
              </w:rPr>
              <w:t>建设项目竣工投入生产和使用前，职业病防护设施未按照规定验收合格的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《职业病防治法》第十八条第四款</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7</w:t>
            </w:r>
          </w:p>
        </w:tc>
        <w:tc>
          <w:tcPr>
            <w:tcW w:w="1835" w:type="dxa"/>
            <w:noWrap w:val="0"/>
            <w:vAlign w:val="center"/>
          </w:tcPr>
          <w:p>
            <w:pPr>
              <w:numPr>
                <w:ilvl w:val="0"/>
                <w:numId w:val="0"/>
              </w:numPr>
              <w:jc w:val="left"/>
              <w:rPr>
                <w:rFonts w:hint="eastAsia" w:ascii="仿宋" w:hAnsi="仿宋" w:eastAsia="仿宋" w:cs="仿宋"/>
                <w:b/>
                <w:bCs/>
                <w:sz w:val="24"/>
                <w:szCs w:val="24"/>
                <w:lang w:eastAsia="zh-CN"/>
              </w:rPr>
            </w:pPr>
            <w:r>
              <w:rPr>
                <w:rFonts w:hint="eastAsia" w:ascii="仿宋" w:hAnsi="仿宋" w:eastAsia="仿宋" w:cs="仿宋"/>
                <w:sz w:val="24"/>
                <w:szCs w:val="24"/>
              </w:rPr>
              <w:t>工作场所职业病危害因素检测、评价结果没有存档、上报、公布的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《职业病防治法》第二十四条第一款</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8</w:t>
            </w:r>
          </w:p>
        </w:tc>
        <w:tc>
          <w:tcPr>
            <w:tcW w:w="1835" w:type="dxa"/>
            <w:noWrap w:val="0"/>
            <w:vAlign w:val="center"/>
          </w:tcPr>
          <w:p>
            <w:pPr>
              <w:numPr>
                <w:ilvl w:val="0"/>
                <w:numId w:val="0"/>
              </w:numPr>
              <w:jc w:val="left"/>
              <w:rPr>
                <w:rFonts w:hint="eastAsia" w:ascii="仿宋" w:hAnsi="仿宋" w:eastAsia="仿宋" w:cs="仿宋"/>
                <w:b/>
                <w:bCs/>
                <w:sz w:val="24"/>
                <w:szCs w:val="24"/>
                <w:lang w:eastAsia="zh-CN"/>
              </w:rPr>
            </w:pPr>
            <w:r>
              <w:rPr>
                <w:rFonts w:hint="eastAsia" w:ascii="仿宋" w:hAnsi="仿宋" w:eastAsia="仿宋" w:cs="仿宋"/>
                <w:sz w:val="24"/>
                <w:szCs w:val="24"/>
              </w:rPr>
              <w:t>未采取本法第二十条规定的职业病防治管理措施的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《职业病防治法》第二十条</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457" w:type="dxa"/>
            <w:noWrap w:val="0"/>
            <w:vAlign w:val="center"/>
          </w:tcPr>
          <w:p>
            <w:pPr>
              <w:widowControl/>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9</w:t>
            </w:r>
          </w:p>
        </w:tc>
        <w:tc>
          <w:tcPr>
            <w:tcW w:w="1835" w:type="dxa"/>
            <w:noWrap w:val="0"/>
            <w:vAlign w:val="center"/>
          </w:tcPr>
          <w:p>
            <w:pPr>
              <w:numPr>
                <w:ilvl w:val="0"/>
                <w:numId w:val="0"/>
              </w:numPr>
              <w:jc w:val="left"/>
              <w:rPr>
                <w:rFonts w:hint="eastAsia" w:ascii="仿宋" w:hAnsi="仿宋" w:eastAsia="仿宋" w:cs="仿宋"/>
                <w:b/>
                <w:bCs/>
                <w:sz w:val="24"/>
                <w:szCs w:val="24"/>
                <w:lang w:eastAsia="zh-CN"/>
              </w:rPr>
            </w:pPr>
            <w:r>
              <w:rPr>
                <w:rFonts w:hint="eastAsia" w:ascii="仿宋" w:hAnsi="仿宋" w:eastAsia="仿宋" w:cs="仿宋"/>
                <w:sz w:val="24"/>
                <w:szCs w:val="24"/>
              </w:rPr>
              <w:t>未按照规定公布有关职业病防治的规章制度、操作规程、职业病危害事故应急救援措施的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《职业病防治法》第二十四条第一款</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10</w:t>
            </w:r>
          </w:p>
        </w:tc>
        <w:tc>
          <w:tcPr>
            <w:tcW w:w="1835" w:type="dxa"/>
            <w:noWrap w:val="0"/>
            <w:vAlign w:val="center"/>
          </w:tcPr>
          <w:p>
            <w:pPr>
              <w:numPr>
                <w:ilvl w:val="0"/>
                <w:numId w:val="0"/>
              </w:numPr>
              <w:jc w:val="left"/>
              <w:rPr>
                <w:rFonts w:hint="eastAsia" w:ascii="仿宋" w:hAnsi="仿宋" w:eastAsia="仿宋" w:cs="仿宋"/>
                <w:b/>
                <w:bCs/>
                <w:sz w:val="24"/>
                <w:szCs w:val="24"/>
                <w:lang w:eastAsia="zh-CN"/>
              </w:rPr>
            </w:pPr>
            <w:r>
              <w:rPr>
                <w:rFonts w:hint="eastAsia" w:ascii="仿宋" w:hAnsi="仿宋" w:eastAsia="仿宋" w:cs="仿宋"/>
                <w:sz w:val="24"/>
                <w:szCs w:val="24"/>
              </w:rPr>
              <w:t>未按照规定组织劳动者进行职业卫生培训，或者未对劳动者个人职业病防护采取指导、督促措施的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《职业病防治法》第三十四条第二款</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11</w:t>
            </w:r>
          </w:p>
        </w:tc>
        <w:tc>
          <w:tcPr>
            <w:tcW w:w="1835" w:type="dxa"/>
            <w:noWrap w:val="0"/>
            <w:vAlign w:val="center"/>
          </w:tcPr>
          <w:p>
            <w:pPr>
              <w:numPr>
                <w:ilvl w:val="0"/>
                <w:numId w:val="0"/>
              </w:numPr>
              <w:jc w:val="left"/>
              <w:rPr>
                <w:rFonts w:hint="eastAsia" w:ascii="仿宋" w:hAnsi="仿宋" w:eastAsia="仿宋" w:cs="仿宋"/>
                <w:b/>
                <w:bCs/>
                <w:sz w:val="24"/>
                <w:szCs w:val="24"/>
                <w:lang w:eastAsia="zh-CN"/>
              </w:rPr>
            </w:pPr>
            <w:r>
              <w:rPr>
                <w:rFonts w:hint="eastAsia" w:ascii="仿宋" w:hAnsi="仿宋" w:eastAsia="仿宋" w:cs="仿宋"/>
                <w:sz w:val="24"/>
                <w:szCs w:val="24"/>
              </w:rPr>
              <w:t>国内首次使用或者首次进口与职业病危害有关的化学材料，未按照规定报送毒性鉴定资料以及经有关部门登记注册或者批准进口的文件的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《职业病防治法》第二十九条第二款</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12</w:t>
            </w:r>
          </w:p>
        </w:tc>
        <w:tc>
          <w:tcPr>
            <w:tcW w:w="1835" w:type="dxa"/>
            <w:noWrap w:val="0"/>
            <w:vAlign w:val="center"/>
          </w:tcPr>
          <w:p>
            <w:pPr>
              <w:numPr>
                <w:ilvl w:val="0"/>
                <w:numId w:val="0"/>
              </w:numPr>
              <w:jc w:val="left"/>
              <w:rPr>
                <w:rFonts w:hint="eastAsia" w:ascii="仿宋" w:hAnsi="仿宋" w:eastAsia="仿宋" w:cs="仿宋"/>
                <w:b/>
                <w:bCs/>
                <w:sz w:val="24"/>
                <w:szCs w:val="24"/>
                <w:lang w:eastAsia="zh-CN"/>
              </w:rPr>
            </w:pPr>
            <w:r>
              <w:rPr>
                <w:rFonts w:hint="eastAsia" w:ascii="仿宋" w:hAnsi="仿宋" w:eastAsia="仿宋" w:cs="仿宋"/>
                <w:sz w:val="24"/>
                <w:szCs w:val="24"/>
              </w:rPr>
              <w:t>未按照规定及时、如实向卫生行政部门申报产生职业病危害的项目的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《职业病防治法》第二十六条第二款</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13</w:t>
            </w:r>
          </w:p>
        </w:tc>
        <w:tc>
          <w:tcPr>
            <w:tcW w:w="1835" w:type="dxa"/>
            <w:noWrap w:val="0"/>
            <w:vAlign w:val="center"/>
          </w:tcPr>
          <w:p>
            <w:pPr>
              <w:jc w:val="left"/>
              <w:rPr>
                <w:rFonts w:hint="eastAsia" w:ascii="仿宋" w:hAnsi="仿宋" w:eastAsia="仿宋" w:cs="仿宋"/>
                <w:b/>
                <w:bCs/>
                <w:sz w:val="24"/>
                <w:szCs w:val="24"/>
                <w:lang w:eastAsia="zh-CN"/>
              </w:rPr>
            </w:pPr>
            <w:r>
              <w:rPr>
                <w:rFonts w:hint="eastAsia" w:ascii="仿宋" w:hAnsi="仿宋" w:eastAsia="仿宋" w:cs="仿宋"/>
                <w:sz w:val="24"/>
                <w:szCs w:val="24"/>
              </w:rPr>
              <w:t>未实施由专人负责的职业病危害因素日常监测，或者监测系统不能正常监测的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《职业病防治法》第二十六条第一款</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14</w:t>
            </w:r>
          </w:p>
        </w:tc>
        <w:tc>
          <w:tcPr>
            <w:tcW w:w="1835" w:type="dxa"/>
            <w:noWrap w:val="0"/>
            <w:vAlign w:val="center"/>
          </w:tcPr>
          <w:p>
            <w:pPr>
              <w:numPr>
                <w:ilvl w:val="0"/>
                <w:numId w:val="0"/>
              </w:numPr>
              <w:jc w:val="left"/>
              <w:rPr>
                <w:rFonts w:hint="eastAsia" w:ascii="仿宋" w:hAnsi="仿宋" w:eastAsia="仿宋" w:cs="仿宋"/>
                <w:b/>
                <w:bCs/>
                <w:sz w:val="24"/>
                <w:szCs w:val="24"/>
                <w:lang w:eastAsia="zh-CN"/>
              </w:rPr>
            </w:pPr>
            <w:r>
              <w:rPr>
                <w:rFonts w:hint="eastAsia" w:ascii="仿宋" w:hAnsi="仿宋" w:eastAsia="仿宋" w:cs="仿宋"/>
                <w:sz w:val="24"/>
                <w:szCs w:val="24"/>
              </w:rPr>
              <w:t>订立或者变更劳动合同时，未告知劳动者职业病危害真实情况的</w:t>
            </w:r>
          </w:p>
        </w:tc>
        <w:tc>
          <w:tcPr>
            <w:tcW w:w="5545" w:type="dxa"/>
            <w:noWrap w:val="0"/>
            <w:vAlign w:val="center"/>
          </w:tcPr>
          <w:p>
            <w:pPr>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eastAsia="zh-CN"/>
              </w:rPr>
              <w:t>《职业病防治法》第三十三条</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15</w:t>
            </w:r>
          </w:p>
        </w:tc>
        <w:tc>
          <w:tcPr>
            <w:tcW w:w="1835" w:type="dxa"/>
            <w:noWrap w:val="0"/>
            <w:vAlign w:val="center"/>
          </w:tcPr>
          <w:p>
            <w:pPr>
              <w:jc w:val="left"/>
              <w:rPr>
                <w:rFonts w:hint="eastAsia" w:ascii="仿宋" w:hAnsi="仿宋" w:eastAsia="仿宋" w:cs="仿宋"/>
                <w:b/>
                <w:bCs/>
                <w:sz w:val="24"/>
                <w:szCs w:val="24"/>
                <w:lang w:eastAsia="zh-CN"/>
              </w:rPr>
            </w:pPr>
            <w:r>
              <w:rPr>
                <w:rFonts w:hint="eastAsia" w:ascii="仿宋" w:hAnsi="仿宋" w:eastAsia="仿宋" w:cs="仿宋"/>
                <w:sz w:val="24"/>
                <w:szCs w:val="24"/>
              </w:rPr>
              <w:t>未按照规定组织职业健康检查、建立职业健康监护档案或者未将检查结果书面告知劳动者的；</w:t>
            </w:r>
          </w:p>
        </w:tc>
        <w:tc>
          <w:tcPr>
            <w:tcW w:w="5545" w:type="dxa"/>
            <w:noWrap w:val="0"/>
            <w:vAlign w:val="center"/>
          </w:tcPr>
          <w:p>
            <w:pPr>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eastAsia="zh-CN"/>
              </w:rPr>
              <w:t>《职业病防治法》第三十五条第一款</w:t>
            </w:r>
          </w:p>
          <w:p>
            <w:pPr>
              <w:jc w:val="left"/>
              <w:rPr>
                <w:rFonts w:hint="eastAsia" w:ascii="仿宋" w:hAnsi="仿宋" w:eastAsia="仿宋" w:cs="仿宋"/>
                <w:b w:val="0"/>
                <w:bCs w:val="0"/>
                <w:sz w:val="24"/>
                <w:szCs w:val="24"/>
                <w:lang w:eastAsia="zh-CN"/>
              </w:rPr>
            </w:pP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1</w:t>
            </w:r>
            <w:r>
              <w:rPr>
                <w:rFonts w:hint="eastAsia" w:ascii="仿宋" w:hAnsi="仿宋" w:eastAsia="仿宋" w:cs="仿宋"/>
                <w:sz w:val="24"/>
                <w:szCs w:val="24"/>
              </w:rPr>
              <w:t>6</w:t>
            </w:r>
          </w:p>
        </w:tc>
        <w:tc>
          <w:tcPr>
            <w:tcW w:w="1835" w:type="dxa"/>
            <w:noWrap w:val="0"/>
            <w:vAlign w:val="center"/>
          </w:tcPr>
          <w:p>
            <w:pPr>
              <w:numPr>
                <w:ilvl w:val="0"/>
                <w:numId w:val="0"/>
              </w:numPr>
              <w:jc w:val="left"/>
              <w:rPr>
                <w:rFonts w:hint="eastAsia" w:ascii="仿宋" w:hAnsi="仿宋" w:eastAsia="仿宋" w:cs="仿宋"/>
                <w:b/>
                <w:bCs/>
                <w:sz w:val="24"/>
                <w:szCs w:val="24"/>
                <w:lang w:eastAsia="zh-CN"/>
              </w:rPr>
            </w:pPr>
            <w:r>
              <w:rPr>
                <w:rFonts w:hint="eastAsia" w:ascii="仿宋" w:hAnsi="仿宋" w:eastAsia="仿宋" w:cs="仿宋"/>
                <w:sz w:val="24"/>
                <w:szCs w:val="24"/>
              </w:rPr>
              <w:t>未依照本法规定在劳动者离开用人单位时提供职业健康监护档案复印件的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《职业病防治法》第三十六条第三款</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17</w:t>
            </w:r>
          </w:p>
        </w:tc>
        <w:tc>
          <w:tcPr>
            <w:tcW w:w="1835" w:type="dxa"/>
            <w:noWrap w:val="0"/>
            <w:vAlign w:val="center"/>
          </w:tcPr>
          <w:p>
            <w:pPr>
              <w:numPr>
                <w:ilvl w:val="0"/>
                <w:numId w:val="0"/>
              </w:numPr>
              <w:jc w:val="left"/>
              <w:rPr>
                <w:rFonts w:hint="eastAsia" w:ascii="仿宋" w:hAnsi="仿宋" w:eastAsia="仿宋" w:cs="仿宋"/>
                <w:b/>
                <w:bCs/>
                <w:sz w:val="24"/>
                <w:szCs w:val="24"/>
                <w:lang w:eastAsia="zh-CN"/>
              </w:rPr>
            </w:pPr>
            <w:r>
              <w:rPr>
                <w:rFonts w:hint="eastAsia" w:ascii="仿宋" w:hAnsi="仿宋" w:eastAsia="仿宋" w:cs="仿宋"/>
                <w:sz w:val="24"/>
                <w:szCs w:val="24"/>
              </w:rPr>
              <w:t>工作场所职业病危害因素的强度或者浓度超过国家职业卫生标准的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《职业病防治法》第二十六条第四款</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18</w:t>
            </w:r>
          </w:p>
        </w:tc>
        <w:tc>
          <w:tcPr>
            <w:tcW w:w="1835" w:type="dxa"/>
            <w:noWrap w:val="0"/>
            <w:vAlign w:val="center"/>
          </w:tcPr>
          <w:p>
            <w:pPr>
              <w:jc w:val="left"/>
              <w:rPr>
                <w:rFonts w:hint="eastAsia" w:ascii="仿宋" w:hAnsi="仿宋" w:eastAsia="仿宋" w:cs="仿宋"/>
                <w:b/>
                <w:bCs/>
                <w:sz w:val="24"/>
                <w:szCs w:val="24"/>
                <w:lang w:eastAsia="zh-CN"/>
              </w:rPr>
            </w:pPr>
            <w:r>
              <w:rPr>
                <w:rFonts w:hint="eastAsia" w:ascii="仿宋" w:hAnsi="仿宋" w:eastAsia="仿宋" w:cs="仿宋"/>
                <w:sz w:val="24"/>
                <w:szCs w:val="24"/>
              </w:rPr>
              <w:t>未提供职业病防护设施和个人使用的职业病防护用品，或者提供的职业病防护设施和个人使用的职业病防护用品不符合国家职业卫生标准和卫生要求的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《职业病防治法》第二十二条第二款</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19</w:t>
            </w:r>
          </w:p>
        </w:tc>
        <w:tc>
          <w:tcPr>
            <w:tcW w:w="1835" w:type="dxa"/>
            <w:noWrap w:val="0"/>
            <w:vAlign w:val="center"/>
          </w:tcPr>
          <w:p>
            <w:pPr>
              <w:numPr>
                <w:ilvl w:val="0"/>
                <w:numId w:val="0"/>
              </w:numPr>
              <w:jc w:val="left"/>
              <w:rPr>
                <w:rFonts w:hint="eastAsia" w:ascii="仿宋" w:hAnsi="仿宋" w:eastAsia="仿宋" w:cs="仿宋"/>
                <w:b/>
                <w:bCs/>
                <w:sz w:val="24"/>
                <w:szCs w:val="24"/>
                <w:lang w:eastAsia="zh-CN"/>
              </w:rPr>
            </w:pPr>
            <w:r>
              <w:rPr>
                <w:rFonts w:hint="eastAsia" w:ascii="仿宋" w:hAnsi="仿宋" w:eastAsia="仿宋" w:cs="仿宋"/>
                <w:sz w:val="24"/>
                <w:szCs w:val="24"/>
              </w:rPr>
              <w:t>对职业病防护设备、应急救援设施和个人使用的职业病防护用品未按照规定进行维护、检修、检测，或者不能保持正常运行、使用状态的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《职业病防治法》第二十五条第三款</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20</w:t>
            </w:r>
          </w:p>
        </w:tc>
        <w:tc>
          <w:tcPr>
            <w:tcW w:w="1835" w:type="dxa"/>
            <w:noWrap w:val="0"/>
            <w:vAlign w:val="center"/>
          </w:tcPr>
          <w:p>
            <w:pPr>
              <w:numPr>
                <w:ilvl w:val="0"/>
                <w:numId w:val="0"/>
              </w:numPr>
              <w:jc w:val="left"/>
              <w:rPr>
                <w:rFonts w:hint="eastAsia" w:ascii="仿宋" w:hAnsi="仿宋" w:eastAsia="仿宋" w:cs="仿宋"/>
                <w:b/>
                <w:bCs/>
                <w:sz w:val="24"/>
                <w:szCs w:val="24"/>
                <w:lang w:eastAsia="zh-CN"/>
              </w:rPr>
            </w:pPr>
            <w:r>
              <w:rPr>
                <w:rFonts w:hint="eastAsia" w:ascii="仿宋" w:hAnsi="仿宋" w:eastAsia="仿宋" w:cs="仿宋"/>
                <w:sz w:val="24"/>
                <w:szCs w:val="24"/>
              </w:rPr>
              <w:t>未按照规定对工作场所职业病危害因素进行检测、评价的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《职业病防治法》第二十六条第二款</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21</w:t>
            </w:r>
          </w:p>
        </w:tc>
        <w:tc>
          <w:tcPr>
            <w:tcW w:w="1835" w:type="dxa"/>
            <w:noWrap w:val="0"/>
            <w:vAlign w:val="center"/>
          </w:tcPr>
          <w:p>
            <w:pPr>
              <w:numPr>
                <w:ilvl w:val="0"/>
                <w:numId w:val="0"/>
              </w:numPr>
              <w:jc w:val="left"/>
              <w:rPr>
                <w:rFonts w:hint="eastAsia" w:ascii="仿宋" w:hAnsi="仿宋" w:eastAsia="仿宋" w:cs="仿宋"/>
                <w:b/>
                <w:bCs/>
                <w:sz w:val="24"/>
                <w:szCs w:val="24"/>
                <w:lang w:eastAsia="zh-CN"/>
              </w:rPr>
            </w:pPr>
            <w:r>
              <w:rPr>
                <w:rFonts w:hint="eastAsia" w:ascii="仿宋" w:hAnsi="仿宋" w:eastAsia="仿宋" w:cs="仿宋"/>
                <w:sz w:val="24"/>
                <w:szCs w:val="24"/>
              </w:rPr>
              <w:t>工作场所职业病危害因素经治理仍然达不到国家职业卫生标准和卫生要求时，未停止存在职业病危害因素的作业的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《职业病防治法》第二十六条第四款</w:t>
            </w:r>
          </w:p>
          <w:p>
            <w:pPr>
              <w:jc w:val="left"/>
              <w:rPr>
                <w:rFonts w:hint="eastAsia" w:ascii="仿宋" w:hAnsi="仿宋" w:eastAsia="仿宋" w:cs="仿宋"/>
                <w:b w:val="0"/>
                <w:bCs w:val="0"/>
                <w:sz w:val="24"/>
                <w:szCs w:val="24"/>
                <w:lang w:eastAsia="zh-CN"/>
              </w:rPr>
            </w:pP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22</w:t>
            </w:r>
          </w:p>
        </w:tc>
        <w:tc>
          <w:tcPr>
            <w:tcW w:w="1835" w:type="dxa"/>
            <w:noWrap w:val="0"/>
            <w:vAlign w:val="center"/>
          </w:tcPr>
          <w:p>
            <w:pPr>
              <w:numPr>
                <w:ilvl w:val="0"/>
                <w:numId w:val="0"/>
              </w:numPr>
              <w:jc w:val="left"/>
              <w:rPr>
                <w:rFonts w:hint="eastAsia" w:ascii="仿宋" w:hAnsi="仿宋" w:eastAsia="仿宋" w:cs="仿宋"/>
                <w:b/>
                <w:bCs/>
                <w:sz w:val="24"/>
                <w:szCs w:val="24"/>
                <w:lang w:eastAsia="zh-CN"/>
              </w:rPr>
            </w:pPr>
            <w:r>
              <w:rPr>
                <w:rFonts w:hint="eastAsia" w:ascii="仿宋" w:hAnsi="仿宋" w:eastAsia="仿宋" w:cs="仿宋"/>
                <w:sz w:val="24"/>
                <w:szCs w:val="24"/>
              </w:rPr>
              <w:t>未按照规定安排职业病病人、疑似职业病病人进行诊治的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《职业病防治法》第五十六条第二款</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23</w:t>
            </w:r>
          </w:p>
        </w:tc>
        <w:tc>
          <w:tcPr>
            <w:tcW w:w="1835" w:type="dxa"/>
            <w:noWrap w:val="0"/>
            <w:vAlign w:val="center"/>
          </w:tcPr>
          <w:p>
            <w:pPr>
              <w:numPr>
                <w:ilvl w:val="0"/>
                <w:numId w:val="0"/>
              </w:numPr>
              <w:jc w:val="left"/>
              <w:rPr>
                <w:rFonts w:hint="eastAsia" w:ascii="仿宋" w:hAnsi="仿宋" w:eastAsia="仿宋" w:cs="仿宋"/>
                <w:b/>
                <w:bCs/>
                <w:sz w:val="24"/>
                <w:szCs w:val="24"/>
                <w:lang w:eastAsia="zh-CN"/>
              </w:rPr>
            </w:pPr>
            <w:r>
              <w:rPr>
                <w:rFonts w:hint="eastAsia" w:ascii="仿宋" w:hAnsi="仿宋" w:eastAsia="仿宋" w:cs="仿宋"/>
                <w:sz w:val="24"/>
                <w:szCs w:val="24"/>
              </w:rPr>
              <w:t>发生或者可能发生急性职业病危害事故时，未立即采取应急救援和控制措施或者未按照规定及时报告的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《职业病防治法》第三十七条第一款</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24</w:t>
            </w:r>
          </w:p>
        </w:tc>
        <w:tc>
          <w:tcPr>
            <w:tcW w:w="1835" w:type="dxa"/>
            <w:noWrap w:val="0"/>
            <w:vAlign w:val="center"/>
          </w:tcPr>
          <w:p>
            <w:pPr>
              <w:numPr>
                <w:ilvl w:val="0"/>
                <w:numId w:val="0"/>
              </w:numPr>
              <w:jc w:val="left"/>
              <w:rPr>
                <w:rFonts w:hint="eastAsia" w:ascii="仿宋" w:hAnsi="仿宋" w:eastAsia="仿宋" w:cs="仿宋"/>
                <w:b/>
                <w:bCs/>
                <w:sz w:val="24"/>
                <w:szCs w:val="24"/>
                <w:lang w:eastAsia="zh-CN"/>
              </w:rPr>
            </w:pPr>
            <w:r>
              <w:rPr>
                <w:rFonts w:hint="eastAsia" w:ascii="仿宋" w:hAnsi="仿宋" w:eastAsia="仿宋" w:cs="仿宋"/>
                <w:sz w:val="24"/>
                <w:szCs w:val="24"/>
              </w:rPr>
              <w:t>未按照规定在产生严重职业病危害的作业岗位醒目位置设置警示标识和中文警示说明的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《职业病防治法》第二十九条第一款</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25</w:t>
            </w:r>
          </w:p>
        </w:tc>
        <w:tc>
          <w:tcPr>
            <w:tcW w:w="1835" w:type="dxa"/>
            <w:noWrap w:val="0"/>
            <w:vAlign w:val="center"/>
          </w:tcPr>
          <w:p>
            <w:pPr>
              <w:jc w:val="left"/>
              <w:rPr>
                <w:rFonts w:hint="eastAsia" w:ascii="仿宋" w:hAnsi="仿宋" w:eastAsia="仿宋" w:cs="仿宋"/>
                <w:b/>
                <w:bCs/>
                <w:sz w:val="24"/>
                <w:szCs w:val="24"/>
                <w:lang w:eastAsia="zh-CN"/>
              </w:rPr>
            </w:pPr>
            <w:r>
              <w:rPr>
                <w:rFonts w:hint="eastAsia" w:ascii="仿宋" w:hAnsi="仿宋" w:eastAsia="仿宋" w:cs="仿宋"/>
                <w:sz w:val="24"/>
                <w:szCs w:val="24"/>
              </w:rPr>
              <w:t>拒绝职业卫生监督管理部门监督检查的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《职业病防治法》第六十六条</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26</w:t>
            </w:r>
          </w:p>
        </w:tc>
        <w:tc>
          <w:tcPr>
            <w:tcW w:w="1835" w:type="dxa"/>
            <w:noWrap w:val="0"/>
            <w:vAlign w:val="center"/>
          </w:tcPr>
          <w:p>
            <w:pPr>
              <w:numPr>
                <w:ilvl w:val="0"/>
                <w:numId w:val="0"/>
              </w:numPr>
              <w:jc w:val="left"/>
              <w:rPr>
                <w:rFonts w:hint="eastAsia" w:ascii="仿宋" w:hAnsi="仿宋" w:eastAsia="仿宋" w:cs="仿宋"/>
                <w:b/>
                <w:bCs/>
                <w:sz w:val="24"/>
                <w:szCs w:val="24"/>
                <w:lang w:eastAsia="zh-CN"/>
              </w:rPr>
            </w:pPr>
            <w:r>
              <w:rPr>
                <w:rFonts w:hint="eastAsia" w:ascii="仿宋" w:hAnsi="仿宋" w:eastAsia="仿宋" w:cs="仿宋"/>
                <w:sz w:val="24"/>
                <w:szCs w:val="24"/>
              </w:rPr>
              <w:t>隐瞒、伪造、篡改、毁损职业健康监护档案、工作场所职业病危害因素检测评价结果等相关资料，或者拒不提供职业病诊断、鉴定所需资料的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《职业病防治法》第三十六条第一、二、三款</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27</w:t>
            </w:r>
          </w:p>
        </w:tc>
        <w:tc>
          <w:tcPr>
            <w:tcW w:w="1835" w:type="dxa"/>
            <w:noWrap w:val="0"/>
            <w:vAlign w:val="center"/>
          </w:tcPr>
          <w:p>
            <w:pPr>
              <w:jc w:val="left"/>
              <w:rPr>
                <w:rFonts w:hint="eastAsia" w:ascii="仿宋" w:hAnsi="仿宋" w:eastAsia="仿宋" w:cs="仿宋"/>
                <w:b/>
                <w:bCs/>
                <w:sz w:val="24"/>
                <w:szCs w:val="24"/>
                <w:lang w:eastAsia="zh-CN"/>
              </w:rPr>
            </w:pPr>
            <w:r>
              <w:rPr>
                <w:rFonts w:hint="eastAsia" w:ascii="仿宋" w:hAnsi="仿宋" w:eastAsia="仿宋" w:cs="仿宋"/>
                <w:sz w:val="24"/>
                <w:szCs w:val="24"/>
              </w:rPr>
              <w:t>未按照规定承担职业病诊断、鉴定费用和职业病病人的医疗、生活保障费用的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《职业病防治法》第三十七条第二款</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28</w:t>
            </w:r>
          </w:p>
        </w:tc>
        <w:tc>
          <w:tcPr>
            <w:tcW w:w="1835" w:type="dxa"/>
            <w:noWrap w:val="0"/>
            <w:vAlign w:val="center"/>
          </w:tcPr>
          <w:p>
            <w:pPr>
              <w:jc w:val="left"/>
              <w:rPr>
                <w:rFonts w:hint="eastAsia" w:ascii="仿宋" w:hAnsi="仿宋" w:eastAsia="仿宋" w:cs="仿宋"/>
                <w:b/>
                <w:bCs/>
                <w:sz w:val="24"/>
                <w:szCs w:val="24"/>
                <w:lang w:eastAsia="zh-CN"/>
              </w:rPr>
            </w:pPr>
            <w:r>
              <w:rPr>
                <w:rFonts w:hint="eastAsia" w:ascii="仿宋" w:hAnsi="仿宋" w:eastAsia="仿宋" w:cs="仿宋"/>
                <w:sz w:val="24"/>
                <w:szCs w:val="24"/>
              </w:rPr>
              <w:t>向用人单位提供可能产生职业病危害的设备、材料，未按照规定提供中文说明书或者设置警示标识和中文警示说明的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《职业病防治法》第二十八条</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29</w:t>
            </w:r>
          </w:p>
        </w:tc>
        <w:tc>
          <w:tcPr>
            <w:tcW w:w="1835" w:type="dxa"/>
            <w:noWrap w:val="0"/>
            <w:vAlign w:val="center"/>
          </w:tcPr>
          <w:p>
            <w:pPr>
              <w:jc w:val="left"/>
              <w:rPr>
                <w:rFonts w:hint="eastAsia" w:ascii="仿宋" w:hAnsi="仿宋" w:eastAsia="仿宋" w:cs="仿宋"/>
                <w:b/>
                <w:bCs/>
                <w:sz w:val="24"/>
                <w:szCs w:val="24"/>
                <w:lang w:eastAsia="zh-CN"/>
              </w:rPr>
            </w:pPr>
            <w:r>
              <w:rPr>
                <w:rFonts w:hint="eastAsia" w:ascii="仿宋" w:hAnsi="仿宋" w:eastAsia="仿宋" w:cs="仿宋"/>
                <w:sz w:val="24"/>
                <w:szCs w:val="24"/>
              </w:rPr>
              <w:t>用人单位和医疗卫生机构未按照规定报告职业病、疑似职业病的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《职业病防治法》第五十条</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rPr>
              <w:br w:type="textWrapping"/>
            </w:r>
            <w:r>
              <w:rPr>
                <w:rFonts w:hint="eastAsia" w:ascii="仿宋" w:hAnsi="仿宋" w:eastAsia="仿宋" w:cs="仿宋"/>
                <w:b w:val="0"/>
                <w:bCs w:val="0"/>
                <w:sz w:val="24"/>
                <w:szCs w:val="24"/>
                <w:lang w:val="en-US" w:eastAsia="zh-CN"/>
              </w:rPr>
              <w:t>30</w:t>
            </w:r>
          </w:p>
        </w:tc>
        <w:tc>
          <w:tcPr>
            <w:tcW w:w="1835" w:type="dxa"/>
            <w:noWrap w:val="0"/>
            <w:vAlign w:val="center"/>
          </w:tcPr>
          <w:p>
            <w:pPr>
              <w:numPr>
                <w:ilvl w:val="0"/>
                <w:numId w:val="0"/>
              </w:numPr>
              <w:jc w:val="left"/>
              <w:rPr>
                <w:rFonts w:hint="eastAsia" w:ascii="仿宋" w:hAnsi="仿宋" w:eastAsia="仿宋" w:cs="仿宋"/>
                <w:b/>
                <w:bCs/>
                <w:sz w:val="24"/>
                <w:szCs w:val="24"/>
                <w:lang w:eastAsia="zh-CN"/>
              </w:rPr>
            </w:pPr>
            <w:r>
              <w:rPr>
                <w:rFonts w:hint="eastAsia" w:ascii="仿宋" w:hAnsi="仿宋" w:eastAsia="仿宋" w:cs="仿宋"/>
                <w:sz w:val="24"/>
                <w:szCs w:val="24"/>
              </w:rPr>
              <w:t>隐瞒技术、工艺、设备、材料所产生的职业病危害而采用的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《职业病防治法》第三十二条</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31</w:t>
            </w:r>
          </w:p>
        </w:tc>
        <w:tc>
          <w:tcPr>
            <w:tcW w:w="1835" w:type="dxa"/>
            <w:noWrap w:val="0"/>
            <w:vAlign w:val="center"/>
          </w:tcPr>
          <w:p>
            <w:pPr>
              <w:numPr>
                <w:ilvl w:val="0"/>
                <w:numId w:val="0"/>
              </w:numPr>
              <w:ind w:leftChars="0"/>
              <w:jc w:val="left"/>
              <w:rPr>
                <w:rFonts w:hint="eastAsia" w:ascii="仿宋" w:hAnsi="仿宋" w:eastAsia="仿宋" w:cs="仿宋"/>
                <w:b/>
                <w:bCs/>
                <w:sz w:val="24"/>
                <w:szCs w:val="24"/>
                <w:lang w:eastAsia="zh-CN"/>
              </w:rPr>
            </w:pPr>
            <w:r>
              <w:rPr>
                <w:rFonts w:hint="eastAsia" w:ascii="仿宋" w:hAnsi="仿宋" w:eastAsia="仿宋" w:cs="仿宋"/>
                <w:sz w:val="24"/>
                <w:szCs w:val="24"/>
              </w:rPr>
              <w:t>隐瞒本单位职业卫生真实情况的</w:t>
            </w:r>
          </w:p>
        </w:tc>
        <w:tc>
          <w:tcPr>
            <w:tcW w:w="5545" w:type="dxa"/>
            <w:noWrap w:val="0"/>
            <w:vAlign w:val="center"/>
          </w:tcPr>
          <w:p>
            <w:pPr>
              <w:jc w:val="left"/>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eastAsia="zh-CN"/>
              </w:rPr>
              <w:t>《职业病防治法》第二十四条第一、二款</w:t>
            </w: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32</w:t>
            </w:r>
          </w:p>
        </w:tc>
        <w:tc>
          <w:tcPr>
            <w:tcW w:w="1835" w:type="dxa"/>
            <w:noWrap w:val="0"/>
            <w:vAlign w:val="center"/>
          </w:tcPr>
          <w:p>
            <w:pPr>
              <w:numPr>
                <w:ilvl w:val="0"/>
                <w:numId w:val="0"/>
              </w:numPr>
              <w:ind w:leftChars="0"/>
              <w:jc w:val="left"/>
              <w:rPr>
                <w:rFonts w:hint="eastAsia" w:ascii="仿宋" w:hAnsi="仿宋" w:eastAsia="仿宋" w:cs="仿宋"/>
                <w:b/>
                <w:bCs/>
                <w:sz w:val="24"/>
                <w:szCs w:val="24"/>
                <w:lang w:eastAsia="zh-CN"/>
              </w:rPr>
            </w:pPr>
            <w:r>
              <w:rPr>
                <w:rFonts w:hint="eastAsia" w:ascii="仿宋" w:hAnsi="仿宋" w:eastAsia="仿宋" w:cs="仿宋"/>
                <w:sz w:val="24"/>
                <w:szCs w:val="24"/>
              </w:rPr>
              <w:t>可能发生急性职业损伤的有毒、有害工作场所、放射工作场所或者放射性同位素的运输、贮存不符合本法第二十五条规定的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《职业病防治法》第二十五条第一、二、三款</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33</w:t>
            </w:r>
          </w:p>
        </w:tc>
        <w:tc>
          <w:tcPr>
            <w:tcW w:w="1835" w:type="dxa"/>
            <w:noWrap w:val="0"/>
            <w:vAlign w:val="center"/>
          </w:tcPr>
          <w:p>
            <w:pPr>
              <w:numPr>
                <w:ilvl w:val="0"/>
                <w:numId w:val="0"/>
              </w:numPr>
              <w:ind w:leftChars="0"/>
              <w:jc w:val="left"/>
              <w:rPr>
                <w:rFonts w:hint="eastAsia" w:ascii="仿宋" w:hAnsi="仿宋" w:eastAsia="仿宋" w:cs="仿宋"/>
                <w:b/>
                <w:bCs/>
                <w:sz w:val="24"/>
                <w:szCs w:val="24"/>
                <w:lang w:eastAsia="zh-CN"/>
              </w:rPr>
            </w:pPr>
            <w:r>
              <w:rPr>
                <w:rFonts w:hint="eastAsia" w:ascii="仿宋" w:hAnsi="仿宋" w:eastAsia="仿宋" w:cs="仿宋"/>
                <w:sz w:val="24"/>
                <w:szCs w:val="24"/>
              </w:rPr>
              <w:t>使用国家明令禁止使用的可能产生职业病危害的设备或者材料的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《职业病防治法》第三十条</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34</w:t>
            </w:r>
          </w:p>
        </w:tc>
        <w:tc>
          <w:tcPr>
            <w:tcW w:w="1835" w:type="dxa"/>
            <w:noWrap w:val="0"/>
            <w:vAlign w:val="center"/>
          </w:tcPr>
          <w:p>
            <w:pPr>
              <w:numPr>
                <w:ilvl w:val="0"/>
                <w:numId w:val="0"/>
              </w:numPr>
              <w:ind w:leftChars="0"/>
              <w:jc w:val="left"/>
              <w:rPr>
                <w:rFonts w:hint="eastAsia" w:ascii="仿宋" w:hAnsi="仿宋" w:eastAsia="仿宋" w:cs="仿宋"/>
                <w:b/>
                <w:bCs/>
                <w:sz w:val="24"/>
                <w:szCs w:val="24"/>
                <w:lang w:eastAsia="zh-CN"/>
              </w:rPr>
            </w:pPr>
            <w:r>
              <w:rPr>
                <w:rFonts w:hint="eastAsia" w:ascii="仿宋" w:hAnsi="仿宋" w:eastAsia="仿宋" w:cs="仿宋"/>
                <w:sz w:val="24"/>
                <w:szCs w:val="24"/>
              </w:rPr>
              <w:t>将产生职业病危害的作业转移给没有职业病防护条件的单位和个人，或者没有职业病防护条件的单位和个人接受产生职业病危害的作业的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《职业病防治法》第三十一条</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35</w:t>
            </w:r>
          </w:p>
        </w:tc>
        <w:tc>
          <w:tcPr>
            <w:tcW w:w="1835" w:type="dxa"/>
            <w:noWrap w:val="0"/>
            <w:vAlign w:val="center"/>
          </w:tcPr>
          <w:p>
            <w:pPr>
              <w:numPr>
                <w:ilvl w:val="0"/>
                <w:numId w:val="0"/>
              </w:numPr>
              <w:ind w:leftChars="0"/>
              <w:jc w:val="left"/>
              <w:rPr>
                <w:rFonts w:hint="eastAsia" w:ascii="仿宋" w:hAnsi="仿宋" w:eastAsia="仿宋" w:cs="仿宋"/>
                <w:b/>
                <w:bCs/>
                <w:sz w:val="24"/>
                <w:szCs w:val="24"/>
                <w:lang w:eastAsia="zh-CN"/>
              </w:rPr>
            </w:pPr>
            <w:r>
              <w:rPr>
                <w:rFonts w:hint="eastAsia" w:ascii="仿宋" w:hAnsi="仿宋" w:eastAsia="仿宋" w:cs="仿宋"/>
                <w:sz w:val="24"/>
                <w:szCs w:val="24"/>
              </w:rPr>
              <w:t>擅自拆除、停止使用职业病防护设备或者应急救援设施的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《职业病防治法》第二十五条第三款</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36</w:t>
            </w:r>
          </w:p>
        </w:tc>
        <w:tc>
          <w:tcPr>
            <w:tcW w:w="1835" w:type="dxa"/>
            <w:noWrap w:val="0"/>
            <w:vAlign w:val="center"/>
          </w:tcPr>
          <w:p>
            <w:pPr>
              <w:numPr>
                <w:ilvl w:val="0"/>
                <w:numId w:val="0"/>
              </w:numPr>
              <w:ind w:leftChars="0"/>
              <w:jc w:val="left"/>
              <w:rPr>
                <w:rFonts w:hint="eastAsia" w:ascii="仿宋" w:hAnsi="仿宋" w:eastAsia="仿宋" w:cs="仿宋"/>
                <w:b/>
                <w:bCs/>
                <w:sz w:val="24"/>
                <w:szCs w:val="24"/>
                <w:lang w:eastAsia="zh-CN"/>
              </w:rPr>
            </w:pPr>
            <w:r>
              <w:rPr>
                <w:rFonts w:hint="eastAsia" w:ascii="仿宋" w:hAnsi="仿宋" w:eastAsia="仿宋" w:cs="仿宋"/>
                <w:sz w:val="24"/>
                <w:szCs w:val="24"/>
              </w:rPr>
              <w:t>安排未经职业健康检查的劳动者、有职业禁忌的劳动者、未成年工或者孕期、哺乳期女职工从事接触职业病危害的作业或者禁忌作业的</w:t>
            </w:r>
          </w:p>
        </w:tc>
        <w:tc>
          <w:tcPr>
            <w:tcW w:w="5545" w:type="dxa"/>
            <w:noWrap w:val="0"/>
            <w:vAlign w:val="center"/>
          </w:tcPr>
          <w:p>
            <w:pPr>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eastAsia="zh-CN"/>
              </w:rPr>
              <w:t>《职业病防治法》第三十八条</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37</w:t>
            </w:r>
          </w:p>
        </w:tc>
        <w:tc>
          <w:tcPr>
            <w:tcW w:w="1835" w:type="dxa"/>
            <w:noWrap w:val="0"/>
            <w:vAlign w:val="center"/>
          </w:tcPr>
          <w:p>
            <w:pPr>
              <w:jc w:val="left"/>
              <w:rPr>
                <w:rFonts w:hint="eastAsia" w:ascii="仿宋" w:hAnsi="仿宋" w:eastAsia="仿宋" w:cs="仿宋"/>
                <w:b/>
                <w:bCs/>
                <w:sz w:val="24"/>
                <w:szCs w:val="24"/>
                <w:lang w:eastAsia="zh-CN"/>
              </w:rPr>
            </w:pPr>
            <w:r>
              <w:rPr>
                <w:rFonts w:hint="eastAsia" w:ascii="仿宋" w:hAnsi="仿宋" w:eastAsia="仿宋" w:cs="仿宋"/>
                <w:sz w:val="24"/>
                <w:szCs w:val="24"/>
              </w:rPr>
              <w:t>用人单位违反本法规定，已经对劳动者生命健康造成严重损害的</w:t>
            </w:r>
          </w:p>
        </w:tc>
        <w:tc>
          <w:tcPr>
            <w:tcW w:w="5545" w:type="dxa"/>
            <w:noWrap w:val="0"/>
            <w:vAlign w:val="center"/>
          </w:tcPr>
          <w:p>
            <w:pPr>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eastAsia="zh-CN"/>
              </w:rPr>
              <w:t>《职业病防治法》第二条</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38</w:t>
            </w:r>
          </w:p>
        </w:tc>
        <w:tc>
          <w:tcPr>
            <w:tcW w:w="1835" w:type="dxa"/>
            <w:noWrap w:val="0"/>
            <w:vAlign w:val="center"/>
          </w:tcPr>
          <w:p>
            <w:pPr>
              <w:jc w:val="left"/>
              <w:rPr>
                <w:rFonts w:hint="eastAsia" w:ascii="仿宋" w:hAnsi="仿宋" w:eastAsia="仿宋" w:cs="仿宋"/>
                <w:b/>
                <w:bCs/>
                <w:sz w:val="24"/>
                <w:szCs w:val="24"/>
                <w:lang w:eastAsia="zh-CN"/>
              </w:rPr>
            </w:pPr>
            <w:r>
              <w:rPr>
                <w:rFonts w:hint="eastAsia" w:ascii="仿宋" w:hAnsi="仿宋" w:eastAsia="仿宋" w:cs="仿宋"/>
                <w:sz w:val="24"/>
                <w:szCs w:val="24"/>
              </w:rPr>
              <w:t>未取得职业卫生技术服务资质认可擅自从事职业卫生技术服务的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《职业病防治法》第三十五条第二款</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39</w:t>
            </w:r>
          </w:p>
        </w:tc>
        <w:tc>
          <w:tcPr>
            <w:tcW w:w="1835" w:type="dxa"/>
            <w:noWrap w:val="0"/>
            <w:vAlign w:val="center"/>
          </w:tcPr>
          <w:p>
            <w:pPr>
              <w:numPr>
                <w:ilvl w:val="0"/>
                <w:numId w:val="0"/>
              </w:numPr>
              <w:jc w:val="left"/>
              <w:rPr>
                <w:rFonts w:hint="eastAsia" w:ascii="仿宋" w:hAnsi="仿宋" w:eastAsia="仿宋" w:cs="仿宋"/>
                <w:b/>
                <w:bCs/>
                <w:sz w:val="24"/>
                <w:szCs w:val="24"/>
                <w:lang w:eastAsia="zh-CN"/>
              </w:rPr>
            </w:pPr>
            <w:r>
              <w:rPr>
                <w:rFonts w:hint="eastAsia" w:ascii="仿宋" w:hAnsi="仿宋" w:eastAsia="仿宋" w:cs="仿宋"/>
                <w:sz w:val="24"/>
                <w:szCs w:val="24"/>
              </w:rPr>
              <w:t>超出资质认可或者诊疗项目登记范围从事职业卫生技术服务或者职业病诊断的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《职业病防治法》第四十三条第二款</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40</w:t>
            </w:r>
          </w:p>
        </w:tc>
        <w:tc>
          <w:tcPr>
            <w:tcW w:w="1835" w:type="dxa"/>
            <w:noWrap w:val="0"/>
            <w:vAlign w:val="center"/>
          </w:tcPr>
          <w:p>
            <w:pPr>
              <w:numPr>
                <w:ilvl w:val="0"/>
                <w:numId w:val="0"/>
              </w:numPr>
              <w:jc w:val="left"/>
              <w:rPr>
                <w:rFonts w:hint="eastAsia" w:ascii="仿宋" w:hAnsi="仿宋" w:eastAsia="仿宋" w:cs="仿宋"/>
                <w:b/>
                <w:bCs/>
                <w:sz w:val="24"/>
                <w:szCs w:val="24"/>
                <w:lang w:eastAsia="zh-CN"/>
              </w:rPr>
            </w:pPr>
            <w:r>
              <w:rPr>
                <w:rFonts w:hint="eastAsia" w:ascii="仿宋" w:hAnsi="仿宋" w:eastAsia="仿宋" w:cs="仿宋"/>
                <w:sz w:val="24"/>
                <w:szCs w:val="24"/>
              </w:rPr>
              <w:t>不按照本法规定履行法定职责的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《职业病防治法》第五十条</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41</w:t>
            </w:r>
          </w:p>
        </w:tc>
        <w:tc>
          <w:tcPr>
            <w:tcW w:w="1835" w:type="dxa"/>
            <w:noWrap w:val="0"/>
            <w:vAlign w:val="center"/>
          </w:tcPr>
          <w:p>
            <w:pPr>
              <w:jc w:val="left"/>
              <w:rPr>
                <w:rFonts w:hint="eastAsia" w:ascii="仿宋" w:hAnsi="仿宋" w:eastAsia="仿宋" w:cs="仿宋"/>
                <w:b/>
                <w:bCs/>
                <w:sz w:val="24"/>
                <w:szCs w:val="24"/>
                <w:lang w:eastAsia="zh-CN"/>
              </w:rPr>
            </w:pPr>
            <w:r>
              <w:rPr>
                <w:rFonts w:hint="eastAsia" w:ascii="仿宋" w:hAnsi="仿宋" w:eastAsia="仿宋" w:cs="仿宋"/>
                <w:sz w:val="24"/>
                <w:szCs w:val="24"/>
              </w:rPr>
              <w:t>出具虚假证明文件的</w:t>
            </w:r>
          </w:p>
        </w:tc>
        <w:tc>
          <w:tcPr>
            <w:tcW w:w="5545" w:type="dxa"/>
            <w:noWrap w:val="0"/>
            <w:vAlign w:val="center"/>
          </w:tcPr>
          <w:p>
            <w:pPr>
              <w:jc w:val="left"/>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《职业病防治法》第四十六条第三款</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42</w:t>
            </w:r>
          </w:p>
        </w:tc>
        <w:tc>
          <w:tcPr>
            <w:tcW w:w="1835" w:type="dxa"/>
            <w:noWrap w:val="0"/>
            <w:vAlign w:val="center"/>
          </w:tcPr>
          <w:p>
            <w:pPr>
              <w:jc w:val="left"/>
              <w:rPr>
                <w:rFonts w:hint="eastAsia" w:ascii="仿宋" w:hAnsi="仿宋" w:eastAsia="仿宋" w:cs="仿宋"/>
                <w:b/>
                <w:bCs/>
                <w:sz w:val="24"/>
                <w:szCs w:val="24"/>
                <w:lang w:eastAsia="zh-CN"/>
              </w:rPr>
            </w:pPr>
            <w:r>
              <w:rPr>
                <w:rFonts w:hint="eastAsia" w:ascii="仿宋" w:hAnsi="仿宋" w:eastAsia="仿宋" w:cs="仿宋"/>
                <w:sz w:val="24"/>
                <w:szCs w:val="24"/>
              </w:rPr>
              <w:t>职业病诊断鉴定委员会组成人员收受职业病诊断争议当事人的财物或者其他好处的</w:t>
            </w:r>
          </w:p>
        </w:tc>
        <w:tc>
          <w:tcPr>
            <w:tcW w:w="5545" w:type="dxa"/>
            <w:noWrap w:val="0"/>
            <w:vAlign w:val="center"/>
          </w:tcPr>
          <w:p>
            <w:pPr>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eastAsia="zh-CN"/>
              </w:rPr>
              <w:t>《职业病防治法》第五十四条第一款</w:t>
            </w:r>
          </w:p>
          <w:p>
            <w:pPr>
              <w:jc w:val="left"/>
              <w:rPr>
                <w:rFonts w:hint="eastAsia" w:ascii="仿宋" w:hAnsi="仿宋" w:eastAsia="仿宋" w:cs="仿宋"/>
                <w:b w:val="0"/>
                <w:bCs w:val="0"/>
                <w:kern w:val="2"/>
                <w:sz w:val="24"/>
                <w:szCs w:val="24"/>
                <w:lang w:val="en-US" w:eastAsia="zh-CN" w:bidi="ar-SA"/>
              </w:rPr>
            </w:pPr>
          </w:p>
        </w:tc>
        <w:tc>
          <w:tcPr>
            <w:tcW w:w="685" w:type="dxa"/>
            <w:noWrap w:val="0"/>
            <w:vAlign w:val="center"/>
          </w:tcPr>
          <w:p>
            <w:pPr>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卫生计生监督所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color w:val="000000" w:themeColor="text1"/>
                <w:sz w:val="24"/>
                <w:szCs w:val="24"/>
                <w14:textFill>
                  <w14:solidFill>
                    <w14:schemeClr w14:val="tx1"/>
                  </w14:solidFill>
                </w14:textFill>
              </w:rPr>
            </w:pPr>
          </w:p>
        </w:tc>
        <w:tc>
          <w:tcPr>
            <w:tcW w:w="18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c>
          <w:tcPr>
            <w:tcW w:w="5545"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三</w:t>
            </w:r>
          </w:p>
        </w:tc>
        <w:tc>
          <w:tcPr>
            <w:tcW w:w="1835"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行政强制</w:t>
            </w:r>
            <w:r>
              <w:rPr>
                <w:rFonts w:hint="eastAsia" w:ascii="仿宋" w:hAnsi="仿宋" w:eastAsia="仿宋" w:cs="仿宋"/>
                <w:color w:val="000000" w:themeColor="text1"/>
                <w:sz w:val="24"/>
                <w:szCs w:val="24"/>
                <w:lang w:eastAsia="zh-CN"/>
                <w14:textFill>
                  <w14:solidFill>
                    <w14:schemeClr w14:val="tx1"/>
                  </w14:solidFill>
                </w14:textFill>
              </w:rPr>
              <w:t>（）</w:t>
            </w:r>
          </w:p>
        </w:tc>
        <w:tc>
          <w:tcPr>
            <w:tcW w:w="5545"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p>
        </w:tc>
        <w:tc>
          <w:tcPr>
            <w:tcW w:w="68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c>
          <w:tcPr>
            <w:tcW w:w="1835"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p>
        </w:tc>
        <w:tc>
          <w:tcPr>
            <w:tcW w:w="5545" w:type="dxa"/>
            <w:tcBorders>
              <w:top w:val="single" w:color="auto"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color w:val="000000" w:themeColor="text1"/>
                <w:sz w:val="24"/>
                <w:szCs w:val="24"/>
                <w14:textFill>
                  <w14:solidFill>
                    <w14:schemeClr w14:val="tx1"/>
                  </w14:solidFill>
                </w14:textFill>
              </w:rPr>
            </w:pPr>
          </w:p>
        </w:tc>
        <w:tc>
          <w:tcPr>
            <w:tcW w:w="68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四</w:t>
            </w:r>
          </w:p>
        </w:tc>
        <w:tc>
          <w:tcPr>
            <w:tcW w:w="1835"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行政征收（</w:t>
            </w:r>
            <w:r>
              <w:rPr>
                <w:rFonts w:hint="eastAsia" w:ascii="仿宋" w:hAnsi="仿宋" w:eastAsia="仿宋" w:cs="仿宋"/>
                <w:color w:val="000000" w:themeColor="text1"/>
                <w:sz w:val="24"/>
                <w:szCs w:val="24"/>
                <w:lang w:val="en-US" w:eastAsia="zh-CN"/>
                <w14:textFill>
                  <w14:solidFill>
                    <w14:schemeClr w14:val="tx1"/>
                  </w14:solidFill>
                </w14:textFill>
              </w:rPr>
              <w:t>1</w:t>
            </w:r>
            <w:r>
              <w:rPr>
                <w:rFonts w:hint="eastAsia" w:ascii="仿宋" w:hAnsi="仿宋" w:eastAsia="仿宋" w:cs="仿宋"/>
                <w:color w:val="000000" w:themeColor="text1"/>
                <w:sz w:val="24"/>
                <w:szCs w:val="24"/>
                <w:lang w:eastAsia="zh-CN"/>
                <w14:textFill>
                  <w14:solidFill>
                    <w14:schemeClr w14:val="tx1"/>
                  </w14:solidFill>
                </w14:textFill>
              </w:rPr>
              <w:t>）</w:t>
            </w:r>
          </w:p>
        </w:tc>
        <w:tc>
          <w:tcPr>
            <w:tcW w:w="5545" w:type="dxa"/>
            <w:tcBorders>
              <w:top w:val="single" w:color="auto" w:sz="4" w:space="0"/>
              <w:left w:val="single" w:color="000000" w:sz="4" w:space="0"/>
              <w:bottom w:val="single" w:color="auto" w:sz="4" w:space="0"/>
              <w:right w:val="single" w:color="auto" w:sz="4" w:space="0"/>
            </w:tcBorders>
            <w:noWrap w:val="0"/>
            <w:vAlign w:val="center"/>
          </w:tcPr>
          <w:p>
            <w:pPr>
              <w:pStyle w:val="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《河南省人口与计划生育条例》第三十五条：</w:t>
            </w:r>
          </w:p>
        </w:tc>
        <w:tc>
          <w:tcPr>
            <w:tcW w:w="68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eastAsia="zh-CN"/>
                <w14:textFill>
                  <w14:solidFill>
                    <w14:schemeClr w14:val="tx1"/>
                  </w14:solidFill>
                </w14:textFill>
              </w:rPr>
            </w:pPr>
          </w:p>
        </w:tc>
        <w:tc>
          <w:tcPr>
            <w:tcW w:w="1835"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社会抚养费征收</w:t>
            </w:r>
          </w:p>
        </w:tc>
        <w:tc>
          <w:tcPr>
            <w:tcW w:w="5545"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违反法律、法规规定生育第三个及以上子女的，应当征收社会抚养费。每多生育一个子女，分别按发现违法行为时男方和女方户籍所在地县（市、区）上一年度城镇或者农村居民人均可支配收入的三倍征收社会抚养费。</w:t>
            </w:r>
          </w:p>
        </w:tc>
        <w:tc>
          <w:tcPr>
            <w:tcW w:w="68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五</w:t>
            </w:r>
          </w:p>
        </w:tc>
        <w:tc>
          <w:tcPr>
            <w:tcW w:w="1835"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b/>
                <w:bCs/>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行政给付</w:t>
            </w:r>
            <w:r>
              <w:rPr>
                <w:rFonts w:hint="eastAsia" w:ascii="仿宋" w:hAnsi="仿宋" w:eastAsia="仿宋" w:cs="仿宋"/>
                <w:b/>
                <w:bCs/>
                <w:color w:val="000000" w:themeColor="text1"/>
                <w:sz w:val="24"/>
                <w:szCs w:val="24"/>
                <w:lang w:eastAsia="zh-CN"/>
                <w14:textFill>
                  <w14:solidFill>
                    <w14:schemeClr w14:val="tx1"/>
                  </w14:solidFill>
                </w14:textFill>
              </w:rPr>
              <w:t>（</w:t>
            </w:r>
            <w:r>
              <w:rPr>
                <w:rFonts w:hint="eastAsia" w:ascii="仿宋" w:hAnsi="仿宋" w:eastAsia="仿宋" w:cs="仿宋"/>
                <w:b/>
                <w:bCs/>
                <w:color w:val="000000" w:themeColor="text1"/>
                <w:sz w:val="24"/>
                <w:szCs w:val="24"/>
                <w:lang w:val="en-US" w:eastAsia="zh-CN"/>
                <w14:textFill>
                  <w14:solidFill>
                    <w14:schemeClr w14:val="tx1"/>
                  </w14:solidFill>
                </w14:textFill>
              </w:rPr>
              <w:t>2</w:t>
            </w:r>
            <w:r>
              <w:rPr>
                <w:rFonts w:hint="eastAsia" w:ascii="仿宋" w:hAnsi="仿宋" w:eastAsia="仿宋" w:cs="仿宋"/>
                <w:b/>
                <w:bCs/>
                <w:color w:val="000000" w:themeColor="text1"/>
                <w:sz w:val="24"/>
                <w:szCs w:val="24"/>
                <w:lang w:eastAsia="zh-CN"/>
                <w14:textFill>
                  <w14:solidFill>
                    <w14:schemeClr w14:val="tx1"/>
                  </w14:solidFill>
                </w14:textFill>
              </w:rPr>
              <w:t>）</w:t>
            </w:r>
          </w:p>
        </w:tc>
        <w:tc>
          <w:tcPr>
            <w:tcW w:w="5545"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b/>
                <w:bCs/>
                <w:color w:val="000000" w:themeColor="text1"/>
                <w:sz w:val="24"/>
                <w:szCs w:val="24"/>
                <w14:textFill>
                  <w14:solidFill>
                    <w14:schemeClr w14:val="tx1"/>
                  </w14:solidFill>
                </w14:textFill>
              </w:rPr>
            </w:pPr>
          </w:p>
        </w:tc>
        <w:tc>
          <w:tcPr>
            <w:tcW w:w="68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pStyle w:val="7"/>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w:t>
            </w:r>
          </w:p>
        </w:tc>
        <w:tc>
          <w:tcPr>
            <w:tcW w:w="1835" w:type="dxa"/>
            <w:tcBorders>
              <w:top w:val="single" w:color="auto" w:sz="4" w:space="0"/>
              <w:left w:val="single" w:color="000000" w:sz="4" w:space="0"/>
              <w:bottom w:val="single" w:color="auto" w:sz="4" w:space="0"/>
              <w:right w:val="single" w:color="000000" w:sz="4" w:space="0"/>
            </w:tcBorders>
            <w:noWrap w:val="0"/>
            <w:vAlign w:val="center"/>
          </w:tcPr>
          <w:p>
            <w:pPr>
              <w:pStyle w:val="7"/>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instrText xml:space="preserve"> HYPERLINK "http://zkxh.hnzwfw.gov.cn/art/2019/6/17/art_36891_1373987.html" \o "血吸虫病病人医疗费减免" \t "http://zkxh.hnzwfw.gov.cn/hnzw/bmft/index/_blank" </w:instrTex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血吸虫病病人医疗费减免</w: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end"/>
            </w:r>
          </w:p>
        </w:tc>
        <w:tc>
          <w:tcPr>
            <w:tcW w:w="5545" w:type="dxa"/>
            <w:tcBorders>
              <w:top w:val="single" w:color="auto" w:sz="4" w:space="0"/>
              <w:left w:val="single" w:color="000000" w:sz="4" w:space="0"/>
              <w:bottom w:val="single" w:color="auto" w:sz="4" w:space="0"/>
              <w:right w:val="single" w:color="auto" w:sz="4" w:space="0"/>
            </w:tcBorders>
            <w:noWrap w:val="0"/>
            <w:vAlign w:val="center"/>
          </w:tcPr>
          <w:p>
            <w:pPr>
              <w:pStyle w:val="7"/>
              <w:ind w:firstLine="480" w:firstLineChars="200"/>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【行政法规】《血吸虫病防治条例》（国务院令第463号） 第三十三条国家对农民免费提供抗血吸虫基本预防药物，对经济困难农民的血吸虫病治疗费用予以减免。因工作原因感染血吸虫病的，依照《工伤保险条例》的规定，享受工伤待遇。参加城镇职工基本医疗保险的血吸虫病病人，不属于工伤的，按照国家规定享受医疗保险待遇。对未参加工伤保险、医疗保险的人员因防汛、抗洪抢险患血吸虫病的，按照县级以上地方人民政府的规定解决所需的检查、治疗费用</w:t>
            </w:r>
          </w:p>
        </w:tc>
        <w:tc>
          <w:tcPr>
            <w:tcW w:w="685" w:type="dxa"/>
            <w:tcBorders>
              <w:top w:val="single" w:color="auto" w:sz="4" w:space="0"/>
              <w:left w:val="single" w:color="000000" w:sz="4" w:space="0"/>
              <w:bottom w:val="single" w:color="auto" w:sz="4" w:space="0"/>
              <w:right w:val="single" w:color="auto" w:sz="4" w:space="0"/>
            </w:tcBorders>
            <w:noWrap w:val="0"/>
            <w:vAlign w:val="center"/>
          </w:tcPr>
          <w:p>
            <w:pPr>
              <w:pStyle w:val="7"/>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疾控中心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45" w:hRule="atLeast"/>
        </w:trPr>
        <w:tc>
          <w:tcPr>
            <w:tcW w:w="457" w:type="dxa"/>
            <w:tcBorders>
              <w:top w:val="single" w:color="auto" w:sz="4" w:space="0"/>
              <w:left w:val="single" w:color="000000" w:sz="4" w:space="0"/>
              <w:bottom w:val="single" w:color="auto" w:sz="4" w:space="0"/>
              <w:right w:val="single" w:color="000000" w:sz="4" w:space="0"/>
            </w:tcBorders>
            <w:noWrap w:val="0"/>
            <w:vAlign w:val="center"/>
          </w:tcPr>
          <w:p>
            <w:pPr>
              <w:pStyle w:val="7"/>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w:t>
            </w:r>
          </w:p>
        </w:tc>
        <w:tc>
          <w:tcPr>
            <w:tcW w:w="1835" w:type="dxa"/>
            <w:tcBorders>
              <w:top w:val="single" w:color="auto" w:sz="4" w:space="0"/>
              <w:left w:val="single" w:color="000000" w:sz="4" w:space="0"/>
              <w:bottom w:val="single" w:color="auto" w:sz="4" w:space="0"/>
              <w:right w:val="single" w:color="000000" w:sz="4" w:space="0"/>
            </w:tcBorders>
            <w:noWrap w:val="0"/>
            <w:vAlign w:val="center"/>
          </w:tcPr>
          <w:p>
            <w:pPr>
              <w:pStyle w:val="7"/>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instrText xml:space="preserve"> HYPERLINK "http://zkxh.hnzwfw.gov.cn/art/2019/6/18/art_36891_1379903.html" \o "为严重精神障碍患者免费提供基本公共卫生服务" \t "http://zkxh.hnzwfw.gov.cn/hnzw/bmft/index/_blank" </w:instrTex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t>为严重精神障碍患者免费提供基本公共卫生服务</w: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end"/>
            </w:r>
          </w:p>
        </w:tc>
        <w:tc>
          <w:tcPr>
            <w:tcW w:w="5545" w:type="dxa"/>
            <w:tcBorders>
              <w:top w:val="single" w:color="auto" w:sz="4" w:space="0"/>
              <w:left w:val="single" w:color="000000" w:sz="4" w:space="0"/>
              <w:bottom w:val="single" w:color="auto" w:sz="4" w:space="0"/>
              <w:right w:val="single" w:color="auto" w:sz="4" w:space="0"/>
            </w:tcBorders>
            <w:noWrap w:val="0"/>
            <w:vAlign w:val="center"/>
          </w:tcPr>
          <w:p>
            <w:pPr>
              <w:pStyle w:val="7"/>
              <w:ind w:firstLine="480" w:firstLineChars="200"/>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1、《中华人民共和国精神卫生法》第六十八条县级以上人民政府卫生行政部门应当组织医疗机构为严重精神障碍患者免费提供基本公共卫生服务。精神障碍患者的医疗费用按照国家有关社会保险的规定由基本医疗保险基金支付。医疗保险经办机构应当按照国家有关规定将精神障碍患者纳入城镇职工基本医疗保险、城镇居民基本医疗保险或者新型农村合作医疗的保障范围。县级人民政府应当按照国家有关规定对家庭经济困难的严重精神障碍患者参加基本医疗保险给予资助。人力资源社会保障、卫生、民政、财政等部门应当加强协调，简化程序，实现属于基本医疗保险基金支付的医疗费用由医疗机构与医疗保险经办机构直接结算。精神障碍患者通过基本医疗保险支付医疗费用后仍有困难，或者不能通过基本医疗保险支付医疗费用的，民政部门应当优先给予医疗救助</w:t>
            </w:r>
          </w:p>
        </w:tc>
        <w:tc>
          <w:tcPr>
            <w:tcW w:w="685" w:type="dxa"/>
            <w:tcBorders>
              <w:top w:val="single" w:color="auto" w:sz="4" w:space="0"/>
              <w:left w:val="single" w:color="000000" w:sz="4" w:space="0"/>
              <w:bottom w:val="single" w:color="auto" w:sz="4" w:space="0"/>
              <w:right w:val="single" w:color="auto" w:sz="4" w:space="0"/>
            </w:tcBorders>
            <w:noWrap w:val="0"/>
            <w:vAlign w:val="center"/>
          </w:tcPr>
          <w:p>
            <w:pPr>
              <w:pStyle w:val="7"/>
              <w:jc w:val="center"/>
              <w:rPr>
                <w:rFonts w:hint="eastAsia" w:ascii="仿宋" w:hAnsi="仿宋" w:eastAsia="仿宋" w:cs="仿宋"/>
                <w:color w:val="000000" w:themeColor="text1"/>
                <w:sz w:val="24"/>
                <w:szCs w:val="24"/>
                <w:lang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2" w:hRule="atLeast"/>
        </w:trPr>
        <w:tc>
          <w:tcPr>
            <w:tcW w:w="457"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六</w:t>
            </w:r>
          </w:p>
        </w:tc>
        <w:tc>
          <w:tcPr>
            <w:tcW w:w="1835"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行政确认</w:t>
            </w:r>
            <w:r>
              <w:rPr>
                <w:rFonts w:hint="eastAsia" w:ascii="仿宋" w:hAnsi="仿宋" w:eastAsia="仿宋" w:cs="仿宋"/>
                <w:b/>
                <w:bCs/>
                <w:color w:val="000000" w:themeColor="text1"/>
                <w:sz w:val="24"/>
                <w:szCs w:val="24"/>
                <w:lang w:eastAsia="zh-CN"/>
                <w14:textFill>
                  <w14:solidFill>
                    <w14:schemeClr w14:val="tx1"/>
                  </w14:solidFill>
                </w14:textFill>
              </w:rPr>
              <w:t>（</w:t>
            </w:r>
            <w:r>
              <w:rPr>
                <w:rFonts w:hint="eastAsia" w:ascii="仿宋" w:hAnsi="仿宋" w:eastAsia="仿宋" w:cs="仿宋"/>
                <w:b/>
                <w:bCs/>
                <w:color w:val="000000" w:themeColor="text1"/>
                <w:sz w:val="24"/>
                <w:szCs w:val="24"/>
                <w:lang w:val="en-US" w:eastAsia="zh-CN"/>
                <w14:textFill>
                  <w14:solidFill>
                    <w14:schemeClr w14:val="tx1"/>
                  </w14:solidFill>
                </w14:textFill>
              </w:rPr>
              <w:t>4</w:t>
            </w:r>
            <w:r>
              <w:rPr>
                <w:rFonts w:hint="eastAsia" w:ascii="仿宋" w:hAnsi="仿宋" w:eastAsia="仿宋" w:cs="仿宋"/>
                <w:color w:val="000000" w:themeColor="text1"/>
                <w:sz w:val="24"/>
                <w:szCs w:val="24"/>
                <w:lang w:eastAsia="zh-CN"/>
                <w14:textFill>
                  <w14:solidFill>
                    <w14:schemeClr w14:val="tx1"/>
                  </w14:solidFill>
                </w14:textFill>
              </w:rPr>
              <w:t>）</w:t>
            </w:r>
          </w:p>
        </w:tc>
        <w:tc>
          <w:tcPr>
            <w:tcW w:w="5545"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p>
        </w:tc>
        <w:tc>
          <w:tcPr>
            <w:tcW w:w="68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c>
          <w:tcPr>
            <w:tcW w:w="1835"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instrText xml:space="preserve"> HYPERLINK "http://zkxh.hnzwfw.gov.cn/art/2019/7/15/art_36891_28358370.html" \o "计划生育手术并发症鉴定（县级）" \t "http://zkxh.hnzwfw.gov.cn/hnzw/bmft/index/_blank" </w:instrTex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计划生育手术并发症鉴定（县级）</w: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end"/>
            </w:r>
          </w:p>
        </w:tc>
        <w:tc>
          <w:tcPr>
            <w:tcW w:w="5545" w:type="dxa"/>
            <w:tcBorders>
              <w:top w:val="single" w:color="auto"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【行政法规】《计划生育技术服务管理条例》（国务院令第309号） 第二十九条国家建立计划生育技术服务统计制度和计划生育技术服务事故、计划生育手术并发症和计划生育药具不良反应的鉴定制度和报告制度。 计划生育手术并发症鉴定和管理办法由国务院计划生育行政部门会同国务院卫生行政部门制定。 从事计划生育技术服务的机构发生计划生育技术服务事故、发现计划生育手术并发症和计划生育药具不良反应的，应当在国务院计划生育行政部门规定的时限内同时向所在地人民政府计划生育行政部门和卫生行政部门报告；对计划生育技术服务重大事故、计划生育手术严重的并发症和计划生育药具严重的或者新出现的不良反应，应当同时逐级向上级人民政府计划生育行政部门、卫生行政部门和国务院计划生育行政部门、卫生行政部门报告。 【规范性文件】《关于印发&lt;计划生育手术并发症鉴定管理办法（试行）&gt;的通知》（国家人口计生委人口科技〔2011〕67号） 第十六条并发症鉴定实行县、设区的市、省逐级鉴定制度。省级鉴定为终级鉴定。县级人口计生部门受理并发症鉴定的申请，负责组织并发症鉴定专家组实施鉴定。具备条件的地方，可以交由医学会组织鉴定。具体办法由省级人口计生部门确定</w:t>
            </w:r>
          </w:p>
        </w:tc>
        <w:tc>
          <w:tcPr>
            <w:tcW w:w="68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w:t>
            </w:r>
          </w:p>
        </w:tc>
        <w:tc>
          <w:tcPr>
            <w:tcW w:w="1835"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instrText xml:space="preserve"> HYPERLINK "http://zkxh.hnzwfw.gov.cn/art/2019/6/17/art_36891_1366734.html" \o "承担预防接种工作的医疗卫生机构（接种单位）的确认" \t "http://zkxh.hnzwfw.gov.cn/hnzw/bmft/index/_blank" </w:instrTex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t>承担预防接种工作的医疗卫生机构（接种单位）的确认</w: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end"/>
            </w:r>
          </w:p>
        </w:tc>
        <w:tc>
          <w:tcPr>
            <w:tcW w:w="5545" w:type="dxa"/>
            <w:tcBorders>
              <w:top w:val="single" w:color="auto"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法规：《疫苗流通和预防接种管理条例》（中华人民共和国国务院令第434号）第八条经县级人民政府卫生主管部门依照本条例规定指定的医疗卫生机构，承担预防接种工作。 规范性文件：《预防接种工作规范》（卫疾控发[2005]373号）1.3.1从事预防接种工作的医疗卫生机构，由县级卫生行政部门指定，并明确其责任区域。</w:t>
            </w:r>
          </w:p>
        </w:tc>
        <w:tc>
          <w:tcPr>
            <w:tcW w:w="68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w:t>
            </w:r>
          </w:p>
        </w:tc>
        <w:tc>
          <w:tcPr>
            <w:tcW w:w="1835"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instrText xml:space="preserve"> HYPERLINK "http://zkxh.hnzwfw.gov.cn/art/2019/6/17/art_36891_1365947.html" \o "对婚前医学检查、遗传病诊断和产前诊断结果有异议的医学技术鉴定" \t "http://zkxh.hnzwfw.gov.cn/hnzw/bmft/index/_blank" </w:instrTex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对婚前医学检查、遗传病诊断和产前诊断结果有异议的医学技术鉴定</w: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end"/>
            </w:r>
          </w:p>
        </w:tc>
        <w:tc>
          <w:tcPr>
            <w:tcW w:w="5545" w:type="dxa"/>
            <w:tcBorders>
              <w:top w:val="single" w:color="auto"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【法律】《中华人民共和国母婴保健法》 第二十五条县级以上地方人民政府可以设立医学技术鉴定组织，负责对婚前医学检查、遗传病诊断和产前诊断结果有异议的进行医学技术鉴定。 【行政法规】《中华人民共和国母婴保健法实施办法》（国务院令第308号） 第三十一条县级以上地方人民政府设立的母婴保健医学技术鉴定组织，称为母婴保健医学技术鉴定委员会。 母婴保健医学技术鉴定委员会成员由卫生行政部门提出人选，报同级人民政府聘任。 第三十三条母婴保健医学技术鉴定委员会负责本行政区域内有异议的婚前医学检查、遗传病诊断、产前诊断的结果和有异议的下一级医学技术鉴定结论的医学技术鉴定工作。 第三十四条母婴保健医学技术鉴定分为省、市、县三级鉴定。省级母婴保健医学技术鉴定委员会的鉴定为最终鉴定结论。 第四十五条对婚前医学检查、遗传病诊断、产前诊断的结果有异议的，可以在接到结果之日起15日内向所在地母婴保健医学技术鉴定委员会申请医学技术鉴定。</w:t>
            </w:r>
          </w:p>
        </w:tc>
        <w:tc>
          <w:tcPr>
            <w:tcW w:w="68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4</w:t>
            </w:r>
          </w:p>
        </w:tc>
        <w:tc>
          <w:tcPr>
            <w:tcW w:w="1835"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instrText xml:space="preserve"> HYPERLINK "http://zkxh.hnzwfw.gov.cn/art/2019/7/15/art_36891_28358032.html" \o "对传染病病人尸体或者疑似传染病病人的尸体进行解剖查验的批准" \t "http://zkxh.hnzwfw.gov.cn/hnzw/bmft/index/_blank" </w:instrTex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t>对传染病病人尸体或者疑似传染病病人的尸体进行解剖查验的批准</w: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end"/>
            </w:r>
          </w:p>
        </w:tc>
        <w:tc>
          <w:tcPr>
            <w:tcW w:w="5545" w:type="dxa"/>
            <w:tcBorders>
              <w:top w:val="single" w:color="auto"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【行政法规】《中华人民共和国传染病防治法实施办法》（卫生部令第17号） 第五十六条医疗保健机构、卫生防疫机构经县级以上政府卫生行政部门的批准可以对传染病病人尸体或者疑似传染病病人的尸体进行解剖查验。《传染病病人或疑似传染病病人尸体解剖查验规定》(卫生部令第43号令，2005年9月1日起施行)第五条规定：医疗机构为了查找传染病病因，对在医疗机构死亡的传染病人或疑似传染病病人，经所在地设区的市级卫生行政部门批准，进行尸体解剖查验，并告知死者家属，做好记录。第六条规定：疾病预防控制机构接到有关部门通知，对在医疗机构接到有关部门通知，对在医疗机构外死亡、具有传染病特征的病人尸体应当采取消毒隔离措施：需要查找传染病病因的，经所在地设区的市级卫生行政部门批准，进行尸体解剖查验。</w:t>
            </w:r>
          </w:p>
        </w:tc>
        <w:tc>
          <w:tcPr>
            <w:tcW w:w="68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457"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七</w:t>
            </w:r>
          </w:p>
        </w:tc>
        <w:tc>
          <w:tcPr>
            <w:tcW w:w="1835" w:type="dxa"/>
            <w:tcBorders>
              <w:top w:val="single" w:color="000000" w:sz="4" w:space="0"/>
              <w:left w:val="single" w:color="000000" w:sz="4" w:space="0"/>
              <w:bottom w:val="single" w:color="auto" w:sz="4" w:space="0"/>
              <w:right w:val="single" w:color="000000" w:sz="4" w:space="0"/>
            </w:tcBorders>
            <w:noWrap w:val="0"/>
            <w:vAlign w:val="center"/>
          </w:tcPr>
          <w:p>
            <w:pPr>
              <w:tabs>
                <w:tab w:val="center" w:pos="799"/>
                <w:tab w:val="right" w:pos="1479"/>
              </w:tabs>
              <w:jc w:val="left"/>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行政监督检查（</w:t>
            </w:r>
            <w:r>
              <w:rPr>
                <w:rFonts w:hint="eastAsia" w:ascii="仿宋" w:hAnsi="仿宋" w:eastAsia="仿宋" w:cs="仿宋"/>
                <w:color w:val="000000" w:themeColor="text1"/>
                <w:sz w:val="24"/>
                <w:szCs w:val="24"/>
                <w:lang w:val="en-US" w:eastAsia="zh-CN"/>
                <w14:textFill>
                  <w14:solidFill>
                    <w14:schemeClr w14:val="tx1"/>
                  </w14:solidFill>
                </w14:textFill>
              </w:rPr>
              <w:t>1</w:t>
            </w:r>
            <w:r>
              <w:rPr>
                <w:rFonts w:hint="eastAsia" w:ascii="仿宋" w:hAnsi="仿宋" w:eastAsia="仿宋" w:cs="仿宋"/>
                <w:color w:val="000000" w:themeColor="text1"/>
                <w:sz w:val="24"/>
                <w:szCs w:val="24"/>
                <w:lang w:eastAsia="zh-CN"/>
                <w14:textFill>
                  <w14:solidFill>
                    <w14:schemeClr w14:val="tx1"/>
                  </w14:solidFill>
                </w14:textFill>
              </w:rPr>
              <w:t>）</w:t>
            </w:r>
          </w:p>
        </w:tc>
        <w:tc>
          <w:tcPr>
            <w:tcW w:w="554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c>
          <w:tcPr>
            <w:tcW w:w="68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457"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w:t>
            </w:r>
          </w:p>
        </w:tc>
        <w:tc>
          <w:tcPr>
            <w:tcW w:w="1835"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规范办学行为</w:t>
            </w:r>
          </w:p>
        </w:tc>
        <w:tc>
          <w:tcPr>
            <w:tcW w:w="5545" w:type="dxa"/>
            <w:tcBorders>
              <w:top w:val="single" w:color="000000"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河南省办公厅关于进一步规范中小学办学行为推进素质教育的意见（豫政办[2009]62号）</w:t>
            </w:r>
          </w:p>
        </w:tc>
        <w:tc>
          <w:tcPr>
            <w:tcW w:w="68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基础教育股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457"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b/>
                <w:bCs/>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z w:val="24"/>
                <w:szCs w:val="24"/>
                <w:lang w:eastAsia="zh-CN"/>
                <w14:textFill>
                  <w14:solidFill>
                    <w14:schemeClr w14:val="tx1"/>
                  </w14:solidFill>
                </w14:textFill>
              </w:rPr>
              <w:t>八</w:t>
            </w:r>
          </w:p>
        </w:tc>
        <w:tc>
          <w:tcPr>
            <w:tcW w:w="1835" w:type="dxa"/>
            <w:tcBorders>
              <w:top w:val="single" w:color="000000" w:sz="4" w:space="0"/>
              <w:left w:val="single" w:color="000000" w:sz="4" w:space="0"/>
              <w:bottom w:val="single" w:color="auto" w:sz="4" w:space="0"/>
              <w:right w:val="single" w:color="000000" w:sz="4" w:space="0"/>
            </w:tcBorders>
            <w:noWrap w:val="0"/>
            <w:vAlign w:val="center"/>
          </w:tcPr>
          <w:p>
            <w:pPr>
              <w:tabs>
                <w:tab w:val="center" w:pos="799"/>
                <w:tab w:val="right" w:pos="1479"/>
              </w:tabs>
              <w:jc w:val="left"/>
              <w:rPr>
                <w:rFonts w:hint="eastAsia" w:ascii="仿宋" w:hAnsi="仿宋" w:eastAsia="仿宋" w:cs="仿宋"/>
                <w:b/>
                <w:bCs/>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z w:val="24"/>
                <w:szCs w:val="24"/>
                <w:lang w:eastAsia="zh-CN"/>
                <w14:textFill>
                  <w14:solidFill>
                    <w14:schemeClr w14:val="tx1"/>
                  </w14:solidFill>
                </w14:textFill>
              </w:rPr>
              <w:t>其他职权</w:t>
            </w:r>
          </w:p>
        </w:tc>
        <w:tc>
          <w:tcPr>
            <w:tcW w:w="554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c>
          <w:tcPr>
            <w:tcW w:w="68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457"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eastAsia="zh-CN"/>
                <w14:textFill>
                  <w14:solidFill>
                    <w14:schemeClr w14:val="tx1"/>
                  </w14:solidFill>
                </w14:textFill>
              </w:rPr>
            </w:pPr>
          </w:p>
        </w:tc>
        <w:tc>
          <w:tcPr>
            <w:tcW w:w="1835" w:type="dxa"/>
            <w:tcBorders>
              <w:top w:val="single" w:color="000000" w:sz="4" w:space="0"/>
              <w:left w:val="single" w:color="000000" w:sz="4" w:space="0"/>
              <w:bottom w:val="single" w:color="auto" w:sz="4" w:space="0"/>
              <w:right w:val="single" w:color="000000" w:sz="4" w:space="0"/>
            </w:tcBorders>
            <w:noWrap w:val="0"/>
            <w:vAlign w:val="center"/>
          </w:tcPr>
          <w:p>
            <w:pPr>
              <w:tabs>
                <w:tab w:val="center" w:pos="799"/>
                <w:tab w:val="right" w:pos="1479"/>
              </w:tabs>
              <w:jc w:val="left"/>
              <w:rPr>
                <w:rFonts w:hint="eastAsia" w:ascii="仿宋" w:hAnsi="仿宋" w:eastAsia="仿宋" w:cs="仿宋"/>
                <w:b/>
                <w:bCs/>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z w:val="24"/>
                <w:szCs w:val="24"/>
                <w:lang w:eastAsia="zh-CN"/>
                <w14:textFill>
                  <w14:solidFill>
                    <w14:schemeClr w14:val="tx1"/>
                  </w14:solidFill>
                </w14:textFill>
              </w:rPr>
              <w:tab/>
            </w:r>
            <w:r>
              <w:rPr>
                <w:rFonts w:hint="eastAsia" w:ascii="仿宋" w:hAnsi="仿宋" w:eastAsia="仿宋" w:cs="仿宋"/>
                <w:b/>
                <w:bCs/>
                <w:color w:val="000000" w:themeColor="text1"/>
                <w:sz w:val="24"/>
                <w:szCs w:val="24"/>
                <w:lang w:eastAsia="zh-CN"/>
                <w14:textFill>
                  <w14:solidFill>
                    <w14:schemeClr w14:val="tx1"/>
                  </w14:solidFill>
                </w14:textFill>
              </w:rPr>
              <w:t>（一）</w:t>
            </w:r>
            <w:r>
              <w:rPr>
                <w:rFonts w:hint="eastAsia" w:ascii="仿宋" w:hAnsi="仿宋" w:eastAsia="仿宋" w:cs="仿宋"/>
                <w:b/>
                <w:bCs/>
                <w:color w:val="000000" w:themeColor="text1"/>
                <w:sz w:val="24"/>
                <w:szCs w:val="24"/>
                <w14:textFill>
                  <w14:solidFill>
                    <w14:schemeClr w14:val="tx1"/>
                  </w14:solidFill>
                </w14:textFill>
              </w:rPr>
              <w:t>行政奖励</w:t>
            </w:r>
            <w:r>
              <w:rPr>
                <w:rFonts w:hint="eastAsia" w:ascii="仿宋" w:hAnsi="仿宋" w:eastAsia="仿宋" w:cs="仿宋"/>
                <w:b/>
                <w:bCs/>
                <w:color w:val="000000" w:themeColor="text1"/>
                <w:sz w:val="24"/>
                <w:szCs w:val="24"/>
                <w:lang w:eastAsia="zh-CN"/>
                <w14:textFill>
                  <w14:solidFill>
                    <w14:schemeClr w14:val="tx1"/>
                  </w14:solidFill>
                </w14:textFill>
              </w:rPr>
              <w:tab/>
            </w:r>
            <w:r>
              <w:rPr>
                <w:rFonts w:hint="eastAsia" w:ascii="仿宋" w:hAnsi="仿宋" w:eastAsia="仿宋" w:cs="仿宋"/>
                <w:b/>
                <w:bCs/>
                <w:color w:val="000000" w:themeColor="text1"/>
                <w:sz w:val="24"/>
                <w:szCs w:val="24"/>
                <w:lang w:eastAsia="zh-CN"/>
                <w14:textFill>
                  <w14:solidFill>
                    <w14:schemeClr w14:val="tx1"/>
                  </w14:solidFill>
                </w14:textFill>
              </w:rPr>
              <w:t>（</w:t>
            </w:r>
            <w:r>
              <w:rPr>
                <w:rFonts w:hint="eastAsia" w:ascii="仿宋" w:hAnsi="仿宋" w:eastAsia="仿宋" w:cs="仿宋"/>
                <w:b/>
                <w:bCs/>
                <w:color w:val="000000" w:themeColor="text1"/>
                <w:sz w:val="24"/>
                <w:szCs w:val="24"/>
                <w:lang w:val="en-US" w:eastAsia="zh-CN"/>
                <w14:textFill>
                  <w14:solidFill>
                    <w14:schemeClr w14:val="tx1"/>
                  </w14:solidFill>
                </w14:textFill>
              </w:rPr>
              <w:t>16</w:t>
            </w:r>
            <w:r>
              <w:rPr>
                <w:rFonts w:hint="eastAsia" w:ascii="仿宋" w:hAnsi="仿宋" w:eastAsia="仿宋" w:cs="仿宋"/>
                <w:b/>
                <w:bCs/>
                <w:color w:val="000000" w:themeColor="text1"/>
                <w:sz w:val="24"/>
                <w:szCs w:val="24"/>
                <w:lang w:eastAsia="zh-CN"/>
                <w14:textFill>
                  <w14:solidFill>
                    <w14:schemeClr w14:val="tx1"/>
                  </w14:solidFill>
                </w14:textFill>
              </w:rPr>
              <w:t>）</w:t>
            </w:r>
          </w:p>
        </w:tc>
        <w:tc>
          <w:tcPr>
            <w:tcW w:w="554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c>
          <w:tcPr>
            <w:tcW w:w="68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c>
          <w:tcPr>
            <w:tcW w:w="1835"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instrText xml:space="preserve"> HYPERLINK "http://zkxh.hnzwfw.gov.cn/art/2019/6/18/art_36891_1379655.html" \o "职业病防治奖励" \t "http://zkxh.hnzwfw.gov.cn/hnzw/bmft/index/_blank" </w:instrTex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职业病防治奖励</w: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end"/>
            </w:r>
          </w:p>
        </w:tc>
        <w:tc>
          <w:tcPr>
            <w:tcW w:w="5545"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《中华人民共和国职业病防治法》（2001年10月27日主席令第六十号，2018年12月29日予以修改）第十三条第二款对防治职业病成绩显著的单位和个人，给予奖励</w:t>
            </w:r>
          </w:p>
        </w:tc>
        <w:tc>
          <w:tcPr>
            <w:tcW w:w="68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w:t>
            </w:r>
          </w:p>
        </w:tc>
        <w:tc>
          <w:tcPr>
            <w:tcW w:w="1835"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instrText xml:space="preserve"> HYPERLINK "http://zkxh.hnzwfw.gov.cn/art/2019/6/15/art_36891_1360605.html" \o "无偿献血奖励、先进表彰" \t "http://zkxh.hnzwfw.gov.cn/hnzw/bmft/index/_blank" </w:instrTex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t>无偿献血奖励、先进表彰</w: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end"/>
            </w:r>
          </w:p>
        </w:tc>
        <w:tc>
          <w:tcPr>
            <w:tcW w:w="5545"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1、《中华人民共和国献血法》第十七条各级人民政府和红十字会对积极参加献血和在献血工作中做出显著成绩的单位和个人，给予奖励。 2、《全国无偿献血表彰奖励办法》第二条无偿献血表彰奖励是指对无偿献血事业作出显著成绩和贡献的个人、集体、省（市）和部队，依据本规定给予的奖励。 第四条国家级表彰活动每两年举行一次 …………</w:t>
            </w:r>
          </w:p>
        </w:tc>
        <w:tc>
          <w:tcPr>
            <w:tcW w:w="68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9" w:hRule="atLeast"/>
        </w:trPr>
        <w:tc>
          <w:tcPr>
            <w:tcW w:w="457"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w:t>
            </w:r>
          </w:p>
        </w:tc>
        <w:tc>
          <w:tcPr>
            <w:tcW w:w="1835"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instrText xml:space="preserve"> HYPERLINK "http://zkxh.hnzwfw.gov.cn/art/2019/6/17/art_36891_1377653.html" \o "对在食盐加碘消除碘缺乏危害工作中做出显著成绩的单位和个人给予奖励" \t "http://zkxh.hnzwfw.gov.cn/hnzw/bmft/index/_blank" </w:instrTex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对在食盐加碘消除碘缺乏危害工作中做出显著成绩的单位和个人给予</w:t>
            </w:r>
            <w:r>
              <w:rPr>
                <w:rStyle w:val="6"/>
                <w:rFonts w:hint="eastAsia" w:ascii="仿宋" w:hAnsi="仿宋" w:eastAsia="仿宋" w:cs="仿宋"/>
                <w:i w:val="0"/>
                <w:caps w:val="0"/>
                <w:color w:val="000000" w:themeColor="text1"/>
                <w:spacing w:val="0"/>
                <w:sz w:val="24"/>
                <w:szCs w:val="24"/>
                <w:u w:val="none"/>
                <w:shd w:val="clear" w:fill="FFFFFF"/>
                <w:lang w:eastAsia="zh-CN"/>
                <w14:textFill>
                  <w14:solidFill>
                    <w14:schemeClr w14:val="tx1"/>
                  </w14:solidFill>
                </w14:textFill>
              </w:rPr>
              <w:t>奖励</w: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end"/>
            </w:r>
          </w:p>
        </w:tc>
        <w:tc>
          <w:tcPr>
            <w:tcW w:w="5545"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【行政法规】《食盐加碘消除碘缺乏危害管理条例》（国务院令第163号） 第四条国务院卫生行政部门负责碘缺乏危害防治和碘盐的卫生监督管理工作;国务院授权的盐业主管机构（以下简称国务院盐业主管机构）负责全国碘盐加工、市场供应的监督管理工作。 第六条第二款对在食盐加碘消除碘缺乏危害工作中做出显著成绩的单位和个人，给予奖励。 第二十一条县级以上地方各级政府卫生行政部门负责对本地区食盐加碘消除碘缺乏危害的卫生监督和碘盐的卫生监督以及防治效果评估；县级以上地方各级人民政府盐业主管机构负责对本地区碘盐加工、市场供应的监督管理。</w:t>
            </w:r>
          </w:p>
        </w:tc>
        <w:tc>
          <w:tcPr>
            <w:tcW w:w="68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4</w:t>
            </w:r>
          </w:p>
        </w:tc>
        <w:tc>
          <w:tcPr>
            <w:tcW w:w="1835"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instrText xml:space="preserve"> HYPERLINK "http://zkxh.hnzwfw.gov.cn/art/2019/6/17/art_36891_1365009.html" \o "对在预防接种工作中作出显著成绩和贡献的接种单位及其工作人员给予奖励" \t "http://zkxh.hnzwfw.gov.cn/hnzw/bmft/index/_blank" </w:instrTex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t>对在预防接种工作中作出显著成绩和贡献的接种单位及其工作人员给</w:t>
            </w:r>
            <w:r>
              <w:rPr>
                <w:rStyle w:val="6"/>
                <w:rFonts w:hint="eastAsia" w:ascii="仿宋" w:hAnsi="仿宋" w:eastAsia="仿宋" w:cs="仿宋"/>
                <w:i w:val="0"/>
                <w:caps w:val="0"/>
                <w:color w:val="000000" w:themeColor="text1"/>
                <w:spacing w:val="0"/>
                <w:sz w:val="24"/>
                <w:szCs w:val="24"/>
                <w:u w:val="none"/>
                <w:shd w:val="clear" w:fill="F6F6F6"/>
                <w:lang w:eastAsia="zh-CN"/>
                <w14:textFill>
                  <w14:solidFill>
                    <w14:schemeClr w14:val="tx1"/>
                  </w14:solidFill>
                </w14:textFill>
              </w:rPr>
              <w:t>予</w: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end"/>
            </w:r>
            <w:r>
              <w:rPr>
                <w:rFonts w:hint="eastAsia" w:ascii="仿宋" w:hAnsi="仿宋" w:eastAsia="仿宋" w:cs="仿宋"/>
                <w:i w:val="0"/>
                <w:caps w:val="0"/>
                <w:color w:val="000000" w:themeColor="text1"/>
                <w:spacing w:val="0"/>
                <w:sz w:val="24"/>
                <w:szCs w:val="24"/>
                <w:u w:val="none"/>
                <w:shd w:val="clear" w:fill="F6F6F6"/>
                <w:lang w:eastAsia="zh-CN"/>
                <w14:textFill>
                  <w14:solidFill>
                    <w14:schemeClr w14:val="tx1"/>
                  </w14:solidFill>
                </w14:textFill>
              </w:rPr>
              <w:t>奖励</w:t>
            </w:r>
          </w:p>
        </w:tc>
        <w:tc>
          <w:tcPr>
            <w:tcW w:w="5545"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《疫苗流通和预防接种管理条例》第八条第2款规定：县级以上人民政府应当对承担预防接种工作并作出显著成绩和贡献的接种单位及其工作人员给予奖励</w:t>
            </w:r>
          </w:p>
        </w:tc>
        <w:tc>
          <w:tcPr>
            <w:tcW w:w="68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5</w:t>
            </w:r>
          </w:p>
        </w:tc>
        <w:tc>
          <w:tcPr>
            <w:tcW w:w="1835"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instrText xml:space="preserve"> HYPERLINK "http://zkxh.hnzwfw.gov.cn/art/2019/6/17/art_36891_1373037.html" \o "对在血吸虫病防治工作中做出显著成绩的单位和个人给予表彰或者奖励" \t "http://zkxh.hnzwfw.gov.cn/hnzw/bmft/index/_blank" </w:instrTex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对在血吸虫病防治工作中做出显著成绩的单位和个人给予表彰或者</w:t>
            </w:r>
            <w:r>
              <w:rPr>
                <w:rStyle w:val="6"/>
                <w:rFonts w:hint="eastAsia" w:ascii="仿宋" w:hAnsi="仿宋" w:eastAsia="仿宋" w:cs="仿宋"/>
                <w:i w:val="0"/>
                <w:caps w:val="0"/>
                <w:color w:val="000000" w:themeColor="text1"/>
                <w:spacing w:val="0"/>
                <w:sz w:val="24"/>
                <w:szCs w:val="24"/>
                <w:u w:val="none"/>
                <w:shd w:val="clear" w:fill="FFFFFF"/>
                <w:lang w:eastAsia="zh-CN"/>
                <w14:textFill>
                  <w14:solidFill>
                    <w14:schemeClr w14:val="tx1"/>
                  </w14:solidFill>
                </w14:textFill>
              </w:rPr>
              <w:t>奖励</w:t>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w: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end"/>
            </w:r>
          </w:p>
        </w:tc>
        <w:tc>
          <w:tcPr>
            <w:tcW w:w="5545"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【行政法规】《血吸虫病防治条例》（国务院令第463号） 第三条国务院卫生主管部门会同国务院有关部门制定全国血吸虫病防治规划并组织实施。国务院卫生、农业、水利、林业主管部门依照本条例规定的职责和全国血吸虫病防治规划，制定血吸虫病防治专项工作计划并组织实施。 有血吸虫病防治任务的地区（以下称血吸虫病防治地区）县级以上地方人民政府卫生、农业或者兽医、水利、林业主管部门依照本条例规定的职责，负责本行政区域内的血吸虫病防治及其监督管理工作。 第七条国务院有关部门、血吸虫病防治地区县级以上地方人民政府及其有关部门对在血吸虫病防治工作中做出显著成绩的单位和个人，给予表彰或者奖励。</w:t>
            </w:r>
          </w:p>
        </w:tc>
        <w:tc>
          <w:tcPr>
            <w:tcW w:w="68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6</w:t>
            </w:r>
          </w:p>
        </w:tc>
        <w:tc>
          <w:tcPr>
            <w:tcW w:w="1835"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instrText xml:space="preserve"> HYPERLINK "http://zkxh.hnzwfw.gov.cn/art/2019/6/17/art_36891_1377076.html" \o "对在艾滋病防治工作中做出显著成绩和贡献的单位和个人给予表彰和奖励" \t "http://zkxh.hnzwfw.gov.cn/hnzw/bmft/index/_blank" </w:instrTex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t>对在艾滋病防治工作中做出显著成绩和贡献的单位和个人给予表彰和</w:t>
            </w:r>
            <w:r>
              <w:rPr>
                <w:rStyle w:val="6"/>
                <w:rFonts w:hint="eastAsia" w:ascii="仿宋" w:hAnsi="仿宋" w:eastAsia="仿宋" w:cs="仿宋"/>
                <w:i w:val="0"/>
                <w:caps w:val="0"/>
                <w:color w:val="000000" w:themeColor="text1"/>
                <w:spacing w:val="0"/>
                <w:sz w:val="24"/>
                <w:szCs w:val="24"/>
                <w:u w:val="none"/>
                <w:shd w:val="clear" w:fill="F6F6F6"/>
                <w:lang w:eastAsia="zh-CN"/>
                <w14:textFill>
                  <w14:solidFill>
                    <w14:schemeClr w14:val="tx1"/>
                  </w14:solidFill>
                </w14:textFill>
              </w:rPr>
              <w:t>奖</w: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end"/>
            </w:r>
            <w:r>
              <w:rPr>
                <w:rFonts w:hint="eastAsia" w:ascii="仿宋" w:hAnsi="仿宋" w:eastAsia="仿宋" w:cs="仿宋"/>
                <w:i w:val="0"/>
                <w:caps w:val="0"/>
                <w:color w:val="000000" w:themeColor="text1"/>
                <w:spacing w:val="0"/>
                <w:sz w:val="24"/>
                <w:szCs w:val="24"/>
                <w:u w:val="none"/>
                <w:shd w:val="clear" w:fill="F6F6F6"/>
                <w:lang w:eastAsia="zh-CN"/>
                <w14:textFill>
                  <w14:solidFill>
                    <w14:schemeClr w14:val="tx1"/>
                  </w14:solidFill>
                </w14:textFill>
              </w:rPr>
              <w:t>励</w:t>
            </w:r>
          </w:p>
        </w:tc>
        <w:tc>
          <w:tcPr>
            <w:tcW w:w="5545"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【行政法规】《艾滋病防治条例》（国务院令第457号） 第五条国务院卫生主管部门会同国务院其他有关部门制定国家艾滋病防治规划；县级以上地方人民政府依照本条例规定和国家艾滋病防治规划，制定并组织实施本行政区域的艾滋病防治行动计划。 第九条县级以上人民政府和政府有关部门对在艾滋病防治工作中做出显著成绩和贡献的单位和个人，给予表彰和奖励</w:t>
            </w:r>
          </w:p>
        </w:tc>
        <w:tc>
          <w:tcPr>
            <w:tcW w:w="68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7</w:t>
            </w:r>
          </w:p>
        </w:tc>
        <w:tc>
          <w:tcPr>
            <w:tcW w:w="1835"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instrText xml:space="preserve"> HYPERLINK "http://zkxh.hnzwfw.gov.cn/art/2019/6/17/art_36891_1372973.html" \o "对在继承和发展中医药事业、中医医疗工作等中做出显著贡献的单位和个人奖励表彰（增加）" \t "http://zkxh.hnzwfw.gov.cn/hnzw/bmft/index/_blank" </w:instrTex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对在继承和发展中医药事业、中医医疗工作等中做出显著贡献的单位</w: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end"/>
            </w:r>
            <w:r>
              <w:rPr>
                <w:rFonts w:hint="eastAsia" w:ascii="仿宋" w:hAnsi="仿宋" w:eastAsia="仿宋" w:cs="仿宋"/>
                <w:i w:val="0"/>
                <w:caps w:val="0"/>
                <w:color w:val="000000" w:themeColor="text1"/>
                <w:spacing w:val="0"/>
                <w:sz w:val="24"/>
                <w:szCs w:val="24"/>
                <w:u w:val="none"/>
                <w:shd w:val="clear" w:fill="FFFFFF"/>
                <w:lang w:eastAsia="zh-CN"/>
                <w14:textFill>
                  <w14:solidFill>
                    <w14:schemeClr w14:val="tx1"/>
                  </w14:solidFill>
                </w14:textFill>
              </w:rPr>
              <w:t>和个人表彰奖励</w:t>
            </w:r>
          </w:p>
        </w:tc>
        <w:tc>
          <w:tcPr>
            <w:tcW w:w="5545"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法规：《中华人民共和国中医药条例》第七条对在继承和发展中医药事业中做出显著贡献和在边远地区从事中医药工作做出突出成绩的单位和个人，县级以上各级人民政府应当给予奖励。 《中华人民共和国中医药法》第十条对在中医药事业中做出突出贡献的组织和个人，按国家有关规定给予表彰、奖励。</w:t>
            </w:r>
          </w:p>
        </w:tc>
        <w:tc>
          <w:tcPr>
            <w:tcW w:w="68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8</w:t>
            </w:r>
          </w:p>
        </w:tc>
        <w:tc>
          <w:tcPr>
            <w:tcW w:w="1835"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instrText xml:space="preserve"> HYPERLINK "http://zkxh.hnzwfw.gov.cn/art/2019/6/17/art_36891_1375512.html" \o "对在精神卫生工作中作出突出贡献的组织、个人给予表彰、奖励" \t "http://zkxh.hnzwfw.gov.cn/hnzw/bmft/index/_blank" </w:instrTex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t>对在精神卫生工作中作出突出贡献的组织、个人给予表彰、奖励</w: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end"/>
            </w:r>
          </w:p>
        </w:tc>
        <w:tc>
          <w:tcPr>
            <w:tcW w:w="5545"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【法律】《中华人民共和国精神卫生法》 第八条第一款国务院卫生行政部门主管全国的精神卫生工作。县级以上地方人民政府卫生行政部门主管本行政区域的精神卫生工作。 第十二条第二款对在精神卫生工作中作出突出贡献的组织、个人，按照国家有关规定给予表彰、奖励。</w:t>
            </w:r>
          </w:p>
        </w:tc>
        <w:tc>
          <w:tcPr>
            <w:tcW w:w="68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9</w:t>
            </w:r>
          </w:p>
        </w:tc>
        <w:tc>
          <w:tcPr>
            <w:tcW w:w="1835"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instrText xml:space="preserve"> HYPERLINK "http://zkxh.hnzwfw.gov.cn/art/2019/6/16/art_36891_1361258.html" \o "对在突发事件应急处理、突发公共卫生事件与传染病疫情监测信息报告管理工作中做出贡献的人员给予表彰和奖励" \t "http://zkxh.hnzwfw.gov.cn/hnzw/bmft/index/_blank" </w:instrTex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对在突发事件应急处理、突发公共卫生事件与传染病疫情监测信息报</w:t>
            </w:r>
            <w:r>
              <w:rPr>
                <w:rStyle w:val="6"/>
                <w:rFonts w:hint="eastAsia" w:ascii="仿宋" w:hAnsi="仿宋" w:eastAsia="仿宋" w:cs="仿宋"/>
                <w:i w:val="0"/>
                <w:caps w:val="0"/>
                <w:color w:val="000000" w:themeColor="text1"/>
                <w:spacing w:val="0"/>
                <w:sz w:val="24"/>
                <w:szCs w:val="24"/>
                <w:u w:val="none"/>
                <w:shd w:val="clear" w:fill="FFFFFF"/>
                <w:lang w:eastAsia="zh-CN"/>
                <w14:textFill>
                  <w14:solidFill>
                    <w14:schemeClr w14:val="tx1"/>
                  </w14:solidFill>
                </w14:textFill>
              </w:rPr>
              <w:t>告管理中做出贡献的人员给予表彰和奖励</w:t>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w: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end"/>
            </w:r>
          </w:p>
        </w:tc>
        <w:tc>
          <w:tcPr>
            <w:tcW w:w="5545"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【规章】《突发公共卫生事件与传染病疫情监测信息报告管理办法》（卫生部令第37号） 第六条县级以上各级人民政府及其卫生行政部门，应当对在突发公共卫生事件与传染病疫情监测信息报告管理工作中做出贡献的人员，给予表彰和奖励。 第九条县级以上各级人民政府及其卫生行政主管部门，应当对参加突发事件应急处理的医疗卫生人员，给予适当补助和保健津贴；对参加突发事件应急处理作出贡献的人员，给予表彰和奖励；对因参与应急处理工作致病、致残、死亡的人员，按照国家有关规定，给予相应的补助和抚恤</w:t>
            </w:r>
          </w:p>
        </w:tc>
        <w:tc>
          <w:tcPr>
            <w:tcW w:w="68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10</w:t>
            </w:r>
          </w:p>
        </w:tc>
        <w:tc>
          <w:tcPr>
            <w:tcW w:w="1835"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instrText xml:space="preserve"> HYPERLINK "http://zkxh.hnzwfw.gov.cn/art/2019/6/17/art_36891_1373150.html" \o "对在母婴保健工作中做出显著成绩和在母婴保健科学研究中取得显著成果的组织和个人的奖励" \t "http://zkxh.hnzwfw.gov.cn/hnzw/bmft/index/_blank" </w:instrTex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t>对在母婴保健工作中做出显著成绩和在母婴保健科学研究中取得显著</w:t>
            </w:r>
            <w:r>
              <w:rPr>
                <w:rStyle w:val="6"/>
                <w:rFonts w:hint="eastAsia" w:ascii="仿宋" w:hAnsi="仿宋" w:eastAsia="仿宋" w:cs="仿宋"/>
                <w:i w:val="0"/>
                <w:caps w:val="0"/>
                <w:color w:val="000000" w:themeColor="text1"/>
                <w:spacing w:val="0"/>
                <w:sz w:val="24"/>
                <w:szCs w:val="24"/>
                <w:u w:val="none"/>
                <w:shd w:val="clear" w:fill="F6F6F6"/>
                <w:lang w:eastAsia="zh-CN"/>
                <w14:textFill>
                  <w14:solidFill>
                    <w14:schemeClr w14:val="tx1"/>
                  </w14:solidFill>
                </w14:textFill>
              </w:rPr>
              <w:t>成果的组织和个人的奖励</w:t>
            </w:r>
            <w:r>
              <w:rPr>
                <w:rStyle w:val="6"/>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t>...</w: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end"/>
            </w:r>
          </w:p>
        </w:tc>
        <w:tc>
          <w:tcPr>
            <w:tcW w:w="554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【法律】《中华人民共和国母婴保健法》 第六条对在母婴保健工作中做出显著成绩和在母婴保健科学研究中取得显著成果的组织和个人，应当给予奖励。</w:t>
            </w:r>
          </w:p>
        </w:tc>
        <w:tc>
          <w:tcPr>
            <w:tcW w:w="68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11</w:t>
            </w:r>
          </w:p>
        </w:tc>
        <w:tc>
          <w:tcPr>
            <w:tcW w:w="1835"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instrText xml:space="preserve"> HYPERLINK "http://zkxh.hnzwfw.gov.cn/art/2019/7/15/art_36891_28359030.html" \o "对在学校卫生工作中成绩显著的单位或者个人的表彰奖励" \t "http://zkxh.hnzwfw.gov.cn/hnzw/bmft/index/_blank" </w:instrTex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对在学校卫生工作中成绩显著的单位或者个人的表彰奖励</w: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end"/>
            </w:r>
          </w:p>
        </w:tc>
        <w:tc>
          <w:tcPr>
            <w:tcW w:w="5545"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【行政法规】《学校卫生工作条例》（国务院批准，国家教育委员会令第10号、卫生部令第1号） 第三十一条对在学校卫生工作中成绩显著的单位或者个人，各级教育、卫生行政部门和学校应当给予表彰、奖励。</w:t>
            </w:r>
          </w:p>
        </w:tc>
        <w:tc>
          <w:tcPr>
            <w:tcW w:w="68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12</w:t>
            </w:r>
          </w:p>
        </w:tc>
        <w:tc>
          <w:tcPr>
            <w:tcW w:w="1835"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instrText xml:space="preserve"> HYPERLINK "http://zkxh.hnzwfw.gov.cn/art/2019/6/17/art_36891_1376315.html" \o "对在传染病防治工作中做出显著成绩和贡献的单位和个人给予表彰和奖励" \t "http://zkxh.hnzwfw.gov.cn/hnzw/bmft/index/_blank" </w:instrTex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t>对在传染病防治工作中做出显著成绩和贡献的单位和个人给予表彰和</w:t>
            </w:r>
            <w:r>
              <w:rPr>
                <w:rStyle w:val="6"/>
                <w:rFonts w:hint="eastAsia" w:ascii="仿宋" w:hAnsi="仿宋" w:eastAsia="仿宋" w:cs="仿宋"/>
                <w:i w:val="0"/>
                <w:caps w:val="0"/>
                <w:color w:val="000000" w:themeColor="text1"/>
                <w:spacing w:val="0"/>
                <w:sz w:val="24"/>
                <w:szCs w:val="24"/>
                <w:u w:val="none"/>
                <w:shd w:val="clear" w:fill="F6F6F6"/>
                <w:lang w:eastAsia="zh-CN"/>
                <w14:textFill>
                  <w14:solidFill>
                    <w14:schemeClr w14:val="tx1"/>
                  </w14:solidFill>
                </w14:textFill>
              </w:rPr>
              <w:t>奖</w: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end"/>
            </w:r>
            <w:r>
              <w:rPr>
                <w:rFonts w:hint="eastAsia" w:ascii="仿宋" w:hAnsi="仿宋" w:eastAsia="仿宋" w:cs="仿宋"/>
                <w:i w:val="0"/>
                <w:caps w:val="0"/>
                <w:color w:val="000000" w:themeColor="text1"/>
                <w:spacing w:val="0"/>
                <w:sz w:val="24"/>
                <w:szCs w:val="24"/>
                <w:u w:val="none"/>
                <w:shd w:val="clear" w:fill="F6F6F6"/>
                <w:lang w:eastAsia="zh-CN"/>
                <w14:textFill>
                  <w14:solidFill>
                    <w14:schemeClr w14:val="tx1"/>
                  </w14:solidFill>
                </w14:textFill>
              </w:rPr>
              <w:t>励</w:t>
            </w:r>
          </w:p>
        </w:tc>
        <w:tc>
          <w:tcPr>
            <w:tcW w:w="5545"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【法律】《中华人民共和国传染病防治法》 第六条第一款国务院卫生行政部门主管全国传染病防治及其监督管理工作。县级以上地方人民政府卫生行政部门负责本行政区域内的传染病防治及其监督管理工作。 第十一条对在传染病防治工作中做出显著成绩和贡献的单位和个人，给予表彰和奖励</w:t>
            </w:r>
          </w:p>
        </w:tc>
        <w:tc>
          <w:tcPr>
            <w:tcW w:w="68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13</w:t>
            </w:r>
          </w:p>
        </w:tc>
        <w:tc>
          <w:tcPr>
            <w:tcW w:w="1835"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instrText xml:space="preserve"> HYPERLINK "http://zkxh.hnzwfw.gov.cn/art/2019/6/17/art_36891_1365115.html" \o "对医师的表彰奖励" \t "http://zkxh.hnzwfw.gov.cn/hnzw/bmft/index/_blank" </w:instrTex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对医师的表彰奖励</w: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end"/>
            </w:r>
          </w:p>
        </w:tc>
        <w:tc>
          <w:tcPr>
            <w:tcW w:w="5545"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法律】《中华人民共和国执业医师法》 第三十三条医师有下列情形之一的，县级以上人民政府卫生行政部门应当给予表彰或者奖励： （一）在执业活动中，医德高尚，事迹突出的； （二）对医学专业技术有重大突破，作出显著贡献的； （三）遇有自然灾害、传染病流行、突发重大伤亡事故及其他严重威胁人民生命健康的紧急情况时，救死扶伤、抢救诊疗表现突出的； （四）长期在边远贫困地区、少数民族地区条件艰苦的基层单位努力工作的； （五）国务院卫生行政部门规定应当予以表彰或者奖励的其他情形的。</w:t>
            </w:r>
          </w:p>
        </w:tc>
        <w:tc>
          <w:tcPr>
            <w:tcW w:w="68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14</w:t>
            </w:r>
          </w:p>
        </w:tc>
        <w:tc>
          <w:tcPr>
            <w:tcW w:w="1835"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instrText xml:space="preserve"> HYPERLINK "http://zkxh.hnzwfw.gov.cn/art/2019/6/15/art_36891_1358046.html" \o "对做出突出贡献护士的表彰奖励" \t "http://zkxh.hnzwfw.gov.cn/hnzw/bmft/index/_blank" </w:instrTex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t>对做出突出贡献护士的表彰奖励</w: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end"/>
            </w:r>
          </w:p>
        </w:tc>
        <w:tc>
          <w:tcPr>
            <w:tcW w:w="5545"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【行政法规】《护士条例》（国务院令第517号） 第五条国务院卫生主管部门负责全国的护士监督管理工作。 县级以上地方人民政府卫生主管部门负责本行政区域的护士监督管理工作。 第六条第二款县级以上地方人民政府及其有关部门对本行政区域内做出突出贡献的护士，按照省、自治区、直辖市人民政府的有关规定给予表彰、奖励</w:t>
            </w:r>
          </w:p>
        </w:tc>
        <w:tc>
          <w:tcPr>
            <w:tcW w:w="68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15</w:t>
            </w:r>
          </w:p>
        </w:tc>
        <w:tc>
          <w:tcPr>
            <w:tcW w:w="1835"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instrText xml:space="preserve"> HYPERLINK "http://zkxh.hnzwfw.gov.cn/art/2019/6/17/art_36891_1377428.html" \o "中医药工作奖励" \t "http://zkxh.hnzwfw.gov.cn/hnzw/bmft/index/_blank" </w:instrTex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中医药工作奖励</w: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end"/>
            </w:r>
          </w:p>
        </w:tc>
        <w:tc>
          <w:tcPr>
            <w:tcW w:w="5545"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法规：《中华人民共和国中医药条例》第七条：对在继承和发展中医药事业中做出显著贡献和在边远地区从事中医药工作做出突出成绩的单位和个人，县级以上各级人民政府应当给予奖励</w:t>
            </w:r>
          </w:p>
        </w:tc>
        <w:tc>
          <w:tcPr>
            <w:tcW w:w="68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16</w:t>
            </w:r>
          </w:p>
        </w:tc>
        <w:tc>
          <w:tcPr>
            <w:tcW w:w="1835"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instrText xml:space="preserve"> HYPERLINK "http://zkxh.hnzwfw.gov.cn/art/2019/6/15/art_36891_1358379.html" \o "\“两非\”案件举报奖励" \t "http://zkxh.hnzwfw.gov.cn/hnzw/bmft/index/_blank" </w:instrTex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t>两非”案件举报奖励</w: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end"/>
            </w:r>
          </w:p>
        </w:tc>
        <w:tc>
          <w:tcPr>
            <w:tcW w:w="5545"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1.《中华人民共和国人口与计划生育法》第八条国家对在人口与计划生育工作中作出显著成绩的组织和个人，给予奖励。</w:t>
            </w:r>
          </w:p>
        </w:tc>
        <w:tc>
          <w:tcPr>
            <w:tcW w:w="68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c>
          <w:tcPr>
            <w:tcW w:w="1835" w:type="dxa"/>
            <w:tcBorders>
              <w:top w:val="single" w:color="auto" w:sz="4" w:space="0"/>
              <w:left w:val="single" w:color="000000" w:sz="4" w:space="0"/>
              <w:bottom w:val="single" w:color="auto" w:sz="4" w:space="0"/>
              <w:right w:val="single" w:color="000000" w:sz="4" w:space="0"/>
            </w:tcBorders>
            <w:noWrap w:val="0"/>
            <w:vAlign w:val="center"/>
          </w:tcPr>
          <w:p>
            <w:pPr>
              <w:numPr>
                <w:ilvl w:val="0"/>
                <w:numId w:val="0"/>
              </w:numPr>
              <w:ind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（二）</w:t>
            </w:r>
            <w:r>
              <w:rPr>
                <w:rFonts w:hint="eastAsia" w:ascii="仿宋" w:hAnsi="仿宋" w:eastAsia="仿宋" w:cs="仿宋"/>
                <w:color w:val="000000" w:themeColor="text1"/>
                <w:sz w:val="24"/>
                <w:szCs w:val="24"/>
                <w14:textFill>
                  <w14:solidFill>
                    <w14:schemeClr w14:val="tx1"/>
                  </w14:solidFill>
                </w14:textFill>
              </w:rPr>
              <w:t>年检</w:t>
            </w:r>
            <w:r>
              <w:rPr>
                <w:rFonts w:hint="eastAsia" w:ascii="仿宋" w:hAnsi="仿宋" w:eastAsia="仿宋" w:cs="仿宋"/>
                <w:color w:val="000000" w:themeColor="text1"/>
                <w:sz w:val="24"/>
                <w:szCs w:val="24"/>
                <w:lang w:eastAsia="zh-CN"/>
                <w14:textFill>
                  <w14:solidFill>
                    <w14:schemeClr w14:val="tx1"/>
                  </w14:solidFill>
                </w14:textFill>
              </w:rPr>
              <w:t>（）</w:t>
            </w:r>
          </w:p>
          <w:p>
            <w:pPr>
              <w:jc w:val="center"/>
              <w:rPr>
                <w:rFonts w:hint="eastAsia" w:ascii="仿宋" w:hAnsi="仿宋" w:eastAsia="仿宋" w:cs="仿宋"/>
                <w:color w:val="000000" w:themeColor="text1"/>
                <w:sz w:val="24"/>
                <w:szCs w:val="24"/>
                <w14:textFill>
                  <w14:solidFill>
                    <w14:schemeClr w14:val="tx1"/>
                  </w14:solidFill>
                </w14:textFill>
              </w:rPr>
            </w:pPr>
          </w:p>
        </w:tc>
        <w:tc>
          <w:tcPr>
            <w:tcW w:w="5545"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p>
        </w:tc>
        <w:tc>
          <w:tcPr>
            <w:tcW w:w="68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c>
          <w:tcPr>
            <w:tcW w:w="1835"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p>
        </w:tc>
        <w:tc>
          <w:tcPr>
            <w:tcW w:w="5545" w:type="dxa"/>
            <w:tcBorders>
              <w:top w:val="single" w:color="auto"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color w:val="000000" w:themeColor="text1"/>
                <w:sz w:val="24"/>
                <w:szCs w:val="24"/>
                <w14:textFill>
                  <w14:solidFill>
                    <w14:schemeClr w14:val="tx1"/>
                  </w14:solidFill>
                </w14:textFill>
              </w:rPr>
            </w:pPr>
          </w:p>
        </w:tc>
        <w:tc>
          <w:tcPr>
            <w:tcW w:w="68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c>
          <w:tcPr>
            <w:tcW w:w="1835" w:type="dxa"/>
            <w:tcBorders>
              <w:top w:val="single" w:color="auto" w:sz="4" w:space="0"/>
              <w:left w:val="single" w:color="000000" w:sz="4" w:space="0"/>
              <w:bottom w:val="single" w:color="auto" w:sz="4" w:space="0"/>
              <w:right w:val="single" w:color="000000" w:sz="4" w:space="0"/>
            </w:tcBorders>
            <w:noWrap w:val="0"/>
            <w:vAlign w:val="center"/>
          </w:tcPr>
          <w:p>
            <w:pPr>
              <w:numPr>
                <w:ilvl w:val="0"/>
                <w:numId w:val="0"/>
              </w:numPr>
              <w:ind w:leftChars="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（三）</w:t>
            </w:r>
            <w:r>
              <w:rPr>
                <w:rFonts w:hint="eastAsia" w:ascii="仿宋" w:hAnsi="仿宋" w:eastAsia="仿宋" w:cs="仿宋"/>
                <w:color w:val="000000" w:themeColor="text1"/>
                <w:sz w:val="24"/>
                <w:szCs w:val="24"/>
                <w14:textFill>
                  <w14:solidFill>
                    <w14:schemeClr w14:val="tx1"/>
                  </w14:solidFill>
                </w14:textFill>
              </w:rPr>
              <w:t>备案</w:t>
            </w: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1</w:t>
            </w:r>
            <w:r>
              <w:rPr>
                <w:rFonts w:hint="eastAsia" w:ascii="仿宋" w:hAnsi="仿宋" w:eastAsia="仿宋" w:cs="仿宋"/>
                <w:color w:val="000000" w:themeColor="text1"/>
                <w:sz w:val="24"/>
                <w:szCs w:val="24"/>
                <w:lang w:eastAsia="zh-CN"/>
                <w14:textFill>
                  <w14:solidFill>
                    <w14:schemeClr w14:val="tx1"/>
                  </w14:solidFill>
                </w14:textFill>
              </w:rPr>
              <w:t>）</w:t>
            </w:r>
          </w:p>
          <w:p>
            <w:pPr>
              <w:jc w:val="center"/>
              <w:rPr>
                <w:rFonts w:hint="eastAsia" w:ascii="仿宋" w:hAnsi="仿宋" w:eastAsia="仿宋" w:cs="仿宋"/>
                <w:color w:val="000000" w:themeColor="text1"/>
                <w:sz w:val="24"/>
                <w:szCs w:val="24"/>
                <w14:textFill>
                  <w14:solidFill>
                    <w14:schemeClr w14:val="tx1"/>
                  </w14:solidFill>
                </w14:textFill>
              </w:rPr>
            </w:pPr>
          </w:p>
        </w:tc>
        <w:tc>
          <w:tcPr>
            <w:tcW w:w="5545"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p>
        </w:tc>
        <w:tc>
          <w:tcPr>
            <w:tcW w:w="68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１</w:t>
            </w:r>
          </w:p>
        </w:tc>
        <w:tc>
          <w:tcPr>
            <w:tcW w:w="1835" w:type="dxa"/>
            <w:tcBorders>
              <w:top w:val="single" w:color="auto" w:sz="4" w:space="0"/>
              <w:left w:val="single" w:color="000000" w:sz="4" w:space="0"/>
              <w:bottom w:val="single" w:color="auto" w:sz="4" w:space="0"/>
              <w:right w:val="single" w:color="000000" w:sz="4" w:space="0"/>
            </w:tcBorders>
            <w:noWrap w:val="0"/>
            <w:vAlign w:val="top"/>
          </w:tcPr>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p>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p>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p>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p>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p>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p>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p>
          <w:p>
            <w:pP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pPr>
          </w:p>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instrText xml:space="preserve"> HYPERLINK "http://zkxh.hnzwfw.gov.cn/art/2018/11/19/art_36891_1053699.html" \o "中医诊所备案" \t "http://zkxh.hnzwfw.gov.cn/hnzw/bmft/index/_blank" </w:instrTex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t>中医诊所备案</w:t>
            </w:r>
            <w:r>
              <w:rPr>
                <w:rFonts w:hint="eastAsia" w:ascii="仿宋" w:hAnsi="仿宋" w:eastAsia="仿宋" w:cs="仿宋"/>
                <w:i w:val="0"/>
                <w:caps w:val="0"/>
                <w:color w:val="000000" w:themeColor="text1"/>
                <w:spacing w:val="0"/>
                <w:sz w:val="24"/>
                <w:szCs w:val="24"/>
                <w:u w:val="none"/>
                <w:shd w:val="clear" w:fill="FFFFFF"/>
                <w14:textFill>
                  <w14:solidFill>
                    <w14:schemeClr w14:val="tx1"/>
                  </w14:solidFill>
                </w14:textFill>
              </w:rPr>
              <w:fldChar w:fldCharType="end"/>
            </w:r>
          </w:p>
        </w:tc>
        <w:tc>
          <w:tcPr>
            <w:tcW w:w="5545" w:type="dxa"/>
            <w:tcBorders>
              <w:top w:val="single" w:color="auto" w:sz="4" w:space="0"/>
              <w:left w:val="single" w:color="000000" w:sz="4" w:space="0"/>
              <w:bottom w:val="single" w:color="auto" w:sz="4" w:space="0"/>
              <w:right w:val="single" w:color="auto" w:sz="4" w:space="0"/>
            </w:tcBorders>
            <w:noWrap w:val="0"/>
            <w:vAlign w:val="top"/>
          </w:tcPr>
          <w:p>
            <w:pPr>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1.《中华人民共和国中医药法》（主席令第59号）第十四条：“举办中医医疗机构应当按照国家有关医疗机构管理的规定办理审批手续，并遵守医疗机构管理的有关规定。举办中医诊所的，将诊所的名称、地址、诊疗范围、人员配备情况等报所在地县级人民政府中医药主管部门备案后即可开展执业活动。中医诊所应当将本诊所的诊疗范围、中医医师的姓名及其执业范围在诊所的明显位置公示，不得超出备案范围开展医疗活动。具体办法由国务院中医药主管部门拟订，报国务院卫生行政部门审核、发布。”2.《中医诊所备案管理暂行办法》（中华人民共和国卫生和计划生育委员会令第14号）第二条：“本办法所指的中医诊所，是在中医药理论指导下，运用中药和针灸、拔罐、推拿等非药物疗法开展诊疗服务，以及中药调剂、汤剂煎煮等中药药事服务的诊所。不符合上述规定的服务范围或者存在不可控的医疗安全隐患和风险的，不适用本办法。第三条第三款：县级中医药主管部门具体负责本行政区域内中医诊所的备案工作。第四条：举办中医诊所的，报拟举办诊所所在地县级中医药主管部门备案后即可开展执业活动。”</w:t>
            </w:r>
            <w:r>
              <w:rPr>
                <w:rFonts w:hint="eastAsia" w:ascii="仿宋" w:hAnsi="仿宋" w:eastAsia="仿宋" w:cs="仿宋"/>
                <w:color w:val="000000" w:themeColor="text1"/>
                <w:sz w:val="24"/>
                <w:szCs w:val="24"/>
                <w14:textFill>
                  <w14:solidFill>
                    <w14:schemeClr w14:val="tx1"/>
                  </w14:solidFill>
                </w14:textFill>
              </w:rPr>
              <w:t>　　</w:t>
            </w:r>
          </w:p>
        </w:tc>
        <w:tc>
          <w:tcPr>
            <w:tcW w:w="685"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行政审批股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color w:val="000000" w:themeColor="text1"/>
                <w:sz w:val="24"/>
                <w:szCs w:val="24"/>
                <w14:textFill>
                  <w14:solidFill>
                    <w14:schemeClr w14:val="tx1"/>
                  </w14:solidFill>
                </w14:textFill>
              </w:rPr>
            </w:pPr>
          </w:p>
        </w:tc>
        <w:tc>
          <w:tcPr>
            <w:tcW w:w="1835" w:type="dxa"/>
            <w:tcBorders>
              <w:top w:val="single" w:color="auto"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w:t>
            </w:r>
            <w:r>
              <w:rPr>
                <w:rFonts w:hint="eastAsia" w:ascii="仿宋" w:hAnsi="仿宋" w:eastAsia="仿宋" w:cs="仿宋"/>
                <w:color w:val="000000" w:themeColor="text1"/>
                <w:sz w:val="24"/>
                <w:szCs w:val="24"/>
                <w:lang w:eastAsia="zh-CN"/>
                <w14:textFill>
                  <w14:solidFill>
                    <w14:schemeClr w14:val="tx1"/>
                  </w14:solidFill>
                </w14:textFill>
              </w:rPr>
              <w:t>四</w:t>
            </w:r>
            <w:r>
              <w:rPr>
                <w:rFonts w:hint="eastAsia" w:ascii="仿宋" w:hAnsi="仿宋" w:eastAsia="仿宋" w:cs="仿宋"/>
                <w:color w:val="000000" w:themeColor="text1"/>
                <w:sz w:val="24"/>
                <w:szCs w:val="24"/>
                <w14:textFill>
                  <w14:solidFill>
                    <w14:schemeClr w14:val="tx1"/>
                  </w14:solidFill>
                </w14:textFill>
              </w:rPr>
              <w:t>）财政专项资金分配</w:t>
            </w:r>
            <w:r>
              <w:rPr>
                <w:rFonts w:hint="eastAsia" w:ascii="仿宋" w:hAnsi="仿宋" w:eastAsia="仿宋" w:cs="仿宋"/>
                <w:color w:val="000000" w:themeColor="text1"/>
                <w:sz w:val="24"/>
                <w:szCs w:val="24"/>
                <w:lang w:eastAsia="zh-CN"/>
                <w14:textFill>
                  <w14:solidFill>
                    <w14:schemeClr w14:val="tx1"/>
                  </w14:solidFill>
                </w14:textFill>
              </w:rPr>
              <w:t>（）</w:t>
            </w:r>
          </w:p>
          <w:p>
            <w:pPr>
              <w:jc w:val="center"/>
              <w:rPr>
                <w:rFonts w:hint="eastAsia" w:ascii="仿宋" w:hAnsi="仿宋" w:eastAsia="仿宋" w:cs="仿宋"/>
                <w:color w:val="000000" w:themeColor="text1"/>
                <w:sz w:val="24"/>
                <w:szCs w:val="24"/>
                <w14:textFill>
                  <w14:solidFill>
                    <w14:schemeClr w14:val="tx1"/>
                  </w14:solidFill>
                </w14:textFill>
              </w:rPr>
            </w:pPr>
          </w:p>
        </w:tc>
        <w:tc>
          <w:tcPr>
            <w:tcW w:w="5545" w:type="dxa"/>
            <w:tcBorders>
              <w:top w:val="single" w:color="auto"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p>
        </w:tc>
        <w:tc>
          <w:tcPr>
            <w:tcW w:w="685" w:type="dxa"/>
            <w:tcBorders>
              <w:top w:val="single" w:color="auto"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 w:type="dxa"/>
            <w:tcBorders>
              <w:top w:val="single" w:color="auto" w:sz="4" w:space="0"/>
              <w:left w:val="single" w:color="000000"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c>
          <w:tcPr>
            <w:tcW w:w="1835" w:type="dxa"/>
            <w:tcBorders>
              <w:top w:val="single" w:color="000000" w:sz="4" w:space="0"/>
              <w:left w:val="single" w:color="auto" w:sz="4" w:space="0"/>
              <w:bottom w:val="single" w:color="000000" w:sz="4" w:space="0"/>
              <w:right w:val="single" w:color="auto" w:sz="4" w:space="0"/>
            </w:tcBorders>
            <w:noWrap w:val="0"/>
            <w:vAlign w:val="center"/>
          </w:tcPr>
          <w:p>
            <w:pPr>
              <w:rPr>
                <w:rFonts w:hint="eastAsia" w:ascii="仿宋" w:hAnsi="仿宋" w:eastAsia="仿宋" w:cs="仿宋"/>
                <w:color w:val="000000" w:themeColor="text1"/>
                <w:sz w:val="24"/>
                <w:szCs w:val="24"/>
                <w14:textFill>
                  <w14:solidFill>
                    <w14:schemeClr w14:val="tx1"/>
                  </w14:solidFill>
                </w14:textFill>
              </w:rPr>
            </w:pPr>
          </w:p>
        </w:tc>
        <w:tc>
          <w:tcPr>
            <w:tcW w:w="5545" w:type="dxa"/>
            <w:tcBorders>
              <w:top w:val="single" w:color="000000" w:sz="4" w:space="0"/>
              <w:left w:val="single" w:color="auto" w:sz="4" w:space="0"/>
              <w:bottom w:val="single" w:color="000000" w:sz="4" w:space="0"/>
              <w:right w:val="single" w:color="auto" w:sz="4" w:space="0"/>
            </w:tcBorders>
            <w:noWrap w:val="0"/>
            <w:vAlign w:val="center"/>
          </w:tcPr>
          <w:p>
            <w:pPr>
              <w:ind w:firstLine="480" w:firstLineChars="200"/>
              <w:rPr>
                <w:rFonts w:hint="eastAsia" w:ascii="仿宋" w:hAnsi="仿宋" w:eastAsia="仿宋" w:cs="仿宋"/>
                <w:color w:val="000000" w:themeColor="text1"/>
                <w:sz w:val="24"/>
                <w:szCs w:val="24"/>
                <w:lang w:val="en-US" w:eastAsia="zh-CN"/>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widowControl/>
              <w:jc w:val="center"/>
              <w:rPr>
                <w:rFonts w:hint="eastAsia" w:ascii="仿宋" w:hAnsi="仿宋" w:eastAsia="仿宋" w:cs="仿宋"/>
                <w:color w:val="000000" w:themeColor="text1"/>
                <w:sz w:val="24"/>
                <w:szCs w:val="24"/>
                <w14:textFill>
                  <w14:solidFill>
                    <w14:schemeClr w14:val="tx1"/>
                  </w14:solidFill>
                </w14:textFill>
              </w:rPr>
            </w:pPr>
          </w:p>
        </w:tc>
        <w:tc>
          <w:tcPr>
            <w:tcW w:w="1835" w:type="dxa"/>
            <w:noWrap w:val="0"/>
            <w:vAlign w:val="center"/>
          </w:tcPr>
          <w:p>
            <w:pPr>
              <w:widowControl/>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w:t>
            </w:r>
            <w:r>
              <w:rPr>
                <w:rFonts w:hint="eastAsia" w:ascii="仿宋" w:hAnsi="仿宋" w:eastAsia="仿宋" w:cs="仿宋"/>
                <w:color w:val="000000" w:themeColor="text1"/>
                <w:sz w:val="24"/>
                <w:szCs w:val="24"/>
                <w:lang w:eastAsia="zh-CN"/>
                <w14:textFill>
                  <w14:solidFill>
                    <w14:schemeClr w14:val="tx1"/>
                  </w14:solidFill>
                </w14:textFill>
              </w:rPr>
              <w:t>五</w:t>
            </w:r>
            <w:r>
              <w:rPr>
                <w:rFonts w:hint="eastAsia" w:ascii="仿宋" w:hAnsi="仿宋" w:eastAsia="仿宋" w:cs="仿宋"/>
                <w:color w:val="000000" w:themeColor="text1"/>
                <w:sz w:val="24"/>
                <w:szCs w:val="24"/>
                <w14:textFill>
                  <w14:solidFill>
                    <w14:schemeClr w14:val="tx1"/>
                  </w14:solidFill>
                </w14:textFill>
              </w:rPr>
              <w:t>）其他</w:t>
            </w:r>
            <w:r>
              <w:rPr>
                <w:rFonts w:hint="eastAsia" w:ascii="仿宋" w:hAnsi="仿宋" w:eastAsia="仿宋" w:cs="仿宋"/>
                <w:color w:val="000000" w:themeColor="text1"/>
                <w:sz w:val="24"/>
                <w:szCs w:val="24"/>
                <w:lang w:eastAsia="zh-CN"/>
                <w14:textFill>
                  <w14:solidFill>
                    <w14:schemeClr w14:val="tx1"/>
                  </w14:solidFill>
                </w14:textFill>
              </w:rPr>
              <w:t>事项核准（）</w:t>
            </w:r>
          </w:p>
        </w:tc>
        <w:tc>
          <w:tcPr>
            <w:tcW w:w="5545" w:type="dxa"/>
            <w:noWrap w:val="0"/>
            <w:vAlign w:val="top"/>
          </w:tcPr>
          <w:p>
            <w:pPr>
              <w:widowControl/>
              <w:rPr>
                <w:rFonts w:hint="eastAsia" w:ascii="仿宋" w:hAnsi="仿宋" w:eastAsia="仿宋" w:cs="仿宋"/>
                <w:color w:val="000000" w:themeColor="text1"/>
                <w:sz w:val="24"/>
                <w:szCs w:val="24"/>
                <w14:textFill>
                  <w14:solidFill>
                    <w14:schemeClr w14:val="tx1"/>
                  </w14:solidFill>
                </w14:textFill>
              </w:rPr>
            </w:pPr>
          </w:p>
        </w:tc>
        <w:tc>
          <w:tcPr>
            <w:tcW w:w="685" w:type="dxa"/>
            <w:noWrap w:val="0"/>
            <w:vAlign w:val="center"/>
          </w:tcPr>
          <w:p>
            <w:pPr>
              <w:widowControl/>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c>
          <w:tcPr>
            <w:tcW w:w="1835" w:type="dxa"/>
            <w:noWrap w:val="0"/>
            <w:vAlign w:val="center"/>
          </w:tcPr>
          <w:p>
            <w:pPr>
              <w:widowControl/>
              <w:rPr>
                <w:rFonts w:hint="eastAsia" w:ascii="仿宋" w:hAnsi="仿宋" w:eastAsia="仿宋" w:cs="仿宋"/>
                <w:color w:val="000000" w:themeColor="text1"/>
                <w:sz w:val="24"/>
                <w:szCs w:val="24"/>
                <w14:textFill>
                  <w14:solidFill>
                    <w14:schemeClr w14:val="tx1"/>
                  </w14:solidFill>
                </w14:textFill>
              </w:rPr>
            </w:pPr>
          </w:p>
        </w:tc>
        <w:tc>
          <w:tcPr>
            <w:tcW w:w="5545" w:type="dxa"/>
            <w:noWrap w:val="0"/>
            <w:vAlign w:val="top"/>
          </w:tcPr>
          <w:p>
            <w:pPr>
              <w:ind w:firstLine="480" w:firstLineChars="200"/>
              <w:rPr>
                <w:rFonts w:hint="eastAsia" w:ascii="仿宋" w:hAnsi="仿宋" w:eastAsia="仿宋" w:cs="仿宋"/>
                <w:color w:val="000000" w:themeColor="text1"/>
                <w:sz w:val="24"/>
                <w:szCs w:val="24"/>
                <w14:textFill>
                  <w14:solidFill>
                    <w14:schemeClr w14:val="tx1"/>
                  </w14:solidFill>
                </w14:textFill>
              </w:rPr>
            </w:pPr>
          </w:p>
        </w:tc>
        <w:tc>
          <w:tcPr>
            <w:tcW w:w="685" w:type="dxa"/>
            <w:noWrap w:val="0"/>
            <w:vAlign w:val="center"/>
          </w:tcPr>
          <w:p>
            <w:pPr>
              <w:widowControl/>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c>
          <w:tcPr>
            <w:tcW w:w="1835" w:type="dxa"/>
            <w:noWrap w:val="0"/>
            <w:vAlign w:val="center"/>
          </w:tcPr>
          <w:p>
            <w:pPr>
              <w:widowControl/>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w:t>
            </w:r>
            <w:r>
              <w:rPr>
                <w:rFonts w:hint="eastAsia" w:ascii="仿宋" w:hAnsi="仿宋" w:eastAsia="仿宋" w:cs="仿宋"/>
                <w:color w:val="000000" w:themeColor="text1"/>
                <w:sz w:val="24"/>
                <w:szCs w:val="24"/>
                <w:lang w:eastAsia="zh-CN"/>
                <w14:textFill>
                  <w14:solidFill>
                    <w14:schemeClr w14:val="tx1"/>
                  </w14:solidFill>
                </w14:textFill>
              </w:rPr>
              <w:t>六</w:t>
            </w:r>
            <w:r>
              <w:rPr>
                <w:rFonts w:hint="eastAsia" w:ascii="仿宋" w:hAnsi="仿宋" w:eastAsia="仿宋" w:cs="仿宋"/>
                <w:color w:val="000000" w:themeColor="text1"/>
                <w:sz w:val="24"/>
                <w:szCs w:val="24"/>
                <w14:textFill>
                  <w14:solidFill>
                    <w14:schemeClr w14:val="tx1"/>
                  </w14:solidFill>
                </w14:textFill>
              </w:rPr>
              <w:t>）审核转报</w:t>
            </w:r>
            <w:r>
              <w:rPr>
                <w:rFonts w:hint="eastAsia" w:ascii="仿宋" w:hAnsi="仿宋" w:eastAsia="仿宋" w:cs="仿宋"/>
                <w:color w:val="000000" w:themeColor="text1"/>
                <w:sz w:val="24"/>
                <w:szCs w:val="24"/>
                <w:lang w:val="en-US" w:eastAsia="zh-CN"/>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 xml:space="preserve">  </w:t>
            </w:r>
          </w:p>
        </w:tc>
        <w:tc>
          <w:tcPr>
            <w:tcW w:w="5545" w:type="dxa"/>
            <w:noWrap w:val="0"/>
            <w:vAlign w:val="top"/>
          </w:tcPr>
          <w:p>
            <w:pPr>
              <w:widowControl/>
              <w:rPr>
                <w:rFonts w:hint="eastAsia" w:ascii="仿宋" w:hAnsi="仿宋" w:eastAsia="仿宋" w:cs="仿宋"/>
                <w:color w:val="000000" w:themeColor="text1"/>
                <w:sz w:val="24"/>
                <w:szCs w:val="24"/>
                <w14:textFill>
                  <w14:solidFill>
                    <w14:schemeClr w14:val="tx1"/>
                  </w14:solidFill>
                </w14:textFill>
              </w:rPr>
            </w:pPr>
          </w:p>
        </w:tc>
        <w:tc>
          <w:tcPr>
            <w:tcW w:w="685" w:type="dxa"/>
            <w:noWrap w:val="0"/>
            <w:vAlign w:val="center"/>
          </w:tcPr>
          <w:p>
            <w:pPr>
              <w:widowControl/>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c>
          <w:tcPr>
            <w:tcW w:w="1835" w:type="dxa"/>
            <w:noWrap w:val="0"/>
            <w:vAlign w:val="center"/>
          </w:tcPr>
          <w:p>
            <w:pPr>
              <w:widowControl/>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（七）行政裁决</w:t>
            </w:r>
          </w:p>
        </w:tc>
        <w:tc>
          <w:tcPr>
            <w:tcW w:w="5545" w:type="dxa"/>
            <w:noWrap w:val="0"/>
            <w:vAlign w:val="top"/>
          </w:tcPr>
          <w:p>
            <w:pPr>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医疗机构管理条例实施细则》（卫生部令1994年第35号）第四十九条第一款：两个以上申请人向同一核准机关申请相同的医疗机构名称，核准机关依照申请在先原则核定。属于同一天申请的，应当由申请人双方协商解决；协商不成的，由核准机关作出裁决。第二款：两个以上医疗机构因已经核准登记的医疗机构名称相同发生争议时，核准机关依照登记在先原则处理。属于同一天登记的，应当由双方协商解决；协商不成的，由核准机关报上一级卫生行政部门作出裁决。</w:t>
            </w:r>
          </w:p>
        </w:tc>
        <w:tc>
          <w:tcPr>
            <w:tcW w:w="685" w:type="dxa"/>
            <w:noWrap w:val="0"/>
            <w:vAlign w:val="center"/>
          </w:tcPr>
          <w:p>
            <w:pPr>
              <w:widowControl/>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c>
          <w:tcPr>
            <w:tcW w:w="1835" w:type="dxa"/>
            <w:noWrap w:val="0"/>
            <w:vAlign w:val="center"/>
          </w:tcPr>
          <w:p>
            <w:pPr>
              <w:rPr>
                <w:rFonts w:hint="eastAsia" w:ascii="仿宋" w:hAnsi="仿宋" w:eastAsia="仿宋" w:cs="仿宋"/>
                <w:color w:val="000000" w:themeColor="text1"/>
                <w:sz w:val="24"/>
                <w:szCs w:val="24"/>
                <w14:textFill>
                  <w14:solidFill>
                    <w14:schemeClr w14:val="tx1"/>
                  </w14:solidFill>
                </w14:textFill>
              </w:rPr>
            </w:pPr>
          </w:p>
        </w:tc>
        <w:tc>
          <w:tcPr>
            <w:tcW w:w="5545" w:type="dxa"/>
            <w:noWrap w:val="0"/>
            <w:vAlign w:val="center"/>
          </w:tcPr>
          <w:p>
            <w:pPr>
              <w:ind w:firstLine="480" w:firstLineChars="200"/>
              <w:rPr>
                <w:rFonts w:hint="eastAsia" w:ascii="仿宋" w:hAnsi="仿宋" w:eastAsia="仿宋" w:cs="仿宋"/>
                <w:color w:val="000000" w:themeColor="text1"/>
                <w:sz w:val="24"/>
                <w:szCs w:val="24"/>
                <w14:textFill>
                  <w14:solidFill>
                    <w14:schemeClr w14:val="tx1"/>
                  </w14:solidFill>
                </w14:textFill>
              </w:rPr>
            </w:pPr>
          </w:p>
        </w:tc>
        <w:tc>
          <w:tcPr>
            <w:tcW w:w="685" w:type="dxa"/>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bl>
    <w:p>
      <w:pPr>
        <w:numPr>
          <w:ilvl w:val="0"/>
          <w:numId w:val="0"/>
        </w:numPr>
        <w:autoSpaceDN w:val="0"/>
        <w:spacing w:line="26" w:lineRule="atLeast"/>
        <w:jc w:val="center"/>
        <w:rPr>
          <w:rFonts w:hint="eastAsia" w:asciiTheme="minorEastAsia" w:hAnsiTheme="minorEastAsia" w:eastAsiaTheme="minorEastAsia" w:cstheme="minorEastAsia"/>
          <w:sz w:val="32"/>
          <w:szCs w:val="32"/>
          <w:lang w:eastAsia="zh-CN"/>
        </w:rPr>
      </w:pPr>
    </w:p>
    <w:p>
      <w:pPr>
        <w:widowControl/>
        <w:snapToGrid w:val="0"/>
        <w:spacing w:line="600" w:lineRule="exact"/>
        <w:jc w:val="left"/>
        <w:textAlignment w:val="baseline"/>
        <w:rPr>
          <w:rFonts w:hint="eastAsia" w:ascii="黑体" w:hAnsi="黑体" w:eastAsia="黑体" w:cs="黑体"/>
          <w:spacing w:val="6"/>
          <w:sz w:val="32"/>
          <w:szCs w:val="32"/>
        </w:rPr>
      </w:pPr>
    </w:p>
    <w:p>
      <w:pPr>
        <w:pStyle w:val="2"/>
        <w:rPr>
          <w:rFonts w:hint="eastAsia" w:ascii="黑体" w:hAnsi="黑体" w:eastAsia="黑体" w:cs="黑体"/>
          <w:spacing w:val="6"/>
          <w:sz w:val="32"/>
          <w:szCs w:val="32"/>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890F66"/>
    <w:rsid w:val="10C81869"/>
    <w:rsid w:val="1E0D42A2"/>
    <w:rsid w:val="297D5392"/>
    <w:rsid w:val="34336214"/>
    <w:rsid w:val="3DFA2DB1"/>
    <w:rsid w:val="671C4EBF"/>
    <w:rsid w:val="77890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First Indent"/>
    <w:basedOn w:val="1"/>
    <w:next w:val="1"/>
    <w:qFormat/>
    <w:uiPriority w:val="0"/>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Hyperlink"/>
    <w:basedOn w:val="5"/>
    <w:qFormat/>
    <w:uiPriority w:val="0"/>
    <w:rPr>
      <w:color w:val="0000FF"/>
      <w:u w:val="single"/>
    </w:rPr>
  </w:style>
  <w:style w:type="paragraph" w:customStyle="1" w:styleId="7">
    <w:name w:val="p0"/>
    <w:basedOn w:val="1"/>
    <w:qFormat/>
    <w:uiPriority w:val="0"/>
    <w:pPr>
      <w:widowControl/>
      <w:spacing w:line="365" w:lineRule="atLeast"/>
      <w:ind w:left="1"/>
    </w:pPr>
    <w:rPr>
      <w:kern w:val="0"/>
      <w:sz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2019-12-13T03:30:00Z</dcterms:created>
  <dc:creator>正在加载……</dc:creator>
  <cp:lastModifiedBy>Administrator</cp:lastModifiedBy>
  <dcterms:modified xsi:type="dcterms:W3CDTF">2019-12-27T09:15:14Z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