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center"/>
        <w:rPr>
          <w:rFonts w:ascii="黑体" w:hAnsi="宋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</w:rPr>
        <w:t>附件1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西华县医疗保障局权力清单</w:t>
      </w:r>
    </w:p>
    <w:tbl>
      <w:tblPr>
        <w:tblStyle w:val="3"/>
        <w:tblW w:w="91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1602"/>
        <w:gridCol w:w="4898"/>
        <w:gridCol w:w="935"/>
        <w:gridCol w:w="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6" w:type="dxa"/>
            <w:noWrap/>
            <w:vAlign w:val="center"/>
          </w:tcPr>
          <w:p>
            <w:pPr>
              <w:autoSpaceDN w:val="0"/>
              <w:jc w:val="center"/>
              <w:rPr>
                <w:rFonts w:ascii="黑体" w:hAnsi="宋体" w:eastAsia="黑体" w:cs="宋体"/>
                <w:szCs w:val="21"/>
              </w:rPr>
            </w:pPr>
            <w:r>
              <w:rPr>
                <w:rFonts w:hint="eastAsia" w:ascii="黑体" w:hAnsi="宋体" w:eastAsia="黑体" w:cs="宋体"/>
                <w:szCs w:val="21"/>
              </w:rPr>
              <w:t>序号</w:t>
            </w:r>
          </w:p>
        </w:tc>
        <w:tc>
          <w:tcPr>
            <w:tcW w:w="1602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autoSpaceDN w:val="0"/>
              <w:jc w:val="center"/>
              <w:rPr>
                <w:rFonts w:ascii="黑体" w:hAnsi="宋体" w:eastAsia="黑体" w:cs="宋体"/>
                <w:szCs w:val="21"/>
              </w:rPr>
            </w:pPr>
            <w:r>
              <w:rPr>
                <w:rFonts w:hint="eastAsia" w:ascii="黑体" w:hAnsi="宋体" w:eastAsia="黑体" w:cs="宋体"/>
                <w:szCs w:val="21"/>
              </w:rPr>
              <w:t>职权名称</w:t>
            </w:r>
          </w:p>
        </w:tc>
        <w:tc>
          <w:tcPr>
            <w:tcW w:w="4898" w:type="dxa"/>
            <w:noWrap/>
            <w:vAlign w:val="center"/>
          </w:tcPr>
          <w:p>
            <w:pPr>
              <w:autoSpaceDN w:val="0"/>
              <w:jc w:val="center"/>
              <w:rPr>
                <w:rFonts w:ascii="黑体" w:hAnsi="宋体" w:eastAsia="黑体" w:cs="宋体"/>
                <w:szCs w:val="21"/>
              </w:rPr>
            </w:pPr>
            <w:r>
              <w:rPr>
                <w:rFonts w:hint="eastAsia" w:ascii="黑体" w:hAnsi="宋体" w:eastAsia="黑体" w:cs="宋体"/>
                <w:szCs w:val="21"/>
              </w:rPr>
              <w:t>实  施  依  据</w:t>
            </w:r>
          </w:p>
        </w:tc>
        <w:tc>
          <w:tcPr>
            <w:tcW w:w="935" w:type="dxa"/>
            <w:noWrap/>
            <w:vAlign w:val="center"/>
          </w:tcPr>
          <w:p>
            <w:pPr>
              <w:autoSpaceDN w:val="0"/>
              <w:jc w:val="center"/>
              <w:rPr>
                <w:rFonts w:ascii="黑体" w:hAnsi="宋体" w:eastAsia="黑体" w:cs="宋体"/>
                <w:szCs w:val="21"/>
              </w:rPr>
            </w:pPr>
            <w:r>
              <w:rPr>
                <w:rFonts w:hint="eastAsia" w:ascii="黑体" w:hAnsi="宋体" w:eastAsia="黑体" w:cs="宋体"/>
                <w:szCs w:val="21"/>
              </w:rPr>
              <w:t>承办</w:t>
            </w:r>
          </w:p>
          <w:p>
            <w:pPr>
              <w:autoSpaceDN w:val="0"/>
              <w:jc w:val="center"/>
              <w:rPr>
                <w:rFonts w:ascii="黑体" w:hAnsi="宋体" w:eastAsia="黑体" w:cs="宋体"/>
                <w:szCs w:val="21"/>
              </w:rPr>
            </w:pPr>
            <w:r>
              <w:rPr>
                <w:rFonts w:hint="eastAsia" w:ascii="黑体" w:hAnsi="宋体" w:eastAsia="黑体" w:cs="宋体"/>
                <w:szCs w:val="21"/>
              </w:rPr>
              <w:t>机构</w:t>
            </w:r>
          </w:p>
        </w:tc>
        <w:tc>
          <w:tcPr>
            <w:tcW w:w="564" w:type="dxa"/>
            <w:noWrap/>
            <w:vAlign w:val="center"/>
          </w:tcPr>
          <w:p>
            <w:pPr>
              <w:autoSpaceDN w:val="0"/>
              <w:jc w:val="center"/>
              <w:rPr>
                <w:rFonts w:ascii="黑体" w:hAnsi="宋体" w:eastAsia="黑体" w:cs="宋体"/>
                <w:szCs w:val="21"/>
              </w:rPr>
            </w:pPr>
            <w:r>
              <w:rPr>
                <w:rFonts w:hint="eastAsia" w:ascii="黑体" w:hAnsi="宋体" w:eastAsia="黑体" w:cs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Merge w:val="restart"/>
            <w:noWrap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仿宋_GB2312"/>
                <w:szCs w:val="21"/>
              </w:rPr>
              <w:t>1</w:t>
            </w:r>
          </w:p>
          <w:p>
            <w:pPr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1602" w:type="dxa"/>
            <w:vMerge w:val="restart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仿宋_GB2312"/>
                <w:szCs w:val="21"/>
              </w:rPr>
              <w:t>行政处罚</w:t>
            </w:r>
          </w:p>
        </w:tc>
        <w:tc>
          <w:tcPr>
            <w:tcW w:w="4898" w:type="dxa"/>
            <w:noWrap/>
            <w:vAlign w:val="center"/>
          </w:tcPr>
          <w:p>
            <w:pPr>
              <w:ind w:firstLine="420" w:firstLineChars="200"/>
              <w:rPr>
                <w:rFonts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宋体"/>
                <w:bCs/>
                <w:color w:val="212121"/>
                <w:kern w:val="36"/>
                <w:szCs w:val="21"/>
              </w:rPr>
              <w:t>《中华人民共和国社会保险法》</w:t>
            </w:r>
            <w:r>
              <w:rPr>
                <w:rFonts w:hint="eastAsia" w:ascii="黑体" w:hAnsi="黑体" w:eastAsia="黑体"/>
                <w:color w:val="333333"/>
                <w:szCs w:val="21"/>
                <w:shd w:val="clear" w:color="auto" w:fill="FFFFFF"/>
              </w:rPr>
              <w:t>第八十七条　社会保险经办机构以及医疗机构、药品经营单位等社会保险服务机构以欺诈、伪造证明材料或者其他手段骗取社会保险基金支出的，由社会保险行政部门责令退回骗取的社会保险金，处骗取金额二倍以上五倍以下的罚款；属于社会保险服务机构的，解除服务协议；直接负责的主管人员和其他直接责任人员有执业资格的，依法吊销其执业资格。</w:t>
            </w:r>
          </w:p>
        </w:tc>
        <w:tc>
          <w:tcPr>
            <w:tcW w:w="935" w:type="dxa"/>
            <w:noWrap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仿宋_GB2312"/>
                <w:szCs w:val="21"/>
              </w:rPr>
              <w:t>基金监管股</w:t>
            </w:r>
          </w:p>
        </w:tc>
        <w:tc>
          <w:tcPr>
            <w:tcW w:w="564" w:type="dxa"/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Merge w:val="continue"/>
            <w:noWrap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1602" w:type="dxa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4898" w:type="dxa"/>
            <w:noWrap/>
            <w:vAlign w:val="center"/>
          </w:tcPr>
          <w:p>
            <w:pPr>
              <w:ind w:firstLine="420" w:firstLineChars="200"/>
              <w:rPr>
                <w:rFonts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宋体"/>
                <w:bCs/>
                <w:color w:val="212121"/>
                <w:kern w:val="36"/>
                <w:szCs w:val="21"/>
              </w:rPr>
              <w:t>《中华人民共和国社会保险法》</w:t>
            </w:r>
            <w:r>
              <w:rPr>
                <w:rFonts w:hint="eastAsia" w:ascii="黑体" w:hAnsi="黑体" w:eastAsia="黑体"/>
                <w:color w:val="333333"/>
                <w:szCs w:val="21"/>
                <w:shd w:val="clear" w:color="auto" w:fill="FFFFFF"/>
              </w:rPr>
              <w:t>第八十八条　以欺诈、伪造证明材料或者其他手段骗取社会保险待遇的，由社会保险行政部门责令退回骗取的社会保险金，处骗取金额二倍以上五倍以下的罚款。</w:t>
            </w:r>
          </w:p>
        </w:tc>
        <w:tc>
          <w:tcPr>
            <w:tcW w:w="935" w:type="dxa"/>
            <w:noWrap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仿宋_GB2312"/>
                <w:szCs w:val="21"/>
              </w:rPr>
              <w:t>基金监管股</w:t>
            </w:r>
          </w:p>
        </w:tc>
        <w:tc>
          <w:tcPr>
            <w:tcW w:w="564" w:type="dxa"/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Merge w:val="restart"/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仿宋_GB2312"/>
                <w:szCs w:val="21"/>
              </w:rPr>
              <w:t>2</w:t>
            </w:r>
          </w:p>
        </w:tc>
        <w:tc>
          <w:tcPr>
            <w:tcW w:w="1602" w:type="dxa"/>
            <w:vMerge w:val="restart"/>
            <w:tcBorders>
              <w:top w:val="single" w:color="auto" w:sz="4" w:space="0"/>
            </w:tcBorders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仿宋_GB2312"/>
                <w:szCs w:val="21"/>
              </w:rPr>
              <w:t>行政强制</w:t>
            </w:r>
          </w:p>
        </w:tc>
        <w:tc>
          <w:tcPr>
            <w:tcW w:w="4898" w:type="dxa"/>
            <w:noWrap/>
          </w:tcPr>
          <w:p>
            <w:pPr>
              <w:widowControl/>
              <w:shd w:val="clear" w:color="auto" w:fill="FFFFFF"/>
              <w:spacing w:before="380"/>
              <w:ind w:firstLine="420" w:firstLineChars="200"/>
              <w:outlineLvl w:val="0"/>
              <w:rPr>
                <w:rFonts w:ascii="黑体" w:hAnsi="黑体" w:eastAsia="黑体" w:cs="宋体"/>
                <w:bCs/>
                <w:color w:val="212121"/>
                <w:kern w:val="36"/>
                <w:szCs w:val="21"/>
              </w:rPr>
            </w:pPr>
            <w:r>
              <w:rPr>
                <w:rFonts w:hint="eastAsia" w:ascii="黑体" w:hAnsi="黑体" w:eastAsia="黑体" w:cs="宋体"/>
                <w:bCs/>
                <w:color w:val="212121"/>
                <w:kern w:val="36"/>
                <w:szCs w:val="21"/>
              </w:rPr>
              <w:t>《中华人民共和国社会保险法》</w:t>
            </w:r>
            <w:r>
              <w:rPr>
                <w:rFonts w:hint="eastAsia" w:ascii="黑体" w:hAnsi="黑体" w:eastAsia="黑体"/>
                <w:color w:val="333333"/>
                <w:szCs w:val="21"/>
                <w:shd w:val="clear" w:color="auto" w:fill="FFFFFF"/>
              </w:rPr>
              <w:t>第七十九条</w:t>
            </w:r>
          </w:p>
          <w:p>
            <w:pPr>
              <w:pStyle w:val="2"/>
              <w:shd w:val="clear" w:color="auto" w:fill="FFFFFF"/>
              <w:spacing w:before="0" w:beforeAutospacing="0" w:after="0" w:afterAutospacing="0"/>
              <w:ind w:firstLine="480"/>
              <w:jc w:val="both"/>
              <w:rPr>
                <w:rFonts w:ascii="黑体" w:hAnsi="黑体" w:eastAsia="黑体"/>
                <w:color w:val="333333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333333"/>
                <w:sz w:val="21"/>
                <w:szCs w:val="21"/>
              </w:rPr>
              <w:t>社会保险行政部门对社会保险基金实施监督检查，有权采取下列措施：</w:t>
            </w:r>
          </w:p>
          <w:p>
            <w:pPr>
              <w:pStyle w:val="2"/>
              <w:shd w:val="clear" w:color="auto" w:fill="FFFFFF"/>
              <w:spacing w:before="0" w:beforeAutospacing="0" w:after="0" w:afterAutospacing="0"/>
              <w:ind w:firstLine="480"/>
              <w:jc w:val="both"/>
              <w:rPr>
                <w:rFonts w:hint="eastAsia" w:ascii="黑体" w:hAnsi="黑体" w:eastAsia="黑体"/>
                <w:color w:val="333333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333333"/>
                <w:sz w:val="21"/>
                <w:szCs w:val="21"/>
              </w:rPr>
              <w:t>（一）查阅、记录、复制与社会保险基金收支、管理和投资运营相关的资料，对可能被转移、隐匿或者灭失的资料予以封存；</w:t>
            </w:r>
          </w:p>
          <w:p>
            <w:pPr>
              <w:pStyle w:val="2"/>
              <w:shd w:val="clear" w:color="auto" w:fill="FFFFFF"/>
              <w:spacing w:before="0" w:beforeAutospacing="0" w:after="0" w:afterAutospacing="0"/>
              <w:ind w:firstLine="480"/>
              <w:jc w:val="center"/>
              <w:rPr>
                <w:rFonts w:ascii="黑体" w:hAnsi="黑体" w:eastAsia="黑体" w:cs="仿宋_GB2312"/>
                <w:sz w:val="21"/>
                <w:szCs w:val="21"/>
              </w:rPr>
            </w:pPr>
          </w:p>
        </w:tc>
        <w:tc>
          <w:tcPr>
            <w:tcW w:w="935" w:type="dxa"/>
            <w:vMerge w:val="restart"/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仿宋_GB2312"/>
                <w:szCs w:val="21"/>
              </w:rPr>
              <w:t>基金监管股</w:t>
            </w:r>
          </w:p>
        </w:tc>
        <w:tc>
          <w:tcPr>
            <w:tcW w:w="564" w:type="dxa"/>
            <w:vMerge w:val="restart"/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Merge w:val="continue"/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1602" w:type="dxa"/>
            <w:vMerge w:val="continue"/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4898" w:type="dxa"/>
            <w:noWrap/>
            <w:vAlign w:val="center"/>
          </w:tcPr>
          <w:p>
            <w:pPr>
              <w:pStyle w:val="2"/>
              <w:shd w:val="clear" w:color="auto" w:fill="FFFFFF"/>
              <w:spacing w:before="0" w:beforeAutospacing="0" w:after="0" w:afterAutospacing="0"/>
              <w:ind w:firstLine="480"/>
              <w:jc w:val="both"/>
              <w:rPr>
                <w:rFonts w:hint="eastAsia" w:ascii="黑体" w:hAnsi="黑体" w:eastAsia="黑体"/>
                <w:color w:val="333333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333333"/>
                <w:sz w:val="21"/>
                <w:szCs w:val="21"/>
              </w:rPr>
              <w:t>（二）询问与调查事项有关的单位和个人，要求其对与调查事项有关的问题作出说明、提供有关证明材料；</w:t>
            </w:r>
          </w:p>
          <w:p>
            <w:pPr>
              <w:pStyle w:val="2"/>
              <w:shd w:val="clear" w:color="auto" w:fill="FFFFFF"/>
              <w:spacing w:before="0" w:beforeAutospacing="0" w:after="0" w:afterAutospacing="0"/>
              <w:ind w:firstLine="480"/>
              <w:jc w:val="both"/>
              <w:rPr>
                <w:rFonts w:ascii="黑体" w:hAnsi="黑体" w:eastAsia="黑体" w:cs="仿宋_GB2312"/>
                <w:sz w:val="21"/>
                <w:szCs w:val="21"/>
              </w:rPr>
            </w:pPr>
          </w:p>
        </w:tc>
        <w:tc>
          <w:tcPr>
            <w:tcW w:w="935" w:type="dxa"/>
            <w:vMerge w:val="continue"/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564" w:type="dxa"/>
            <w:vMerge w:val="continue"/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Merge w:val="continue"/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1602" w:type="dxa"/>
            <w:vMerge w:val="continue"/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4898" w:type="dxa"/>
            <w:noWrap/>
            <w:vAlign w:val="center"/>
          </w:tcPr>
          <w:p>
            <w:pPr>
              <w:pStyle w:val="2"/>
              <w:shd w:val="clear" w:color="auto" w:fill="FFFFFF"/>
              <w:spacing w:before="0" w:beforeAutospacing="0" w:after="0" w:afterAutospacing="0"/>
              <w:ind w:firstLine="480"/>
              <w:jc w:val="both"/>
              <w:rPr>
                <w:rFonts w:hint="eastAsia" w:ascii="黑体" w:hAnsi="黑体" w:eastAsia="黑体"/>
                <w:color w:val="333333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333333"/>
                <w:sz w:val="21"/>
                <w:szCs w:val="21"/>
              </w:rPr>
              <w:t>（三）对隐匿、转移、侵占、挪用社会保险基金的行为予以制止并责令改正。</w:t>
            </w:r>
          </w:p>
          <w:p>
            <w:pPr>
              <w:ind w:firstLine="420" w:firstLineChars="200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935" w:type="dxa"/>
            <w:vMerge w:val="continue"/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564" w:type="dxa"/>
            <w:vMerge w:val="continue"/>
            <w:noWrap/>
            <w:vAlign w:val="center"/>
          </w:tcPr>
          <w:p>
            <w:pPr>
              <w:autoSpaceDN w:val="0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</w:tr>
    </w:tbl>
    <w:p>
      <w:pPr>
        <w:spacing w:line="600" w:lineRule="exact"/>
        <w:jc w:val="left"/>
        <w:rPr>
          <w:rFonts w:hint="eastAsia" w:ascii="黑体" w:hAnsi="仿宋_GB2312" w:eastAsia="黑体" w:cs="仿宋_GB2312"/>
          <w:bCs/>
          <w:sz w:val="32"/>
          <w:szCs w:val="32"/>
        </w:rPr>
      </w:pPr>
    </w:p>
    <w:p>
      <w:pPr>
        <w:spacing w:line="600" w:lineRule="exact"/>
        <w:jc w:val="left"/>
        <w:rPr>
          <w:rFonts w:hint="eastAsia" w:ascii="黑体" w:hAnsi="仿宋_GB2312" w:eastAsia="黑体" w:cs="仿宋_GB2312"/>
          <w:bCs/>
          <w:sz w:val="32"/>
          <w:szCs w:val="32"/>
        </w:rPr>
      </w:pPr>
    </w:p>
    <w:p>
      <w:pPr>
        <w:spacing w:line="600" w:lineRule="exact"/>
        <w:jc w:val="left"/>
        <w:rPr>
          <w:rFonts w:hint="eastAsia" w:ascii="黑体" w:hAnsi="仿宋_GB2312" w:eastAsia="黑体" w:cs="仿宋_GB2312"/>
          <w:bCs/>
          <w:sz w:val="32"/>
          <w:szCs w:val="32"/>
        </w:rPr>
      </w:pPr>
    </w:p>
    <w:p>
      <w:pPr>
        <w:spacing w:line="600" w:lineRule="exact"/>
        <w:jc w:val="left"/>
        <w:rPr>
          <w:rFonts w:hint="eastAsia" w:ascii="黑体" w:hAnsi="仿宋_GB2312" w:eastAsia="黑体" w:cs="仿宋_GB2312"/>
          <w:bCs/>
          <w:sz w:val="32"/>
          <w:szCs w:val="32"/>
        </w:rPr>
      </w:pPr>
    </w:p>
    <w:p>
      <w:pPr>
        <w:spacing w:line="600" w:lineRule="exact"/>
        <w:jc w:val="left"/>
        <w:rPr>
          <w:rFonts w:hint="eastAsia" w:ascii="黑体" w:hAnsi="仿宋_GB2312" w:eastAsia="黑体" w:cs="仿宋_GB2312"/>
          <w:bCs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76299"/>
    <w:rsid w:val="0CF0037B"/>
    <w:rsid w:val="1229227E"/>
    <w:rsid w:val="13E844E4"/>
    <w:rsid w:val="13EF5835"/>
    <w:rsid w:val="15D10726"/>
    <w:rsid w:val="18367C97"/>
    <w:rsid w:val="23EE5547"/>
    <w:rsid w:val="299205C0"/>
    <w:rsid w:val="2AF76E2B"/>
    <w:rsid w:val="30281A13"/>
    <w:rsid w:val="314518D8"/>
    <w:rsid w:val="32855A3C"/>
    <w:rsid w:val="36982FFA"/>
    <w:rsid w:val="382856A9"/>
    <w:rsid w:val="397742CE"/>
    <w:rsid w:val="39964C4D"/>
    <w:rsid w:val="3C7B32B0"/>
    <w:rsid w:val="41C20D2F"/>
    <w:rsid w:val="45E919AB"/>
    <w:rsid w:val="466664BE"/>
    <w:rsid w:val="4D6F5015"/>
    <w:rsid w:val="51327AF5"/>
    <w:rsid w:val="51AC7430"/>
    <w:rsid w:val="546930DE"/>
    <w:rsid w:val="55940F4D"/>
    <w:rsid w:val="636153D0"/>
    <w:rsid w:val="6498548B"/>
    <w:rsid w:val="6ECE57EB"/>
    <w:rsid w:val="73C60528"/>
    <w:rsid w:val="74D749B0"/>
    <w:rsid w:val="7B0F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2019-12-05T10:06:00Z</cp:lastPrinted>
  <dcterms:modified xsi:type="dcterms:W3CDTF">2019-12-27T09:16:20Z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