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方正小标宋简体" w:hAnsi="方正小标宋简体" w:eastAsia="方正小标宋简体" w:cs="方正小标宋简体"/>
          <w:color w:val="000000"/>
          <w:sz w:val="44"/>
          <w:szCs w:val="44"/>
        </w:rPr>
      </w:pPr>
      <w:r>
        <w:rPr>
          <w:rFonts w:hint="eastAsia" w:ascii="仿宋" w:hAnsi="仿宋" w:eastAsia="仿宋" w:cs="仿宋"/>
          <w:color w:val="000000"/>
          <w:sz w:val="28"/>
          <w:szCs w:val="28"/>
          <w:lang w:val="en-US" w:eastAsia="zh-CN"/>
        </w:rPr>
        <w:t xml:space="preserve">附件1 </w:t>
      </w:r>
      <w:r>
        <w:rPr>
          <w:rFonts w:hint="eastAsia" w:ascii="方正小标宋简体" w:hAnsi="方正小标宋简体" w:eastAsia="方正小标宋简体" w:cs="方正小标宋简体"/>
          <w:color w:val="000000"/>
          <w:sz w:val="28"/>
          <w:szCs w:val="28"/>
        </w:rPr>
        <w:t xml:space="preserve"> </w:t>
      </w:r>
      <w:r>
        <w:rPr>
          <w:rFonts w:hint="eastAsia" w:ascii="方正小标宋简体" w:hAnsi="方正小标宋简体" w:eastAsia="方正小标宋简体" w:cs="方正小标宋简体"/>
          <w:color w:val="000000"/>
          <w:sz w:val="44"/>
          <w:szCs w:val="44"/>
        </w:rPr>
        <w:t xml:space="preserve">   </w:t>
      </w:r>
    </w:p>
    <w:p>
      <w:pPr>
        <w:jc w:val="center"/>
        <w:rPr>
          <w:rFonts w:hint="eastAsia" w:ascii="方正小标宋简体" w:hAnsi="方正小标宋简体" w:eastAsia="方正小标宋简体" w:cs="方正小标宋简体"/>
          <w:color w:val="000000"/>
          <w:sz w:val="44"/>
          <w:szCs w:val="44"/>
        </w:rPr>
      </w:pPr>
      <w:r>
        <w:rPr>
          <w:rFonts w:hint="eastAsia" w:ascii="方正小标宋_GBK" w:hAnsi="方正小标宋_GBK" w:eastAsia="方正小标宋_GBK" w:cs="方正小标宋_GBK"/>
          <w:sz w:val="36"/>
          <w:szCs w:val="36"/>
          <w:lang w:val="en-US" w:eastAsia="zh-CN"/>
        </w:rPr>
        <w:t>西华县教育体育局权力清单</w:t>
      </w:r>
    </w:p>
    <w:p>
      <w:pPr>
        <w:jc w:val="center"/>
        <w:outlineLvl w:val="0"/>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一、行政权力登记表</w:t>
      </w:r>
    </w:p>
    <w:tbl>
      <w:tblPr>
        <w:tblStyle w:val="5"/>
        <w:tblW w:w="9734" w:type="dxa"/>
        <w:tblInd w:w="-1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0"/>
        <w:gridCol w:w="1123"/>
        <w:gridCol w:w="1821"/>
        <w:gridCol w:w="4029"/>
        <w:gridCol w:w="1286"/>
        <w:gridCol w:w="8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1" w:hRule="atLeast"/>
        </w:trPr>
        <w:tc>
          <w:tcPr>
            <w:tcW w:w="64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bCs/>
                <w:szCs w:val="21"/>
              </w:rPr>
            </w:pPr>
            <w:r>
              <w:rPr>
                <w:rFonts w:hint="eastAsia" w:ascii="方正黑体简体" w:hAnsi="方正黑体简体" w:eastAsia="方正黑体简体" w:cs="方正黑体简体"/>
                <w:bCs/>
                <w:szCs w:val="21"/>
              </w:rPr>
              <w:t>序号</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ind w:left="105" w:leftChars="50"/>
              <w:jc w:val="center"/>
              <w:rPr>
                <w:rFonts w:hint="eastAsia" w:ascii="方正黑体简体" w:hAnsi="方正黑体简体" w:eastAsia="方正黑体简体" w:cs="方正黑体简体"/>
                <w:bCs/>
                <w:szCs w:val="21"/>
              </w:rPr>
            </w:pPr>
            <w:r>
              <w:rPr>
                <w:rFonts w:hint="eastAsia" w:ascii="方正黑体简体" w:hAnsi="方正黑体简体" w:eastAsia="方正黑体简体" w:cs="方正黑体简体"/>
                <w:bCs/>
                <w:szCs w:val="21"/>
              </w:rPr>
              <w:t>类 别</w:t>
            </w:r>
          </w:p>
        </w:tc>
        <w:tc>
          <w:tcPr>
            <w:tcW w:w="1821"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bCs/>
                <w:szCs w:val="21"/>
              </w:rPr>
            </w:pPr>
            <w:r>
              <w:rPr>
                <w:rFonts w:hint="eastAsia" w:ascii="方正黑体简体" w:hAnsi="方正黑体简体" w:eastAsia="方正黑体简体" w:cs="方正黑体简体"/>
                <w:bCs/>
                <w:szCs w:val="21"/>
              </w:rPr>
              <w:t>职权名称</w:t>
            </w:r>
          </w:p>
        </w:tc>
        <w:tc>
          <w:tcPr>
            <w:tcW w:w="4029"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hint="eastAsia" w:ascii="方正黑体简体" w:hAnsi="方正黑体简体" w:eastAsia="方正黑体简体" w:cs="方正黑体简体"/>
                <w:bCs/>
                <w:szCs w:val="21"/>
              </w:rPr>
            </w:pPr>
            <w:r>
              <w:rPr>
                <w:rFonts w:hint="eastAsia" w:ascii="方正黑体简体" w:hAnsi="方正黑体简体" w:eastAsia="方正黑体简体" w:cs="方正黑体简体"/>
                <w:bCs/>
                <w:szCs w:val="21"/>
              </w:rPr>
              <w:t>事实依据</w:t>
            </w:r>
          </w:p>
        </w:tc>
        <w:tc>
          <w:tcPr>
            <w:tcW w:w="1286"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hint="eastAsia" w:ascii="方正黑体简体" w:hAnsi="方正黑体简体" w:eastAsia="方正黑体简体" w:cs="方正黑体简体"/>
                <w:bCs/>
                <w:szCs w:val="21"/>
              </w:rPr>
            </w:pPr>
            <w:r>
              <w:rPr>
                <w:rFonts w:hint="eastAsia" w:ascii="方正黑体简体" w:hAnsi="方正黑体简体" w:eastAsia="方正黑体简体" w:cs="方正黑体简体"/>
                <w:bCs/>
                <w:szCs w:val="21"/>
              </w:rPr>
              <w:t>承办机构</w:t>
            </w:r>
          </w:p>
        </w:tc>
        <w:tc>
          <w:tcPr>
            <w:tcW w:w="835" w:type="dxa"/>
            <w:tcBorders>
              <w:top w:val="single" w:color="000000" w:sz="4" w:space="0"/>
              <w:left w:val="single" w:color="auto" w:sz="4" w:space="0"/>
              <w:bottom w:val="single" w:color="000000"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bCs/>
                <w:szCs w:val="21"/>
              </w:rPr>
            </w:pPr>
            <w:r>
              <w:rPr>
                <w:rFonts w:hint="eastAsia" w:ascii="方正黑体简体" w:hAnsi="方正黑体简体" w:eastAsia="方正黑体简体" w:cs="方正黑体简体"/>
                <w:bCs/>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640" w:type="dxa"/>
            <w:tcBorders>
              <w:top w:val="single" w:color="000000"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一</w:t>
            </w:r>
          </w:p>
        </w:tc>
        <w:tc>
          <w:tcPr>
            <w:tcW w:w="1123" w:type="dxa"/>
            <w:tcBorders>
              <w:top w:val="single" w:color="000000" w:sz="4" w:space="0"/>
              <w:left w:val="single" w:color="000000" w:sz="4" w:space="0"/>
              <w:bottom w:val="single" w:color="auto" w:sz="4" w:space="0"/>
              <w:right w:val="single" w:color="000000" w:sz="4" w:space="0"/>
            </w:tcBorders>
            <w:noWrap w:val="0"/>
            <w:vAlign w:val="center"/>
          </w:tcPr>
          <w:p>
            <w:pPr>
              <w:spacing w:line="360" w:lineRule="exac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行政许可</w:t>
            </w:r>
          </w:p>
        </w:tc>
        <w:tc>
          <w:tcPr>
            <w:tcW w:w="1821"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共三项</w:t>
            </w:r>
          </w:p>
        </w:tc>
        <w:tc>
          <w:tcPr>
            <w:tcW w:w="4029"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rPr>
                <w:rFonts w:hint="eastAsia" w:ascii="宋体" w:hAnsi="宋体" w:cs="宋体"/>
                <w:szCs w:val="21"/>
              </w:rPr>
            </w:pPr>
          </w:p>
        </w:tc>
        <w:tc>
          <w:tcPr>
            <w:tcW w:w="1286"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hint="eastAsia" w:ascii="宋体" w:hAnsi="宋体" w:cs="宋体"/>
                <w:szCs w:val="21"/>
              </w:rPr>
            </w:pPr>
          </w:p>
        </w:tc>
        <w:tc>
          <w:tcPr>
            <w:tcW w:w="835" w:type="dxa"/>
            <w:tcBorders>
              <w:top w:val="single" w:color="000000" w:sz="4" w:space="0"/>
              <w:left w:val="single" w:color="auto" w:sz="4" w:space="0"/>
              <w:bottom w:val="single" w:color="000000"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6"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1</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rPr>
                <w:rFonts w:hint="eastAsia" w:ascii="宋体" w:hAnsi="宋体" w:cs="宋体"/>
                <w:w w:val="98"/>
                <w:szCs w:val="21"/>
              </w:rPr>
            </w:pPr>
            <w:r>
              <w:rPr>
                <w:rFonts w:hint="eastAsia" w:ascii="宋体" w:hAnsi="宋体" w:cs="宋体"/>
                <w:szCs w:val="21"/>
              </w:rPr>
              <w:t>民办幼儿园、小学(教育机构)设立审批</w:t>
            </w:r>
          </w:p>
        </w:tc>
        <w:tc>
          <w:tcPr>
            <w:tcW w:w="4029"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ind w:firstLine="420" w:firstLineChars="200"/>
              <w:rPr>
                <w:rFonts w:hint="eastAsia" w:ascii="宋体" w:hAnsi="宋体" w:cs="宋体"/>
                <w:szCs w:val="21"/>
              </w:rPr>
            </w:pPr>
            <w:r>
              <w:rPr>
                <w:rFonts w:hint="eastAsia" w:ascii="宋体" w:hAnsi="宋体" w:cs="宋体"/>
                <w:szCs w:val="21"/>
              </w:rPr>
              <w:t>民办教育促进法第二章第十一条：举办实施学历教育、学前教育、自学考试助学及其他文化教育的民办学校，由县级以上人民政府教育行政部门按照国家规定的权限审批。</w:t>
            </w:r>
          </w:p>
        </w:tc>
        <w:tc>
          <w:tcPr>
            <w:tcW w:w="1286"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行政审批股</w:t>
            </w:r>
          </w:p>
        </w:tc>
        <w:tc>
          <w:tcPr>
            <w:tcW w:w="835" w:type="dxa"/>
            <w:tcBorders>
              <w:top w:val="single" w:color="000000" w:sz="4" w:space="0"/>
              <w:left w:val="single" w:color="auto" w:sz="4" w:space="0"/>
              <w:bottom w:val="single" w:color="000000"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5" w:hRule="atLeast"/>
        </w:trPr>
        <w:tc>
          <w:tcPr>
            <w:tcW w:w="640" w:type="dxa"/>
            <w:tcBorders>
              <w:top w:val="single" w:color="auto" w:sz="4" w:space="0"/>
              <w:left w:val="single" w:color="000000" w:sz="4" w:space="0"/>
              <w:bottom w:val="single" w:color="000000"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2</w:t>
            </w:r>
          </w:p>
        </w:tc>
        <w:tc>
          <w:tcPr>
            <w:tcW w:w="1123" w:type="dxa"/>
            <w:tcBorders>
              <w:top w:val="single" w:color="auto" w:sz="4" w:space="0"/>
              <w:left w:val="single" w:color="000000" w:sz="4" w:space="0"/>
              <w:bottom w:val="single" w:color="000000"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rPr>
                <w:rFonts w:hint="eastAsia" w:ascii="宋体" w:hAnsi="宋体" w:cs="宋体"/>
                <w:szCs w:val="21"/>
              </w:rPr>
            </w:pPr>
            <w:r>
              <w:rPr>
                <w:rFonts w:hint="eastAsia" w:ascii="宋体" w:hAnsi="宋体" w:cs="宋体"/>
                <w:szCs w:val="21"/>
              </w:rPr>
              <w:t>设立气功活动站点审批</w:t>
            </w:r>
          </w:p>
        </w:tc>
        <w:tc>
          <w:tcPr>
            <w:tcW w:w="4029"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《中华人民共和国体育法》</w:t>
            </w:r>
          </w:p>
        </w:tc>
        <w:tc>
          <w:tcPr>
            <w:tcW w:w="1286"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lang w:eastAsia="zh-CN"/>
              </w:rPr>
              <w:t>社会</w:t>
            </w:r>
            <w:r>
              <w:rPr>
                <w:rFonts w:hint="eastAsia" w:ascii="宋体" w:hAnsi="宋体" w:cs="宋体"/>
                <w:szCs w:val="21"/>
              </w:rPr>
              <w:t>体育竞赛股</w:t>
            </w:r>
          </w:p>
        </w:tc>
        <w:tc>
          <w:tcPr>
            <w:tcW w:w="835" w:type="dxa"/>
            <w:tcBorders>
              <w:top w:val="single" w:color="000000" w:sz="4" w:space="0"/>
              <w:left w:val="single" w:color="auto" w:sz="4" w:space="0"/>
              <w:bottom w:val="single" w:color="000000"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atLeast"/>
        </w:trPr>
        <w:tc>
          <w:tcPr>
            <w:tcW w:w="640" w:type="dxa"/>
            <w:tcBorders>
              <w:top w:val="single" w:color="auto" w:sz="4" w:space="0"/>
              <w:left w:val="single" w:color="000000" w:sz="4" w:space="0"/>
              <w:bottom w:val="single" w:color="000000"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3</w:t>
            </w:r>
          </w:p>
        </w:tc>
        <w:tc>
          <w:tcPr>
            <w:tcW w:w="1123" w:type="dxa"/>
            <w:tcBorders>
              <w:top w:val="single" w:color="auto" w:sz="4" w:space="0"/>
              <w:left w:val="single" w:color="000000" w:sz="4" w:space="0"/>
              <w:bottom w:val="single" w:color="000000"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rPr>
                <w:rFonts w:hint="eastAsia" w:ascii="宋体" w:hAnsi="宋体" w:cs="宋体"/>
                <w:szCs w:val="21"/>
              </w:rPr>
            </w:pPr>
            <w:r>
              <w:rPr>
                <w:rFonts w:hint="eastAsia" w:ascii="宋体" w:hAnsi="宋体" w:cs="宋体"/>
                <w:szCs w:val="21"/>
              </w:rPr>
              <w:t>体育经营项目审批</w:t>
            </w:r>
          </w:p>
        </w:tc>
        <w:tc>
          <w:tcPr>
            <w:tcW w:w="4029"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《中华人民共和国体育法》</w:t>
            </w:r>
          </w:p>
        </w:tc>
        <w:tc>
          <w:tcPr>
            <w:tcW w:w="1286"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ind w:right="-46" w:rightChars="-22"/>
              <w:rPr>
                <w:rFonts w:hint="eastAsia" w:ascii="宋体" w:hAnsi="宋体" w:cs="宋体"/>
                <w:szCs w:val="21"/>
              </w:rPr>
            </w:pPr>
            <w:r>
              <w:rPr>
                <w:rFonts w:hint="eastAsia" w:ascii="宋体" w:hAnsi="宋体" w:cs="宋体"/>
                <w:szCs w:val="21"/>
                <w:lang w:eastAsia="zh-CN"/>
              </w:rPr>
              <w:t>社会</w:t>
            </w:r>
            <w:r>
              <w:rPr>
                <w:rFonts w:hint="eastAsia" w:ascii="宋体" w:hAnsi="宋体" w:cs="宋体"/>
                <w:szCs w:val="21"/>
              </w:rPr>
              <w:t>体育竞赛股</w:t>
            </w:r>
          </w:p>
        </w:tc>
        <w:tc>
          <w:tcPr>
            <w:tcW w:w="835" w:type="dxa"/>
            <w:tcBorders>
              <w:top w:val="single" w:color="000000" w:sz="4" w:space="0"/>
              <w:left w:val="single" w:color="auto" w:sz="4" w:space="0"/>
              <w:bottom w:val="single" w:color="000000"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ind w:firstLine="105" w:firstLineChars="5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二</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行政处罚</w:t>
            </w:r>
          </w:p>
        </w:tc>
        <w:tc>
          <w:tcPr>
            <w:tcW w:w="1821"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共九项</w:t>
            </w:r>
          </w:p>
        </w:tc>
        <w:tc>
          <w:tcPr>
            <w:tcW w:w="4029"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rPr>
                <w:rFonts w:hint="eastAsia" w:ascii="宋体" w:hAnsi="宋体" w:cs="宋体"/>
                <w:szCs w:val="21"/>
              </w:rPr>
            </w:pPr>
          </w:p>
        </w:tc>
        <w:tc>
          <w:tcPr>
            <w:tcW w:w="1286"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hint="eastAsia" w:ascii="宋体" w:hAnsi="宋体" w:cs="宋体"/>
                <w:szCs w:val="21"/>
              </w:rPr>
            </w:pPr>
          </w:p>
        </w:tc>
        <w:tc>
          <w:tcPr>
            <w:tcW w:w="835" w:type="dxa"/>
            <w:tcBorders>
              <w:top w:val="single" w:color="000000" w:sz="4" w:space="0"/>
              <w:left w:val="single" w:color="auto" w:sz="4" w:space="0"/>
              <w:bottom w:val="single" w:color="000000"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ind w:firstLine="105" w:firstLineChars="5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1</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对被督导单位及其工作人员拒绝、阻挠依法实施督导行为的处罚</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国家教育督导条例》（国务院第624号）第二十五条：“被督导单位及其工作人员有下列情形之一的，由教育督导机构通报批评并责令其改正；拒不改正或者情节严重的，对其负责的主管部门提出给予处分的建议；（一）拒绝、阻挠教育督导机构或者督学依法实施教育督导的；（</w:t>
            </w:r>
            <w:r>
              <w:rPr>
                <w:rFonts w:hint="eastAsia" w:ascii="宋体" w:hAnsi="宋体" w:cs="宋体"/>
                <w:szCs w:val="21"/>
                <w:lang w:val="en-US" w:eastAsia="zh-CN"/>
              </w:rPr>
              <w:t xml:space="preserve">   </w:t>
            </w:r>
            <w:r>
              <w:rPr>
                <w:rFonts w:hint="eastAsia" w:ascii="宋体" w:hAnsi="宋体" w:cs="宋体"/>
                <w:szCs w:val="21"/>
              </w:rPr>
              <w:t>二）隐瞒实情、弄虚作假，欺骗教育督导机构或者督学的；（三）未根据督导意见书进行整改并将整改情况通报教育督导机构的；（四）打击报复督学的；（五）有其他严重妨碍教育督导机构或者督学依法履行职责情形的。”</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相关股室</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ind w:firstLine="105" w:firstLineChars="5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2</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对玩忽职守、弄虚作假、滥用职权的督学或者教育督导机构工作人员的处罚</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国家教育督导条例》（国务院第624号）第二十六条：“督学或者教育督导机构工作人员有下列情形之一的，由教育督导机构给予批评教育；情节严重的，依法给予处分，对督学还应当取消任命或者聘任；构成犯罪的，依法追究刑事责任：（一）玩忽职守，贻误督导工作的；（二）弄虚作假，徇私舞弊，影响督导结果公正的；（三）滥用职权，干扰被督导单位正常工作的。”</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相关股室</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ind w:firstLine="105" w:firstLineChars="5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3</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color w:val="FF0000"/>
                <w:szCs w:val="21"/>
              </w:rPr>
            </w:pPr>
            <w:r>
              <w:rPr>
                <w:rFonts w:hint="eastAsia" w:ascii="宋体" w:hAnsi="宋体" w:cs="宋体"/>
                <w:color w:val="FF0000"/>
                <w:szCs w:val="21"/>
              </w:rPr>
              <w:t>公民不规范用语用字处罚</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国家通用语言文字法》第三章第二十六条中不按照国家通用语言文字的规范和标准使用语言文字的，公民可以提出批评和建议。有关单位应当对直接责任人员进行批评教育，拒不改正的，由有关单位作出处理《国家通用语言文字法》第三章第二十七条中违反本法规定，干涉他人学习和使用国家通用语言文字的，由有关行政管理部门责令限期改正，并予以警告。</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西华县语言文字工作委员会办公室</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ind w:firstLine="105" w:firstLineChars="5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4</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rPr>
                <w:rFonts w:hint="eastAsia" w:ascii="宋体" w:hAnsi="宋体" w:cs="宋体"/>
                <w:color w:val="FF0000"/>
                <w:szCs w:val="21"/>
              </w:rPr>
            </w:pPr>
            <w:r>
              <w:rPr>
                <w:rFonts w:hint="eastAsia" w:ascii="宋体" w:hAnsi="宋体" w:cs="宋体"/>
                <w:color w:val="FF0000"/>
                <w:szCs w:val="21"/>
              </w:rPr>
              <w:t>公共服务行业不规范用字处罚</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《国家通用语言文字法》第三章第二十六条中城市公共场所的设施和招牌、广告用字违反本法第二章有关规定的，由有关行政管理部门责令改正；拒不改正的，予以警告，并督促其限期改正。</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西华县语言文字工作委员会办公室</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28"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ind w:firstLine="105" w:firstLineChars="5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5</w:t>
            </w:r>
          </w:p>
          <w:p>
            <w:pPr>
              <w:spacing w:line="360" w:lineRule="exact"/>
              <w:ind w:firstLine="105" w:firstLineChars="50"/>
              <w:jc w:val="left"/>
              <w:rPr>
                <w:rFonts w:hint="eastAsia" w:ascii="方正黑体简体" w:hAnsi="方正黑体简体" w:eastAsia="方正黑体简体" w:cs="方正黑体简体"/>
                <w:szCs w:val="21"/>
              </w:rPr>
            </w:pP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rPr>
                <w:rFonts w:hint="eastAsia" w:ascii="宋体" w:hAnsi="宋体" w:cs="宋体"/>
                <w:szCs w:val="21"/>
              </w:rPr>
            </w:pPr>
            <w:r>
              <w:rPr>
                <w:rFonts w:hint="eastAsia" w:ascii="宋体" w:hAnsi="宋体" w:cs="宋体"/>
                <w:szCs w:val="21"/>
              </w:rPr>
              <w:t>拒绝或者妨碍学校卫生监督员实施卫生监督的处罚</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学校卫生工作条例》第三十六条“拒绝或者妨碍学校卫生监督员实施卫生监督的，由卫生行政部门对直接责任单位或者个人给予警告。情节严重的，可以建议教育行政部门给予行政处分或者处予二百元以下的罚款。”</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jc w:val="both"/>
              <w:rPr>
                <w:rFonts w:hint="eastAsia" w:ascii="宋体" w:hAnsi="宋体" w:eastAsia="宋体" w:cs="宋体"/>
                <w:szCs w:val="21"/>
                <w:lang w:eastAsia="zh-CN"/>
              </w:rPr>
            </w:pPr>
            <w:r>
              <w:rPr>
                <w:rFonts w:hint="eastAsia" w:ascii="宋体" w:hAnsi="宋体" w:cs="宋体"/>
                <w:szCs w:val="21"/>
                <w:lang w:eastAsia="zh-CN"/>
              </w:rPr>
              <w:t>体卫艺股</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ind w:firstLine="105" w:firstLineChars="5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6</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color w:val="FF0000"/>
                <w:szCs w:val="21"/>
              </w:rPr>
            </w:pPr>
            <w:r>
              <w:rPr>
                <w:rFonts w:hint="eastAsia" w:ascii="宋体" w:hAnsi="宋体" w:cs="宋体"/>
                <w:color w:val="FF0000"/>
                <w:szCs w:val="21"/>
              </w:rPr>
              <w:t>对教育系统违规违纪党员的处分</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eastAsia="宋体" w:cs="宋体"/>
                <w:szCs w:val="21"/>
                <w:lang w:val="en-US" w:eastAsia="zh-CN"/>
              </w:rPr>
            </w:pPr>
            <w:r>
              <w:rPr>
                <w:rFonts w:hint="eastAsia" w:ascii="宋体" w:hAnsi="宋体" w:cs="宋体"/>
                <w:szCs w:val="21"/>
              </w:rPr>
              <w:t>依据《中国共产党章程》、《中国共产党纪律处分条例》进行处理</w:t>
            </w:r>
            <w:r>
              <w:rPr>
                <w:rFonts w:hint="eastAsia" w:ascii="宋体" w:hAnsi="宋体" w:cs="宋体"/>
                <w:szCs w:val="21"/>
                <w:lang w:eastAsia="zh-CN"/>
              </w:rPr>
              <w:t>。</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相关股室</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ind w:firstLine="105" w:firstLineChars="5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7</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left"/>
              <w:rPr>
                <w:rFonts w:hint="eastAsia" w:ascii="宋体" w:hAnsi="宋体" w:cs="宋体"/>
                <w:color w:val="FF0000"/>
                <w:szCs w:val="21"/>
              </w:rPr>
            </w:pPr>
            <w:r>
              <w:rPr>
                <w:rFonts w:hint="eastAsia" w:ascii="宋体" w:hAnsi="宋体" w:cs="宋体"/>
                <w:color w:val="FF0000"/>
                <w:szCs w:val="21"/>
              </w:rPr>
              <w:t>对教育系统事业单位人员处分</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widowControl/>
              <w:spacing w:line="360" w:lineRule="exact"/>
              <w:rPr>
                <w:rFonts w:hint="eastAsia" w:ascii="宋体" w:hAnsi="宋体" w:cs="宋体"/>
                <w:color w:val="000000"/>
                <w:szCs w:val="21"/>
              </w:rPr>
            </w:pPr>
            <w:r>
              <w:rPr>
                <w:rFonts w:hint="eastAsia" w:ascii="宋体" w:hAnsi="宋体" w:cs="宋体"/>
                <w:color w:val="333333"/>
                <w:szCs w:val="21"/>
                <w:shd w:val="clear" w:color="auto" w:fill="FFFFFF"/>
              </w:rPr>
              <w:t>依据</w:t>
            </w:r>
            <w:r>
              <w:rPr>
                <w:rFonts w:hint="eastAsia" w:ascii="宋体" w:hAnsi="宋体" w:cs="宋体"/>
                <w:color w:val="000000"/>
                <w:kern w:val="0"/>
                <w:szCs w:val="21"/>
              </w:rPr>
              <w:t>中华人民共和国人力资源和社会保障部、中华人民共和国监察部第18号《事业单位工作人员处分暂行规定》进行处理</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相关股室</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ind w:firstLine="105" w:firstLineChars="5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8</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color w:val="FF0000"/>
                <w:szCs w:val="21"/>
              </w:rPr>
            </w:pPr>
            <w:r>
              <w:rPr>
                <w:rFonts w:hint="eastAsia" w:ascii="宋体" w:hAnsi="宋体" w:cs="宋体"/>
                <w:color w:val="FF0000"/>
                <w:szCs w:val="21"/>
              </w:rPr>
              <w:t>对中小学教师违反职业道德处分</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b/>
                <w:szCs w:val="21"/>
              </w:rPr>
            </w:pPr>
            <w:r>
              <w:rPr>
                <w:rStyle w:val="7"/>
                <w:rFonts w:hint="eastAsia" w:ascii="宋体" w:hAnsi="宋体" w:cs="宋体"/>
                <w:b w:val="0"/>
                <w:bCs w:val="0"/>
                <w:szCs w:val="21"/>
              </w:rPr>
              <w:t>依据教育部《中小学教师违反职业道德行为处理办法》和周教{2014}141号《周口市中小学教师违反职业道德行为处分规定》进行处理</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相关股室</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9</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color w:val="FF0000"/>
                <w:szCs w:val="21"/>
              </w:rPr>
              <w:t>对教师违规收受学生及家长礼金等行为的处分</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color w:val="333333"/>
                <w:szCs w:val="21"/>
                <w:shd w:val="clear" w:color="auto" w:fill="FFFFFF"/>
              </w:rPr>
              <w:t>依据教育部《严禁教师违规收受学生及家长礼金等行为的规定》进行处理。明确的6条禁令分别是:一是严禁以任何方式索要或接受学生及家长赠送的礼品礼金、有价证券和支付凭证等财物；二是严禁参加由学生及家长安排的可能影响考试、考核评价的宴请；三是严禁参加由学生及家长安排支付费用的旅游、健身休闲等娱乐活动；四是严禁让学生及家长支付或报销应由教师个人或亲属承担的费用；五是严禁通过向学生推销图书、报刊、生活用品、社会保险等商业服务获取回扣；六是严禁利用职务之便谋取不正当利益的其他行为。</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相关股室</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640" w:type="dxa"/>
            <w:tcBorders>
              <w:top w:val="single" w:color="000000"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三</w:t>
            </w:r>
          </w:p>
        </w:tc>
        <w:tc>
          <w:tcPr>
            <w:tcW w:w="1123" w:type="dxa"/>
            <w:tcBorders>
              <w:top w:val="single" w:color="000000"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行政强制</w:t>
            </w:r>
          </w:p>
        </w:tc>
        <w:tc>
          <w:tcPr>
            <w:tcW w:w="1821" w:type="dxa"/>
            <w:tcBorders>
              <w:top w:val="single" w:color="000000"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共五项</w:t>
            </w:r>
          </w:p>
        </w:tc>
        <w:tc>
          <w:tcPr>
            <w:tcW w:w="4029" w:type="dxa"/>
            <w:tcBorders>
              <w:top w:val="single" w:color="000000"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p>
        </w:tc>
        <w:tc>
          <w:tcPr>
            <w:tcW w:w="1286" w:type="dxa"/>
            <w:tcBorders>
              <w:top w:val="single" w:color="000000"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cs="宋体"/>
                <w:szCs w:val="21"/>
              </w:rPr>
            </w:pPr>
          </w:p>
        </w:tc>
        <w:tc>
          <w:tcPr>
            <w:tcW w:w="835" w:type="dxa"/>
            <w:tcBorders>
              <w:top w:val="single" w:color="000000"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2"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1</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rPr>
                <w:rFonts w:hint="eastAsia" w:ascii="宋体" w:hAnsi="宋体" w:cs="宋体"/>
                <w:szCs w:val="21"/>
              </w:rPr>
            </w:pPr>
            <w:r>
              <w:rPr>
                <w:rFonts w:hint="eastAsia" w:ascii="宋体" w:hAnsi="宋体" w:cs="宋体"/>
                <w:szCs w:val="21"/>
              </w:rPr>
              <w:t>签订安全工作目标责任书</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bCs/>
                <w:kern w:val="0"/>
                <w:szCs w:val="21"/>
              </w:rPr>
              <w:t>《教育部办公厅关于印发〈中小学校岗位安全工作指南〉的通知》（教基一厅〔2013〕4号）。“</w:t>
            </w:r>
            <w:r>
              <w:rPr>
                <w:rFonts w:hint="eastAsia" w:ascii="宋体" w:hAnsi="宋体" w:cs="宋体"/>
                <w:kern w:val="0"/>
                <w:szCs w:val="21"/>
              </w:rPr>
              <w:t>制定年度学校安全工作计划，拟定安全目标管理责任书。”</w:t>
            </w:r>
            <w:r>
              <w:rPr>
                <w:rFonts w:hint="eastAsia" w:ascii="宋体" w:hAnsi="宋体" w:cs="宋体"/>
                <w:bCs/>
                <w:kern w:val="0"/>
                <w:szCs w:val="21"/>
              </w:rPr>
              <w:t xml:space="preserve"> </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安全办</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2</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rPr>
                <w:rFonts w:hint="eastAsia" w:ascii="宋体" w:hAnsi="宋体" w:cs="宋体"/>
                <w:szCs w:val="21"/>
              </w:rPr>
            </w:pPr>
            <w:r>
              <w:rPr>
                <w:rFonts w:hint="eastAsia" w:ascii="宋体" w:hAnsi="宋体" w:cs="宋体"/>
                <w:szCs w:val="21"/>
              </w:rPr>
              <w:t>学校“三防”设施设备不足的强制其添加</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ind w:firstLine="420" w:firstLineChars="200"/>
              <w:rPr>
                <w:rFonts w:hint="eastAsia" w:ascii="宋体" w:hAnsi="宋体" w:cs="宋体"/>
                <w:szCs w:val="21"/>
              </w:rPr>
            </w:pPr>
            <w:r>
              <w:rPr>
                <w:rFonts w:hint="eastAsia" w:ascii="宋体" w:hAnsi="宋体" w:cs="宋体"/>
                <w:szCs w:val="21"/>
              </w:rPr>
              <w:t>《中央社会治安综合治理委员会办公室教育部公安部〈</w:t>
            </w:r>
            <w:r>
              <w:rPr>
                <w:rFonts w:hint="eastAsia" w:ascii="宋体" w:hAnsi="宋体" w:cs="宋体"/>
                <w:bCs/>
                <w:kern w:val="0"/>
                <w:szCs w:val="21"/>
              </w:rPr>
              <w:t>关于进一步加强学校幼儿园安全防范工作建立健全长效工作机制的意见〉》（公通字[2010]38号）。“</w:t>
            </w:r>
            <w:r>
              <w:rPr>
                <w:rFonts w:hint="eastAsia" w:ascii="宋体" w:hAnsi="宋体" w:cs="宋体"/>
                <w:szCs w:val="21"/>
              </w:rPr>
              <w:t>学校、幼儿园内部安全管理制度更加完善，人防、物防、技防设施建设有效推进。新建、扩建、改建学校、幼儿园时，要将安全设施纳入建设规划，做到同步设计、同步建设、同步使用。”</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安全办</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6"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3</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000000" w:sz="4" w:space="0"/>
              <w:right w:val="single" w:color="000000" w:sz="4" w:space="0"/>
            </w:tcBorders>
            <w:noWrap w:val="0"/>
            <w:vAlign w:val="center"/>
          </w:tcPr>
          <w:p>
            <w:pPr>
              <w:spacing w:line="320" w:lineRule="exact"/>
              <w:rPr>
                <w:rFonts w:hint="eastAsia" w:ascii="宋体" w:hAnsi="宋体" w:cs="宋体"/>
                <w:szCs w:val="21"/>
              </w:rPr>
            </w:pPr>
            <w:r>
              <w:rPr>
                <w:rFonts w:hint="eastAsia" w:ascii="宋体" w:hAnsi="宋体" w:cs="宋体"/>
                <w:szCs w:val="21"/>
              </w:rPr>
              <w:t>学校食堂设施设备与管理存在严重安全隐患，强制令其停业整顿或解除合同</w:t>
            </w:r>
          </w:p>
        </w:tc>
        <w:tc>
          <w:tcPr>
            <w:tcW w:w="4029" w:type="dxa"/>
            <w:tcBorders>
              <w:top w:val="single" w:color="auto" w:sz="4" w:space="0"/>
              <w:left w:val="single" w:color="000000" w:sz="4" w:space="0"/>
              <w:bottom w:val="single" w:color="000000"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《学校食堂与学生集体卫生管理规定》第三十二条：“学校应建立食物中毒或者其他食源性疾患等突发事件的应急处理机制。发生食物中毒或疑似食物中毒事故后，应立即停止生产经营活动。”</w:t>
            </w:r>
          </w:p>
        </w:tc>
        <w:tc>
          <w:tcPr>
            <w:tcW w:w="1286" w:type="dxa"/>
            <w:tcBorders>
              <w:top w:val="single" w:color="auto" w:sz="4" w:space="0"/>
              <w:left w:val="single" w:color="000000" w:sz="4" w:space="0"/>
              <w:bottom w:val="single" w:color="000000" w:sz="4" w:space="0"/>
              <w:right w:val="single" w:color="auto"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安全办</w:t>
            </w:r>
          </w:p>
        </w:tc>
        <w:tc>
          <w:tcPr>
            <w:tcW w:w="835" w:type="dxa"/>
            <w:tcBorders>
              <w:top w:val="single" w:color="auto" w:sz="4" w:space="0"/>
              <w:left w:val="single" w:color="auto" w:sz="4" w:space="0"/>
              <w:bottom w:val="single" w:color="000000"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8"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4</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000000" w:sz="4" w:space="0"/>
              <w:right w:val="single" w:color="000000" w:sz="4" w:space="0"/>
            </w:tcBorders>
            <w:noWrap w:val="0"/>
            <w:vAlign w:val="center"/>
          </w:tcPr>
          <w:p>
            <w:pPr>
              <w:spacing w:line="320" w:lineRule="exact"/>
              <w:rPr>
                <w:rFonts w:hint="eastAsia" w:ascii="宋体" w:hAnsi="宋体" w:cs="宋体"/>
                <w:szCs w:val="21"/>
              </w:rPr>
            </w:pPr>
            <w:r>
              <w:rPr>
                <w:rFonts w:hint="eastAsia" w:ascii="宋体" w:hAnsi="宋体" w:cs="宋体"/>
                <w:szCs w:val="21"/>
              </w:rPr>
              <w:t>签订治理乱收费责任书</w:t>
            </w:r>
          </w:p>
        </w:tc>
        <w:tc>
          <w:tcPr>
            <w:tcW w:w="4029" w:type="dxa"/>
            <w:tcBorders>
              <w:top w:val="single" w:color="auto" w:sz="4" w:space="0"/>
              <w:left w:val="single" w:color="000000" w:sz="4" w:space="0"/>
              <w:bottom w:val="single" w:color="000000"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 xml:space="preserve">   《教育部等四部门关于2016年规范教育收费治理教育乱收费工作的实施意见》（教办[2016]4号）</w:t>
            </w:r>
          </w:p>
        </w:tc>
        <w:tc>
          <w:tcPr>
            <w:tcW w:w="1286" w:type="dxa"/>
            <w:tcBorders>
              <w:top w:val="single" w:color="auto" w:sz="4" w:space="0"/>
              <w:left w:val="single" w:color="000000" w:sz="4" w:space="0"/>
              <w:bottom w:val="single" w:color="000000"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相关股室</w:t>
            </w:r>
          </w:p>
        </w:tc>
        <w:tc>
          <w:tcPr>
            <w:tcW w:w="835" w:type="dxa"/>
            <w:tcBorders>
              <w:top w:val="single" w:color="auto" w:sz="4" w:space="0"/>
              <w:left w:val="single" w:color="auto" w:sz="4" w:space="0"/>
              <w:bottom w:val="single" w:color="000000"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1"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5</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000000" w:sz="4" w:space="0"/>
              <w:right w:val="single" w:color="000000" w:sz="4" w:space="0"/>
            </w:tcBorders>
            <w:noWrap w:val="0"/>
            <w:vAlign w:val="center"/>
          </w:tcPr>
          <w:p>
            <w:pPr>
              <w:spacing w:line="320" w:lineRule="exact"/>
              <w:rPr>
                <w:rFonts w:hint="eastAsia" w:ascii="宋体" w:hAnsi="宋体" w:cs="宋体"/>
                <w:szCs w:val="21"/>
              </w:rPr>
            </w:pPr>
            <w:r>
              <w:rPr>
                <w:rFonts w:hint="eastAsia" w:ascii="宋体" w:hAnsi="宋体" w:cs="宋体"/>
                <w:szCs w:val="21"/>
              </w:rPr>
              <w:t>教育系统内部审计</w:t>
            </w:r>
          </w:p>
        </w:tc>
        <w:tc>
          <w:tcPr>
            <w:tcW w:w="4029" w:type="dxa"/>
            <w:tcBorders>
              <w:top w:val="single" w:color="auto" w:sz="4" w:space="0"/>
              <w:left w:val="single" w:color="000000" w:sz="4" w:space="0"/>
              <w:bottom w:val="single" w:color="000000"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《教育系统内部审计工作规定》（教育部令第17号）（2004年4月）</w:t>
            </w:r>
          </w:p>
        </w:tc>
        <w:tc>
          <w:tcPr>
            <w:tcW w:w="1286" w:type="dxa"/>
            <w:tcBorders>
              <w:top w:val="single" w:color="auto" w:sz="4" w:space="0"/>
              <w:left w:val="single" w:color="000000" w:sz="4" w:space="0"/>
              <w:bottom w:val="single" w:color="000000"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相关股室</w:t>
            </w:r>
          </w:p>
        </w:tc>
        <w:tc>
          <w:tcPr>
            <w:tcW w:w="835" w:type="dxa"/>
            <w:tcBorders>
              <w:top w:val="single" w:color="auto" w:sz="4" w:space="0"/>
              <w:left w:val="single" w:color="auto" w:sz="4" w:space="0"/>
              <w:bottom w:val="single" w:color="000000"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ind w:firstLine="210" w:firstLineChars="10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四</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行 政</w:t>
            </w:r>
          </w:p>
          <w:p>
            <w:pPr>
              <w:widowControl/>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征 收</w:t>
            </w:r>
          </w:p>
        </w:tc>
        <w:tc>
          <w:tcPr>
            <w:tcW w:w="1821" w:type="dxa"/>
            <w:tcBorders>
              <w:top w:val="single" w:color="000000"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c>
          <w:tcPr>
            <w:tcW w:w="4029" w:type="dxa"/>
            <w:tcBorders>
              <w:top w:val="single" w:color="000000"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p>
        </w:tc>
        <w:tc>
          <w:tcPr>
            <w:tcW w:w="1286" w:type="dxa"/>
            <w:tcBorders>
              <w:top w:val="single" w:color="000000"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cs="宋体"/>
                <w:szCs w:val="21"/>
              </w:rPr>
            </w:pPr>
          </w:p>
        </w:tc>
        <w:tc>
          <w:tcPr>
            <w:tcW w:w="835" w:type="dxa"/>
            <w:tcBorders>
              <w:top w:val="single" w:color="000000"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ind w:firstLine="210" w:firstLineChars="10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五</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行 政</w:t>
            </w:r>
          </w:p>
          <w:p>
            <w:pPr>
              <w:widowControl/>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给 付</w:t>
            </w: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共十一项</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cs="宋体"/>
                <w:szCs w:val="21"/>
              </w:rPr>
            </w:pP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pStyle w:val="9"/>
              <w:spacing w:line="360" w:lineRule="atLeast"/>
              <w:ind w:firstLine="280"/>
              <w:jc w:val="left"/>
              <w:rPr>
                <w:rFonts w:hint="eastAsia" w:ascii="方正黑体简体" w:hAnsi="方正黑体简体" w:eastAsia="方正黑体简体" w:cs="方正黑体简体"/>
              </w:rPr>
            </w:pPr>
            <w:r>
              <w:rPr>
                <w:rFonts w:hint="eastAsia" w:ascii="方正黑体简体" w:hAnsi="方正黑体简体" w:eastAsia="方正黑体简体" w:cs="方正黑体简体"/>
              </w:rPr>
              <w:t>1</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pStyle w:val="9"/>
              <w:spacing w:line="360" w:lineRule="atLeast"/>
              <w:jc w:val="left"/>
              <w:rPr>
                <w:rFonts w:hint="eastAsia" w:ascii="方正黑体简体" w:hAnsi="方正黑体简体" w:eastAsia="方正黑体简体" w:cs="方正黑体简体"/>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pStyle w:val="9"/>
              <w:spacing w:line="420" w:lineRule="exact"/>
              <w:rPr>
                <w:rFonts w:hint="eastAsia" w:ascii="宋体" w:hAnsi="宋体"/>
                <w:spacing w:val="-20"/>
              </w:rPr>
            </w:pPr>
            <w:r>
              <w:rPr>
                <w:rFonts w:hint="eastAsia" w:ascii="宋体" w:hAnsi="宋体"/>
                <w:spacing w:val="-20"/>
              </w:rPr>
              <w:t>生源地信用助学贷款</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pStyle w:val="9"/>
              <w:spacing w:line="440" w:lineRule="exact"/>
              <w:rPr>
                <w:rFonts w:hint="eastAsia" w:ascii="宋体" w:hAnsi="宋体"/>
                <w:spacing w:val="-20"/>
              </w:rPr>
            </w:pPr>
            <w:r>
              <w:rPr>
                <w:rFonts w:hint="eastAsia" w:ascii="宋体" w:hAnsi="宋体"/>
                <w:spacing w:val="-20"/>
              </w:rPr>
              <w:t>《河南省人民政府办公厅关于转发全省生源地信用助学贷款工作实施意见的通知》（豫政办[2012]165号）。</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pStyle w:val="9"/>
              <w:spacing w:line="420" w:lineRule="exact"/>
              <w:rPr>
                <w:rFonts w:hint="eastAsia" w:ascii="宋体" w:hAnsi="宋体"/>
                <w:spacing w:val="-20"/>
              </w:rPr>
            </w:pPr>
            <w:r>
              <w:rPr>
                <w:rFonts w:hint="eastAsia" w:ascii="宋体" w:hAnsi="宋体"/>
                <w:spacing w:val="-20"/>
              </w:rPr>
              <w:t>学生资助管理中心</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pStyle w:val="9"/>
              <w:spacing w:line="360" w:lineRule="atLeast"/>
              <w:ind w:firstLine="280"/>
              <w:jc w:val="left"/>
              <w:rPr>
                <w:rFonts w:hint="eastAsia"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pStyle w:val="9"/>
              <w:spacing w:line="360" w:lineRule="atLeast"/>
              <w:ind w:firstLine="280"/>
              <w:jc w:val="left"/>
              <w:rPr>
                <w:rFonts w:hint="eastAsia" w:ascii="方正黑体简体" w:hAnsi="方正黑体简体" w:eastAsia="方正黑体简体" w:cs="方正黑体简体"/>
              </w:rPr>
            </w:pPr>
            <w:r>
              <w:rPr>
                <w:rFonts w:hint="eastAsia" w:ascii="方正黑体简体" w:hAnsi="方正黑体简体" w:eastAsia="方正黑体简体" w:cs="方正黑体简体"/>
              </w:rPr>
              <w:t>2</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pStyle w:val="9"/>
              <w:spacing w:line="360" w:lineRule="atLeast"/>
              <w:jc w:val="left"/>
              <w:rPr>
                <w:rFonts w:hint="eastAsia" w:ascii="方正黑体简体" w:hAnsi="方正黑体简体" w:eastAsia="方正黑体简体" w:cs="方正黑体简体"/>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pStyle w:val="9"/>
              <w:spacing w:line="420" w:lineRule="exact"/>
              <w:rPr>
                <w:rFonts w:hint="eastAsia" w:ascii="宋体" w:hAnsi="宋体"/>
                <w:spacing w:val="-20"/>
              </w:rPr>
            </w:pPr>
            <w:r>
              <w:rPr>
                <w:rFonts w:hint="eastAsia" w:ascii="宋体" w:hAnsi="宋体"/>
                <w:spacing w:val="-20"/>
              </w:rPr>
              <w:t>高校毕业生下基层代偿</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pStyle w:val="9"/>
              <w:spacing w:line="420" w:lineRule="exact"/>
              <w:rPr>
                <w:rFonts w:hint="eastAsia" w:ascii="宋体" w:hAnsi="宋体"/>
                <w:spacing w:val="-20"/>
              </w:rPr>
            </w:pPr>
            <w:r>
              <w:rPr>
                <w:rFonts w:hint="eastAsia" w:ascii="宋体" w:hAnsi="宋体"/>
                <w:spacing w:val="-20"/>
              </w:rPr>
              <w:t>《河南省高等学校毕业生国家助学贷款代偿暂行办法》（豫财教[2011]316号）。</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pStyle w:val="9"/>
              <w:spacing w:line="420" w:lineRule="exact"/>
              <w:rPr>
                <w:rFonts w:hint="eastAsia" w:ascii="宋体" w:hAnsi="宋体"/>
                <w:spacing w:val="-20"/>
              </w:rPr>
            </w:pPr>
            <w:r>
              <w:rPr>
                <w:rFonts w:hint="eastAsia" w:ascii="宋体" w:hAnsi="宋体"/>
                <w:spacing w:val="-20"/>
              </w:rPr>
              <w:t>学生资助管理中心</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pStyle w:val="9"/>
              <w:spacing w:line="360" w:lineRule="atLeast"/>
              <w:ind w:firstLine="280"/>
              <w:jc w:val="left"/>
              <w:rPr>
                <w:rFonts w:hint="eastAsia"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pStyle w:val="9"/>
              <w:spacing w:line="360" w:lineRule="atLeast"/>
              <w:ind w:firstLine="280"/>
              <w:jc w:val="left"/>
              <w:rPr>
                <w:rFonts w:hint="eastAsia" w:ascii="方正黑体简体" w:hAnsi="方正黑体简体" w:eastAsia="方正黑体简体" w:cs="方正黑体简体"/>
              </w:rPr>
            </w:pPr>
            <w:r>
              <w:rPr>
                <w:rFonts w:hint="eastAsia" w:ascii="方正黑体简体" w:hAnsi="方正黑体简体" w:eastAsia="方正黑体简体" w:cs="方正黑体简体"/>
              </w:rPr>
              <w:t>3</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pStyle w:val="9"/>
              <w:spacing w:line="360" w:lineRule="atLeast"/>
              <w:jc w:val="left"/>
              <w:rPr>
                <w:rFonts w:hint="eastAsia" w:ascii="方正黑体简体" w:hAnsi="方正黑体简体" w:eastAsia="方正黑体简体" w:cs="方正黑体简体"/>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pStyle w:val="9"/>
              <w:spacing w:line="460" w:lineRule="exact"/>
              <w:jc w:val="center"/>
              <w:rPr>
                <w:rFonts w:hint="eastAsia" w:ascii="宋体" w:hAnsi="宋体"/>
                <w:spacing w:val="-20"/>
              </w:rPr>
            </w:pPr>
            <w:r>
              <w:rPr>
                <w:rFonts w:hint="eastAsia" w:ascii="宋体" w:hAnsi="宋体"/>
                <w:spacing w:val="-20"/>
              </w:rPr>
              <w:t>中职资助</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pStyle w:val="9"/>
              <w:spacing w:line="460" w:lineRule="exact"/>
              <w:rPr>
                <w:rFonts w:hint="eastAsia" w:ascii="宋体" w:hAnsi="宋体"/>
                <w:spacing w:val="-20"/>
              </w:rPr>
            </w:pPr>
            <w:bookmarkStart w:id="0" w:name="发文标题"/>
            <w:r>
              <w:rPr>
                <w:rFonts w:hint="eastAsia" w:ascii="宋体" w:hAnsi="宋体"/>
                <w:spacing w:val="-20"/>
              </w:rPr>
              <w:t>《河南省财政厅</w:t>
            </w:r>
            <w:bookmarkEnd w:id="0"/>
            <w:r>
              <w:rPr>
                <w:rFonts w:hint="eastAsia" w:ascii="宋体" w:hAnsi="宋体"/>
                <w:spacing w:val="-20"/>
              </w:rPr>
              <w:t xml:space="preserve"> 河南省发展改革委 河南省教育厅 河南省人力资源社会保障厅 关于扩大中等职业教育免学费政策范围 进一步完善国家助学金制度的意见》</w:t>
            </w:r>
            <w:bookmarkStart w:id="1" w:name="发文字号"/>
            <w:r>
              <w:rPr>
                <w:rFonts w:hint="eastAsia" w:ascii="宋体" w:hAnsi="宋体"/>
                <w:spacing w:val="-20"/>
              </w:rPr>
              <w:t>（</w:t>
            </w:r>
            <w:bookmarkEnd w:id="1"/>
            <w:r>
              <w:rPr>
                <w:rFonts w:hint="eastAsia" w:ascii="宋体" w:hAnsi="宋体"/>
                <w:spacing w:val="-20"/>
              </w:rPr>
              <w:t>豫财教〔2012〕360号）</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pStyle w:val="9"/>
              <w:spacing w:line="460" w:lineRule="exact"/>
              <w:rPr>
                <w:rFonts w:hint="eastAsia" w:ascii="宋体" w:hAnsi="宋体"/>
                <w:spacing w:val="-20"/>
              </w:rPr>
            </w:pPr>
            <w:r>
              <w:rPr>
                <w:rFonts w:hint="eastAsia" w:ascii="宋体" w:hAnsi="宋体"/>
                <w:spacing w:val="-20"/>
              </w:rPr>
              <w:t>学生资助管理中心</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pStyle w:val="9"/>
              <w:spacing w:line="360" w:lineRule="atLeast"/>
              <w:ind w:firstLine="280"/>
              <w:jc w:val="left"/>
              <w:rPr>
                <w:rFonts w:hint="eastAsia"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3"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pStyle w:val="9"/>
              <w:spacing w:line="360" w:lineRule="atLeast"/>
              <w:ind w:firstLine="280"/>
              <w:jc w:val="left"/>
              <w:rPr>
                <w:rFonts w:hint="eastAsia" w:ascii="方正黑体简体" w:hAnsi="方正黑体简体" w:eastAsia="方正黑体简体" w:cs="方正黑体简体"/>
              </w:rPr>
            </w:pPr>
            <w:r>
              <w:rPr>
                <w:rFonts w:hint="eastAsia" w:ascii="方正黑体简体" w:hAnsi="方正黑体简体" w:eastAsia="方正黑体简体" w:cs="方正黑体简体"/>
              </w:rPr>
              <w:t>4</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pStyle w:val="9"/>
              <w:spacing w:line="360" w:lineRule="atLeast"/>
              <w:jc w:val="left"/>
              <w:rPr>
                <w:rFonts w:hint="eastAsia" w:ascii="方正黑体简体" w:hAnsi="方正黑体简体" w:eastAsia="方正黑体简体" w:cs="方正黑体简体"/>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pStyle w:val="9"/>
              <w:spacing w:line="460" w:lineRule="exact"/>
              <w:rPr>
                <w:rFonts w:hint="eastAsia" w:ascii="宋体" w:hAnsi="宋体"/>
                <w:spacing w:val="-20"/>
              </w:rPr>
            </w:pPr>
            <w:r>
              <w:rPr>
                <w:rFonts w:hint="eastAsia" w:ascii="宋体" w:hAnsi="宋体"/>
                <w:spacing w:val="-20"/>
              </w:rPr>
              <w:t>普通高中国家助学金</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pStyle w:val="9"/>
              <w:spacing w:line="460" w:lineRule="exact"/>
              <w:rPr>
                <w:rFonts w:hint="eastAsia" w:ascii="宋体" w:hAnsi="宋体"/>
                <w:spacing w:val="-20"/>
              </w:rPr>
            </w:pPr>
            <w:r>
              <w:rPr>
                <w:rFonts w:hint="eastAsia" w:ascii="宋体" w:hAnsi="宋体"/>
                <w:spacing w:val="-20"/>
              </w:rPr>
              <w:t>河南省财政厅 河南省教育厅关于印发《河南省普通高中国家助学金管理暂行办法》的通知（豫财教[2010]399号）</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pStyle w:val="9"/>
              <w:spacing w:line="460" w:lineRule="exact"/>
              <w:rPr>
                <w:rFonts w:hint="eastAsia" w:ascii="宋体" w:hAnsi="宋体"/>
                <w:spacing w:val="-20"/>
              </w:rPr>
            </w:pPr>
            <w:r>
              <w:rPr>
                <w:rFonts w:hint="eastAsia" w:ascii="宋体" w:hAnsi="宋体"/>
                <w:spacing w:val="-20"/>
              </w:rPr>
              <w:t>学生资助管理中心</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pStyle w:val="9"/>
              <w:spacing w:line="360" w:lineRule="atLeast"/>
              <w:ind w:firstLine="280"/>
              <w:jc w:val="left"/>
              <w:rPr>
                <w:rFonts w:hint="eastAsia"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0"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pStyle w:val="9"/>
              <w:spacing w:line="360" w:lineRule="atLeast"/>
              <w:ind w:firstLine="280"/>
              <w:jc w:val="left"/>
              <w:rPr>
                <w:rFonts w:hint="eastAsia" w:ascii="方正黑体简体" w:hAnsi="方正黑体简体" w:eastAsia="方正黑体简体" w:cs="方正黑体简体"/>
              </w:rPr>
            </w:pPr>
            <w:r>
              <w:rPr>
                <w:rFonts w:hint="eastAsia" w:ascii="方正黑体简体" w:hAnsi="方正黑体简体" w:eastAsia="方正黑体简体" w:cs="方正黑体简体"/>
              </w:rPr>
              <w:t>5</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pStyle w:val="9"/>
              <w:spacing w:line="360" w:lineRule="atLeast"/>
              <w:jc w:val="left"/>
              <w:rPr>
                <w:rFonts w:hint="eastAsia" w:ascii="方正黑体简体" w:hAnsi="方正黑体简体" w:eastAsia="方正黑体简体" w:cs="方正黑体简体"/>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pStyle w:val="9"/>
              <w:spacing w:line="460" w:lineRule="exact"/>
              <w:rPr>
                <w:rFonts w:hint="eastAsia" w:ascii="宋体" w:hAnsi="宋体"/>
                <w:spacing w:val="-20"/>
              </w:rPr>
            </w:pPr>
            <w:r>
              <w:rPr>
                <w:rFonts w:hint="eastAsia" w:ascii="宋体" w:hAnsi="宋体"/>
                <w:spacing w:val="-20"/>
              </w:rPr>
              <w:t>义务教育阶段寄宿生生活补贴</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pStyle w:val="9"/>
              <w:spacing w:line="460" w:lineRule="exact"/>
              <w:rPr>
                <w:rFonts w:hint="eastAsia" w:ascii="宋体" w:hAnsi="宋体"/>
                <w:spacing w:val="-20"/>
              </w:rPr>
            </w:pPr>
            <w:r>
              <w:rPr>
                <w:rFonts w:hint="eastAsia" w:ascii="宋体" w:hAnsi="宋体"/>
                <w:kern w:val="2"/>
              </w:rPr>
              <w:t>《河南省农村义务教育阶段家庭经济困难寄宿生生活费补助管理暂行办法》（豫财政[2008]151号）</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pStyle w:val="9"/>
              <w:spacing w:line="460" w:lineRule="exact"/>
              <w:rPr>
                <w:rFonts w:hint="eastAsia" w:ascii="宋体" w:hAnsi="宋体"/>
                <w:spacing w:val="-20"/>
              </w:rPr>
            </w:pPr>
            <w:r>
              <w:rPr>
                <w:rFonts w:hint="eastAsia" w:ascii="宋体" w:hAnsi="宋体"/>
                <w:spacing w:val="-20"/>
              </w:rPr>
              <w:t>学生资助管理中心</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pStyle w:val="9"/>
              <w:spacing w:line="360" w:lineRule="atLeast"/>
              <w:ind w:firstLine="280"/>
              <w:jc w:val="left"/>
              <w:rPr>
                <w:rFonts w:hint="eastAsia"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pStyle w:val="9"/>
              <w:spacing w:line="360" w:lineRule="atLeast"/>
              <w:ind w:firstLine="280"/>
              <w:jc w:val="left"/>
              <w:rPr>
                <w:rFonts w:hint="eastAsia" w:ascii="方正黑体简体" w:hAnsi="方正黑体简体" w:eastAsia="方正黑体简体" w:cs="方正黑体简体"/>
              </w:rPr>
            </w:pPr>
            <w:r>
              <w:rPr>
                <w:rFonts w:hint="eastAsia" w:ascii="方正黑体简体" w:hAnsi="方正黑体简体" w:eastAsia="方正黑体简体" w:cs="方正黑体简体"/>
              </w:rPr>
              <w:t>6</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pStyle w:val="9"/>
              <w:spacing w:line="360" w:lineRule="atLeast"/>
              <w:jc w:val="left"/>
              <w:rPr>
                <w:rFonts w:hint="eastAsia" w:ascii="方正黑体简体" w:hAnsi="方正黑体简体" w:eastAsia="方正黑体简体" w:cs="方正黑体简体"/>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pStyle w:val="9"/>
              <w:spacing w:line="460" w:lineRule="exact"/>
              <w:jc w:val="center"/>
              <w:rPr>
                <w:rFonts w:hint="eastAsia" w:ascii="宋体" w:hAnsi="宋体"/>
                <w:spacing w:val="-20"/>
              </w:rPr>
            </w:pPr>
            <w:r>
              <w:rPr>
                <w:rFonts w:hint="eastAsia" w:ascii="宋体" w:hAnsi="宋体"/>
                <w:spacing w:val="-20"/>
              </w:rPr>
              <w:t>学前教育资助</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pStyle w:val="9"/>
              <w:spacing w:line="460" w:lineRule="exact"/>
              <w:rPr>
                <w:rFonts w:hint="eastAsia" w:ascii="宋体" w:hAnsi="宋体"/>
                <w:spacing w:val="-20"/>
              </w:rPr>
            </w:pPr>
            <w:r>
              <w:rPr>
                <w:rFonts w:hint="eastAsia" w:ascii="宋体" w:hAnsi="宋体"/>
                <w:spacing w:val="-20"/>
              </w:rPr>
              <w:t>《河南省教育厅 河南省财政厅关于加快落实学前教育资助政策的通知》（教资助〔2012〕634号）</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pStyle w:val="9"/>
              <w:spacing w:line="460" w:lineRule="exact"/>
              <w:rPr>
                <w:rFonts w:hint="eastAsia" w:ascii="宋体" w:hAnsi="宋体"/>
                <w:spacing w:val="-20"/>
              </w:rPr>
            </w:pPr>
            <w:r>
              <w:rPr>
                <w:rFonts w:hint="eastAsia" w:ascii="宋体" w:hAnsi="宋体"/>
                <w:spacing w:val="-20"/>
              </w:rPr>
              <w:t>学生资助管理中心</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pStyle w:val="9"/>
              <w:spacing w:line="360" w:lineRule="atLeast"/>
              <w:ind w:firstLine="280"/>
              <w:jc w:val="left"/>
              <w:rPr>
                <w:rFonts w:hint="eastAsia"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pStyle w:val="9"/>
              <w:spacing w:line="360" w:lineRule="atLeast"/>
              <w:jc w:val="left"/>
              <w:rPr>
                <w:rFonts w:hint="eastAsia" w:ascii="方正黑体简体" w:hAnsi="方正黑体简体" w:eastAsia="方正黑体简体" w:cs="方正黑体简体"/>
              </w:rPr>
            </w:pPr>
            <w:r>
              <w:rPr>
                <w:rFonts w:hint="eastAsia" w:ascii="方正黑体简体" w:hAnsi="方正黑体简体" w:eastAsia="方正黑体简体" w:cs="方正黑体简体"/>
              </w:rPr>
              <w:t>7</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pStyle w:val="9"/>
              <w:spacing w:line="360" w:lineRule="atLeast"/>
              <w:jc w:val="left"/>
              <w:rPr>
                <w:rFonts w:hint="eastAsia" w:ascii="方正黑体简体" w:hAnsi="方正黑体简体" w:eastAsia="方正黑体简体" w:cs="方正黑体简体"/>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spacing w:val="-20"/>
              </w:rPr>
            </w:pPr>
            <w:r>
              <w:rPr>
                <w:rFonts w:hint="eastAsia" w:ascii="宋体" w:hAnsi="宋体" w:cs="宋体"/>
                <w:szCs w:val="21"/>
              </w:rPr>
              <w:t>彩票公益金教育助学项目</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pStyle w:val="2"/>
              <w:spacing w:before="0" w:beforeAutospacing="0" w:after="0" w:afterAutospacing="0"/>
              <w:rPr>
                <w:rFonts w:hint="eastAsia"/>
                <w:spacing w:val="-20"/>
              </w:rPr>
            </w:pPr>
            <w:r>
              <w:rPr>
                <w:rFonts w:hint="eastAsia"/>
                <w:b w:val="0"/>
                <w:bCs w:val="0"/>
                <w:kern w:val="2"/>
                <w:sz w:val="21"/>
                <w:szCs w:val="21"/>
              </w:rPr>
              <w:t>《河南省教育厅关于开展2015年中央专项彩票公益金教育助学项目的通知》（教资助〔2015〕802 号）：滋蕙计划项目、励耕计划项目、润雨计划项目。</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pStyle w:val="9"/>
              <w:spacing w:line="460" w:lineRule="exact"/>
              <w:rPr>
                <w:rFonts w:hint="eastAsia" w:ascii="宋体" w:hAnsi="宋体"/>
                <w:spacing w:val="-20"/>
              </w:rPr>
            </w:pPr>
            <w:r>
              <w:rPr>
                <w:rFonts w:hint="eastAsia" w:ascii="宋体" w:hAnsi="宋体"/>
                <w:spacing w:val="-20"/>
              </w:rPr>
              <w:t>学生资助管理中心</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pStyle w:val="9"/>
              <w:spacing w:line="360" w:lineRule="atLeast"/>
              <w:ind w:firstLine="280"/>
              <w:jc w:val="left"/>
              <w:rPr>
                <w:rFonts w:hint="eastAsia"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6"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ind w:firstLine="105" w:firstLineChars="5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六</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行 政</w:t>
            </w:r>
          </w:p>
          <w:p>
            <w:pPr>
              <w:widowControl/>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确 认</w:t>
            </w:r>
          </w:p>
        </w:tc>
        <w:tc>
          <w:tcPr>
            <w:tcW w:w="1821" w:type="dxa"/>
            <w:tcBorders>
              <w:top w:val="single" w:color="000000"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共二项</w:t>
            </w:r>
          </w:p>
        </w:tc>
        <w:tc>
          <w:tcPr>
            <w:tcW w:w="4029" w:type="dxa"/>
            <w:tcBorders>
              <w:top w:val="single" w:color="000000"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p>
        </w:tc>
        <w:tc>
          <w:tcPr>
            <w:tcW w:w="1286" w:type="dxa"/>
            <w:tcBorders>
              <w:top w:val="single" w:color="000000"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cs="宋体"/>
                <w:szCs w:val="21"/>
              </w:rPr>
            </w:pPr>
          </w:p>
        </w:tc>
        <w:tc>
          <w:tcPr>
            <w:tcW w:w="835" w:type="dxa"/>
            <w:tcBorders>
              <w:top w:val="single" w:color="000000"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39"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ind w:firstLine="105" w:firstLineChars="5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1</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rPr>
                <w:rFonts w:hint="eastAsia" w:ascii="宋体" w:hAnsi="宋体" w:cs="宋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rPr>
                <w:rFonts w:hint="eastAsia" w:ascii="宋体" w:hAnsi="宋体" w:cs="宋体"/>
                <w:szCs w:val="21"/>
              </w:rPr>
            </w:pPr>
            <w:r>
              <w:rPr>
                <w:rFonts w:hint="eastAsia" w:ascii="宋体" w:hAnsi="宋体" w:cs="宋体"/>
                <w:szCs w:val="21"/>
              </w:rPr>
              <w:t>中小学教师初级职称评聘</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职改字（1986）11号《中等专业学校教师职务试行条例》、职改字（1986）112号《中小学教师职务试行条例》第十七条 中学教师职务的评审工作，由省，地、县三级教育行政部门领导，并分别设立中学教师职务评审委员会。各级评审委员会由同级教育主管部门批准，学校设立评审小组，由县级教育行政部门批准。第十八条 评审中学教师职务时，应由本人提供政治思想、教育教学工作总结和履行职责情况，填写《中学教师职务评审报表》，经过相应的评审组织评审后，报主管部门审核。 中学高级教师的任职条件，由省级评审委员会审定；中学一级教师的任职条件，由地级评审委员会审定；中学二、三年级教师任职条件，由县级评审委员会审定。　　</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人事股</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eastAsia="宋体" w:cs="宋体"/>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2"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ind w:firstLine="105" w:firstLineChars="5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2</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000000"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初中、小学、幼儿园教师资格认定发证</w:t>
            </w:r>
          </w:p>
        </w:tc>
        <w:tc>
          <w:tcPr>
            <w:tcW w:w="4029" w:type="dxa"/>
            <w:tcBorders>
              <w:top w:val="single" w:color="auto" w:sz="4" w:space="0"/>
              <w:left w:val="single" w:color="000000" w:sz="4" w:space="0"/>
              <w:bottom w:val="single" w:color="000000"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教师法》第十三条：中小学教师资格由县级以上地方人民政府教育行政部门认定。教师资格条例第五章第十二条：具备教师法规定的学历或者经教师资格考试合格的公民，可以依照本条例的规定申请认定其教师资格。</w:t>
            </w:r>
          </w:p>
        </w:tc>
        <w:tc>
          <w:tcPr>
            <w:tcW w:w="1286" w:type="dxa"/>
            <w:tcBorders>
              <w:top w:val="single" w:color="auto" w:sz="4" w:space="0"/>
              <w:left w:val="single" w:color="000000" w:sz="4" w:space="0"/>
              <w:bottom w:val="single" w:color="000000"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行政审批股</w:t>
            </w:r>
          </w:p>
        </w:tc>
        <w:tc>
          <w:tcPr>
            <w:tcW w:w="835" w:type="dxa"/>
            <w:tcBorders>
              <w:top w:val="single" w:color="auto" w:sz="4" w:space="0"/>
              <w:left w:val="single" w:color="auto" w:sz="4" w:space="0"/>
              <w:bottom w:val="single" w:color="000000"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trPr>
        <w:tc>
          <w:tcPr>
            <w:tcW w:w="640" w:type="dxa"/>
            <w:tcBorders>
              <w:top w:val="single" w:color="auto" w:sz="4" w:space="0"/>
              <w:left w:val="single" w:color="auto" w:sz="4" w:space="0"/>
              <w:bottom w:val="single" w:color="auto" w:sz="4" w:space="0"/>
              <w:right w:val="single" w:color="000000" w:sz="4" w:space="0"/>
            </w:tcBorders>
            <w:noWrap w:val="0"/>
            <w:vAlign w:val="top"/>
          </w:tcPr>
          <w:p>
            <w:pPr>
              <w:spacing w:line="360" w:lineRule="exact"/>
              <w:jc w:val="left"/>
              <w:rPr>
                <w:rFonts w:hint="eastAsia" w:ascii="方正黑体简体" w:hAnsi="方正黑体简体" w:eastAsia="方正黑体简体" w:cs="方正黑体简体"/>
                <w:kern w:val="2"/>
                <w:sz w:val="21"/>
                <w:szCs w:val="21"/>
                <w:lang w:val="en-US" w:eastAsia="zh-CN" w:bidi="ar-SA"/>
              </w:rPr>
            </w:pPr>
            <w:r>
              <w:rPr>
                <w:rFonts w:hint="eastAsia" w:ascii="方正黑体简体" w:hAnsi="方正黑体简体" w:eastAsia="方正黑体简体" w:cs="方正黑体简体"/>
                <w:kern w:val="2"/>
                <w:sz w:val="21"/>
                <w:szCs w:val="21"/>
                <w:lang w:val="en-US" w:eastAsia="zh-CN" w:bidi="ar-SA"/>
              </w:rPr>
              <w:t>七</w:t>
            </w:r>
          </w:p>
        </w:tc>
        <w:tc>
          <w:tcPr>
            <w:tcW w:w="1123" w:type="dxa"/>
            <w:tcBorders>
              <w:top w:val="single" w:color="auto" w:sz="4" w:space="0"/>
              <w:left w:val="single" w:color="000000" w:sz="4" w:space="0"/>
              <w:bottom w:val="single" w:color="auto" w:sz="4" w:space="0"/>
              <w:right w:val="single" w:color="000000" w:sz="4" w:space="0"/>
            </w:tcBorders>
            <w:noWrap w:val="0"/>
            <w:vAlign w:val="top"/>
          </w:tcPr>
          <w:p>
            <w:pPr>
              <w:spacing w:line="360" w:lineRule="exact"/>
              <w:rPr>
                <w:rFonts w:hint="eastAsia" w:ascii="方正黑体简体" w:hAnsi="方正黑体简体" w:eastAsia="方正黑体简体" w:cs="方正黑体简体"/>
                <w:kern w:val="2"/>
                <w:sz w:val="21"/>
                <w:szCs w:val="21"/>
                <w:lang w:val="en-US" w:eastAsia="zh-CN" w:bidi="ar-SA"/>
              </w:rPr>
            </w:pPr>
            <w:r>
              <w:rPr>
                <w:rFonts w:hint="eastAsia" w:ascii="方正黑体简体" w:hAnsi="方正黑体简体" w:eastAsia="方正黑体简体" w:cs="方正黑体简体"/>
                <w:szCs w:val="21"/>
              </w:rPr>
              <w:t>行政监督检查</w:t>
            </w:r>
          </w:p>
        </w:tc>
        <w:tc>
          <w:tcPr>
            <w:tcW w:w="1821" w:type="dxa"/>
            <w:tcBorders>
              <w:top w:val="single" w:color="000000" w:sz="4" w:space="0"/>
              <w:left w:val="single" w:color="000000" w:sz="4" w:space="0"/>
              <w:bottom w:val="single" w:color="auto" w:sz="4" w:space="0"/>
              <w:right w:val="single" w:color="000000" w:sz="4" w:space="0"/>
            </w:tcBorders>
            <w:noWrap w:val="0"/>
            <w:vAlign w:val="top"/>
          </w:tcPr>
          <w:p>
            <w:pPr>
              <w:widowControl/>
              <w:spacing w:line="360" w:lineRule="exact"/>
              <w:jc w:val="left"/>
              <w:rPr>
                <w:rFonts w:hint="eastAsia" w:ascii="宋体" w:hAnsi="宋体" w:cs="宋体"/>
                <w:szCs w:val="21"/>
              </w:rPr>
            </w:pPr>
          </w:p>
          <w:p>
            <w:pPr>
              <w:spacing w:line="360" w:lineRule="exact"/>
              <w:jc w:val="center"/>
              <w:rPr>
                <w:rFonts w:hint="eastAsia" w:ascii="宋体" w:hAnsi="宋体" w:eastAsia="宋体" w:cs="宋体"/>
                <w:kern w:val="2"/>
                <w:sz w:val="21"/>
                <w:szCs w:val="21"/>
                <w:lang w:val="en-US" w:eastAsia="zh-CN" w:bidi="ar-SA"/>
              </w:rPr>
            </w:pPr>
            <w:r>
              <w:rPr>
                <w:rFonts w:hint="eastAsia" w:ascii="宋体" w:hAnsi="宋体" w:cs="宋体"/>
                <w:szCs w:val="21"/>
              </w:rPr>
              <w:t>共</w:t>
            </w:r>
            <w:r>
              <w:rPr>
                <w:rFonts w:hint="eastAsia" w:ascii="宋体" w:hAnsi="宋体" w:cs="宋体"/>
                <w:szCs w:val="21"/>
                <w:lang w:eastAsia="zh-CN"/>
              </w:rPr>
              <w:t>八</w:t>
            </w:r>
            <w:r>
              <w:rPr>
                <w:rFonts w:hint="eastAsia" w:ascii="宋体" w:hAnsi="宋体" w:cs="宋体"/>
                <w:szCs w:val="21"/>
              </w:rPr>
              <w:t>项</w:t>
            </w:r>
          </w:p>
        </w:tc>
        <w:tc>
          <w:tcPr>
            <w:tcW w:w="4029" w:type="dxa"/>
            <w:tcBorders>
              <w:top w:val="single" w:color="000000" w:sz="4" w:space="0"/>
              <w:left w:val="single" w:color="000000" w:sz="4" w:space="0"/>
              <w:bottom w:val="single" w:color="auto" w:sz="4" w:space="0"/>
              <w:right w:val="single" w:color="auto" w:sz="4" w:space="0"/>
            </w:tcBorders>
            <w:noWrap w:val="0"/>
            <w:vAlign w:val="top"/>
          </w:tcPr>
          <w:p>
            <w:pPr>
              <w:widowControl/>
              <w:spacing w:line="360" w:lineRule="exact"/>
              <w:rPr>
                <w:rFonts w:hint="eastAsia" w:ascii="宋体" w:hAnsi="宋体" w:eastAsia="宋体" w:cs="宋体"/>
                <w:kern w:val="2"/>
                <w:sz w:val="21"/>
                <w:szCs w:val="21"/>
                <w:lang w:val="en-US" w:eastAsia="zh-CN" w:bidi="ar-SA"/>
              </w:rPr>
            </w:pPr>
          </w:p>
        </w:tc>
        <w:tc>
          <w:tcPr>
            <w:tcW w:w="1286" w:type="dxa"/>
            <w:tcBorders>
              <w:top w:val="single" w:color="000000" w:sz="4" w:space="0"/>
              <w:left w:val="single" w:color="000000" w:sz="4" w:space="0"/>
              <w:bottom w:val="single" w:color="auto" w:sz="4" w:space="0"/>
              <w:right w:val="single" w:color="auto" w:sz="4" w:space="0"/>
            </w:tcBorders>
            <w:noWrap w:val="0"/>
            <w:vAlign w:val="top"/>
          </w:tcPr>
          <w:p>
            <w:pPr>
              <w:widowControl/>
              <w:spacing w:line="360" w:lineRule="exact"/>
              <w:jc w:val="left"/>
              <w:rPr>
                <w:rFonts w:hint="eastAsia" w:ascii="宋体" w:hAnsi="宋体" w:eastAsia="宋体" w:cs="宋体"/>
                <w:kern w:val="2"/>
                <w:sz w:val="21"/>
                <w:szCs w:val="21"/>
                <w:lang w:val="en-US" w:eastAsia="zh-CN" w:bidi="ar-SA"/>
              </w:rPr>
            </w:pPr>
          </w:p>
        </w:tc>
        <w:tc>
          <w:tcPr>
            <w:tcW w:w="835" w:type="dxa"/>
            <w:tcBorders>
              <w:top w:val="single" w:color="000000" w:sz="4" w:space="0"/>
              <w:left w:val="single" w:color="auto" w:sz="4" w:space="0"/>
              <w:bottom w:val="single" w:color="auto" w:sz="4" w:space="0"/>
              <w:right w:val="single" w:color="000000" w:sz="4" w:space="0"/>
            </w:tcBorders>
            <w:noWrap w:val="0"/>
            <w:vAlign w:val="top"/>
          </w:tcPr>
          <w:p>
            <w:pPr>
              <w:widowControl/>
              <w:spacing w:line="360" w:lineRule="exact"/>
              <w:jc w:val="left"/>
              <w:rPr>
                <w:rFonts w:hint="eastAsia" w:ascii="宋体" w:hAnsi="宋体" w:eastAsia="宋体" w:cs="宋体"/>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trPr>
        <w:tc>
          <w:tcPr>
            <w:tcW w:w="640" w:type="dxa"/>
            <w:tcBorders>
              <w:top w:val="single" w:color="auto" w:sz="4" w:space="0"/>
              <w:left w:val="single" w:color="auto" w:sz="4" w:space="0"/>
              <w:bottom w:val="single" w:color="auto" w:sz="4" w:space="0"/>
              <w:right w:val="single" w:color="000000" w:sz="4" w:space="0"/>
            </w:tcBorders>
            <w:noWrap w:val="0"/>
            <w:vAlign w:val="top"/>
          </w:tcPr>
          <w:p>
            <w:pPr>
              <w:spacing w:line="360" w:lineRule="exact"/>
              <w:jc w:val="left"/>
              <w:rPr>
                <w:rFonts w:hint="eastAsia" w:ascii="方正黑体简体" w:hAnsi="方正黑体简体" w:eastAsia="方正黑体简体" w:cs="方正黑体简体"/>
                <w:szCs w:val="21"/>
              </w:rPr>
            </w:pPr>
          </w:p>
          <w:p>
            <w:pPr>
              <w:spacing w:line="360" w:lineRule="exact"/>
              <w:jc w:val="left"/>
              <w:rPr>
                <w:rFonts w:hint="eastAsia" w:ascii="方正黑体简体" w:hAnsi="方正黑体简体" w:eastAsia="方正黑体简体" w:cs="方正黑体简体"/>
                <w:szCs w:val="21"/>
              </w:rPr>
            </w:pPr>
          </w:p>
          <w:p>
            <w:pPr>
              <w:spacing w:line="360" w:lineRule="exact"/>
              <w:jc w:val="left"/>
              <w:rPr>
                <w:rFonts w:hint="eastAsia" w:ascii="方正黑体简体" w:hAnsi="方正黑体简体" w:eastAsia="方正黑体简体" w:cs="方正黑体简体"/>
                <w:kern w:val="2"/>
                <w:sz w:val="21"/>
                <w:szCs w:val="21"/>
                <w:lang w:val="en-US" w:eastAsia="zh-CN" w:bidi="ar-SA"/>
              </w:rPr>
            </w:pPr>
            <w:r>
              <w:rPr>
                <w:rFonts w:hint="eastAsia" w:ascii="方正黑体简体" w:hAnsi="方正黑体简体" w:eastAsia="方正黑体简体" w:cs="方正黑体简体"/>
                <w:szCs w:val="21"/>
                <w:lang w:val="en-US" w:eastAsia="zh-CN"/>
              </w:rPr>
              <w:t>1</w:t>
            </w:r>
          </w:p>
        </w:tc>
        <w:tc>
          <w:tcPr>
            <w:tcW w:w="1123" w:type="dxa"/>
            <w:tcBorders>
              <w:top w:val="single" w:color="auto" w:sz="4" w:space="0"/>
              <w:left w:val="single" w:color="000000" w:sz="4" w:space="0"/>
              <w:bottom w:val="single" w:color="auto" w:sz="4" w:space="0"/>
              <w:right w:val="single" w:color="000000" w:sz="4" w:space="0"/>
            </w:tcBorders>
            <w:noWrap w:val="0"/>
            <w:vAlign w:val="top"/>
          </w:tcPr>
          <w:p>
            <w:pPr>
              <w:spacing w:line="360" w:lineRule="exact"/>
              <w:jc w:val="left"/>
              <w:rPr>
                <w:rFonts w:hint="eastAsia" w:ascii="方正黑体简体" w:hAnsi="方正黑体简体" w:eastAsia="方正黑体简体" w:cs="方正黑体简体"/>
                <w:szCs w:val="21"/>
              </w:rPr>
            </w:pPr>
          </w:p>
          <w:p>
            <w:pPr>
              <w:spacing w:line="360" w:lineRule="exact"/>
              <w:jc w:val="left"/>
              <w:rPr>
                <w:rFonts w:hint="eastAsia" w:ascii="方正黑体简体" w:hAnsi="方正黑体简体" w:eastAsia="方正黑体简体" w:cs="方正黑体简体"/>
                <w:szCs w:val="21"/>
              </w:rPr>
            </w:pPr>
          </w:p>
          <w:p>
            <w:pPr>
              <w:spacing w:line="360" w:lineRule="exact"/>
              <w:jc w:val="left"/>
              <w:rPr>
                <w:rFonts w:hint="eastAsia" w:ascii="方正黑体简体" w:hAnsi="方正黑体简体" w:eastAsia="方正黑体简体" w:cs="方正黑体简体"/>
                <w:kern w:val="2"/>
                <w:sz w:val="21"/>
                <w:szCs w:val="21"/>
                <w:lang w:val="en-US" w:eastAsia="zh-CN" w:bidi="ar-SA"/>
              </w:rPr>
            </w:pPr>
          </w:p>
        </w:tc>
        <w:tc>
          <w:tcPr>
            <w:tcW w:w="1821" w:type="dxa"/>
            <w:tcBorders>
              <w:top w:val="single" w:color="000000" w:sz="4" w:space="0"/>
              <w:left w:val="single" w:color="000000" w:sz="4" w:space="0"/>
              <w:bottom w:val="single" w:color="auto" w:sz="4" w:space="0"/>
              <w:right w:val="single" w:color="000000" w:sz="4" w:space="0"/>
            </w:tcBorders>
            <w:noWrap w:val="0"/>
            <w:vAlign w:val="top"/>
          </w:tcPr>
          <w:p>
            <w:pPr>
              <w:spacing w:line="300" w:lineRule="exact"/>
              <w:jc w:val="left"/>
              <w:rPr>
                <w:rFonts w:hint="eastAsia" w:ascii="宋体" w:hAnsi="宋体" w:eastAsia="宋体" w:cs="宋体"/>
                <w:kern w:val="2"/>
                <w:sz w:val="21"/>
                <w:szCs w:val="21"/>
                <w:lang w:val="en-US" w:eastAsia="zh-CN" w:bidi="ar-SA"/>
              </w:rPr>
            </w:pPr>
            <w:r>
              <w:rPr>
                <w:rFonts w:hint="eastAsia" w:ascii="宋体" w:hAnsi="宋体" w:cs="宋体"/>
                <w:szCs w:val="21"/>
              </w:rPr>
              <w:t>县级以上人民政府对下级人民政府落实教育法律、法规、规章和国家教育方针政策的督导。</w:t>
            </w:r>
          </w:p>
        </w:tc>
        <w:tc>
          <w:tcPr>
            <w:tcW w:w="4029" w:type="dxa"/>
            <w:tcBorders>
              <w:top w:val="single" w:color="000000"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eastAsia="宋体" w:cs="宋体"/>
                <w:kern w:val="2"/>
                <w:sz w:val="21"/>
                <w:szCs w:val="21"/>
                <w:lang w:val="en-US" w:eastAsia="zh-CN" w:bidi="ar-SA"/>
              </w:rPr>
            </w:pPr>
            <w:r>
              <w:rPr>
                <w:rFonts w:hint="eastAsia" w:ascii="宋体" w:hAnsi="宋体" w:cs="宋体"/>
                <w:szCs w:val="21"/>
              </w:rPr>
              <w:t>《国家教育督导条例》（国务院第624号）第二条：“对法律、法规规定范围的各级各类教育实施教育督导，适用本条例。教育督导包括以下内容：（一）县级以上人民政府对下级人民政府落实教育法律、法规、规章和国家教育方针、政策的督导。”</w:t>
            </w:r>
          </w:p>
        </w:tc>
        <w:tc>
          <w:tcPr>
            <w:tcW w:w="1286" w:type="dxa"/>
            <w:tcBorders>
              <w:top w:val="single" w:color="000000"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eastAsia="宋体" w:cs="宋体"/>
                <w:kern w:val="2"/>
                <w:sz w:val="21"/>
                <w:szCs w:val="21"/>
                <w:lang w:val="en-US" w:eastAsia="zh-CN" w:bidi="ar-SA"/>
              </w:rPr>
            </w:pPr>
            <w:r>
              <w:rPr>
                <w:rFonts w:hint="eastAsia" w:ascii="宋体" w:hAnsi="宋体" w:cs="宋体"/>
                <w:szCs w:val="21"/>
              </w:rPr>
              <w:t>相关股室</w:t>
            </w:r>
          </w:p>
        </w:tc>
        <w:tc>
          <w:tcPr>
            <w:tcW w:w="835" w:type="dxa"/>
            <w:tcBorders>
              <w:top w:val="single" w:color="000000" w:sz="4" w:space="0"/>
              <w:left w:val="single" w:color="auto" w:sz="4" w:space="0"/>
              <w:bottom w:val="single" w:color="auto" w:sz="4" w:space="0"/>
              <w:right w:val="single" w:color="000000" w:sz="4" w:space="0"/>
            </w:tcBorders>
            <w:noWrap w:val="0"/>
            <w:vAlign w:val="top"/>
          </w:tcPr>
          <w:p>
            <w:pPr>
              <w:widowControl/>
              <w:spacing w:line="360" w:lineRule="exact"/>
              <w:jc w:val="left"/>
              <w:rPr>
                <w:rFonts w:hint="eastAsia" w:ascii="宋体" w:hAnsi="宋体" w:eastAsia="宋体" w:cs="宋体"/>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trPr>
        <w:tc>
          <w:tcPr>
            <w:tcW w:w="640" w:type="dxa"/>
            <w:tcBorders>
              <w:top w:val="single" w:color="auto" w:sz="4" w:space="0"/>
              <w:left w:val="single" w:color="auto" w:sz="4" w:space="0"/>
              <w:bottom w:val="single" w:color="auto" w:sz="4" w:space="0"/>
              <w:right w:val="single" w:color="000000" w:sz="4" w:space="0"/>
            </w:tcBorders>
            <w:noWrap w:val="0"/>
            <w:vAlign w:val="top"/>
          </w:tcPr>
          <w:p>
            <w:pPr>
              <w:spacing w:line="360" w:lineRule="exact"/>
              <w:jc w:val="left"/>
              <w:rPr>
                <w:rFonts w:hint="eastAsia" w:ascii="方正黑体简体" w:hAnsi="方正黑体简体" w:eastAsia="方正黑体简体" w:cs="方正黑体简体"/>
                <w:szCs w:val="21"/>
              </w:rPr>
            </w:pPr>
          </w:p>
          <w:p>
            <w:pPr>
              <w:spacing w:line="360" w:lineRule="exact"/>
              <w:jc w:val="left"/>
              <w:rPr>
                <w:rFonts w:hint="eastAsia" w:ascii="方正黑体简体" w:hAnsi="方正黑体简体" w:eastAsia="方正黑体简体" w:cs="方正黑体简体"/>
                <w:kern w:val="2"/>
                <w:sz w:val="21"/>
                <w:szCs w:val="21"/>
                <w:lang w:val="en-US" w:eastAsia="zh-CN" w:bidi="ar-SA"/>
              </w:rPr>
            </w:pPr>
            <w:r>
              <w:rPr>
                <w:rFonts w:hint="eastAsia" w:ascii="方正黑体简体" w:hAnsi="方正黑体简体" w:eastAsia="方正黑体简体" w:cs="方正黑体简体"/>
                <w:szCs w:val="21"/>
                <w:lang w:val="en-US" w:eastAsia="zh-CN"/>
              </w:rPr>
              <w:t>2</w:t>
            </w:r>
          </w:p>
        </w:tc>
        <w:tc>
          <w:tcPr>
            <w:tcW w:w="1123" w:type="dxa"/>
            <w:tcBorders>
              <w:top w:val="single" w:color="auto" w:sz="4" w:space="0"/>
              <w:left w:val="single" w:color="000000" w:sz="4" w:space="0"/>
              <w:bottom w:val="single" w:color="auto" w:sz="4" w:space="0"/>
              <w:right w:val="single" w:color="000000" w:sz="4" w:space="0"/>
            </w:tcBorders>
            <w:noWrap w:val="0"/>
            <w:vAlign w:val="top"/>
          </w:tcPr>
          <w:p>
            <w:pPr>
              <w:spacing w:line="360" w:lineRule="exact"/>
              <w:jc w:val="left"/>
              <w:rPr>
                <w:rFonts w:hint="eastAsia" w:ascii="方正黑体简体" w:hAnsi="方正黑体简体" w:eastAsia="方正黑体简体" w:cs="方正黑体简体"/>
                <w:szCs w:val="21"/>
              </w:rPr>
            </w:pPr>
          </w:p>
          <w:p>
            <w:pPr>
              <w:spacing w:line="360" w:lineRule="exact"/>
              <w:jc w:val="left"/>
              <w:rPr>
                <w:rFonts w:hint="eastAsia" w:ascii="方正黑体简体" w:hAnsi="方正黑体简体" w:eastAsia="方正黑体简体" w:cs="方正黑体简体"/>
                <w:kern w:val="2"/>
                <w:sz w:val="21"/>
                <w:szCs w:val="21"/>
                <w:lang w:val="en-US" w:eastAsia="zh-CN" w:bidi="ar-SA"/>
              </w:rPr>
            </w:pPr>
          </w:p>
        </w:tc>
        <w:tc>
          <w:tcPr>
            <w:tcW w:w="1821" w:type="dxa"/>
            <w:tcBorders>
              <w:top w:val="single" w:color="000000" w:sz="4" w:space="0"/>
              <w:left w:val="single" w:color="000000" w:sz="4" w:space="0"/>
              <w:bottom w:val="single" w:color="auto" w:sz="4" w:space="0"/>
              <w:right w:val="single" w:color="000000" w:sz="4" w:space="0"/>
            </w:tcBorders>
            <w:noWrap w:val="0"/>
            <w:vAlign w:val="top"/>
          </w:tcPr>
          <w:p>
            <w:pPr>
              <w:spacing w:line="320" w:lineRule="exact"/>
              <w:jc w:val="left"/>
              <w:rPr>
                <w:rFonts w:hint="eastAsia" w:ascii="宋体" w:hAnsi="宋体" w:eastAsia="宋体" w:cs="宋体"/>
                <w:kern w:val="2"/>
                <w:sz w:val="21"/>
                <w:szCs w:val="21"/>
                <w:lang w:val="en-US" w:eastAsia="zh-CN" w:bidi="ar-SA"/>
              </w:rPr>
            </w:pPr>
            <w:r>
              <w:rPr>
                <w:rFonts w:hint="eastAsia" w:ascii="宋体" w:hAnsi="宋体" w:cs="宋体"/>
                <w:szCs w:val="21"/>
              </w:rPr>
              <w:t>县级以上地方人民政府对本行政区域内的学校和其他教育机构教育教学的督导</w:t>
            </w:r>
          </w:p>
        </w:tc>
        <w:tc>
          <w:tcPr>
            <w:tcW w:w="4029" w:type="dxa"/>
            <w:tcBorders>
              <w:top w:val="single" w:color="000000" w:sz="4" w:space="0"/>
              <w:left w:val="single" w:color="000000" w:sz="4" w:space="0"/>
              <w:bottom w:val="single" w:color="auto" w:sz="4" w:space="0"/>
              <w:right w:val="single" w:color="auto" w:sz="4" w:space="0"/>
            </w:tcBorders>
            <w:noWrap w:val="0"/>
            <w:vAlign w:val="top"/>
          </w:tcPr>
          <w:p>
            <w:pPr>
              <w:spacing w:line="360" w:lineRule="exact"/>
              <w:rPr>
                <w:rFonts w:hint="eastAsia" w:ascii="宋体" w:hAnsi="宋体" w:eastAsia="宋体" w:cs="宋体"/>
                <w:kern w:val="2"/>
                <w:sz w:val="21"/>
                <w:szCs w:val="21"/>
                <w:lang w:val="en-US" w:eastAsia="zh-CN" w:bidi="ar-SA"/>
              </w:rPr>
            </w:pPr>
            <w:r>
              <w:rPr>
                <w:rFonts w:hint="eastAsia" w:ascii="宋体" w:hAnsi="宋体" w:cs="宋体"/>
                <w:szCs w:val="21"/>
              </w:rPr>
              <w:t>《国家教育督导条例》（国务院第624号）第二条“对法律、法规规定范围的各级各类教育实施教育督导，适用本条例。教育督导包括以下内容：（二）县级以上地方人民政府对本行政区域内的学校和其他教育机构教育教学工作的督导。”育机构教育教学工作的督导。</w:t>
            </w:r>
          </w:p>
        </w:tc>
        <w:tc>
          <w:tcPr>
            <w:tcW w:w="1286" w:type="dxa"/>
            <w:tcBorders>
              <w:top w:val="single" w:color="000000"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eastAsia="宋体" w:cs="宋体"/>
                <w:kern w:val="2"/>
                <w:sz w:val="21"/>
                <w:szCs w:val="21"/>
                <w:lang w:val="en-US" w:eastAsia="zh-CN" w:bidi="ar-SA"/>
              </w:rPr>
            </w:pPr>
            <w:r>
              <w:rPr>
                <w:rFonts w:hint="eastAsia" w:ascii="宋体" w:hAnsi="宋体" w:cs="宋体"/>
                <w:szCs w:val="21"/>
              </w:rPr>
              <w:t>相关股室</w:t>
            </w:r>
          </w:p>
        </w:tc>
        <w:tc>
          <w:tcPr>
            <w:tcW w:w="835" w:type="dxa"/>
            <w:tcBorders>
              <w:top w:val="single" w:color="000000" w:sz="4" w:space="0"/>
              <w:left w:val="single" w:color="auto" w:sz="4" w:space="0"/>
              <w:bottom w:val="single" w:color="auto" w:sz="4" w:space="0"/>
              <w:right w:val="single" w:color="000000" w:sz="4" w:space="0"/>
            </w:tcBorders>
            <w:noWrap w:val="0"/>
            <w:vAlign w:val="top"/>
          </w:tcPr>
          <w:p>
            <w:pPr>
              <w:widowControl/>
              <w:spacing w:line="360" w:lineRule="exact"/>
              <w:jc w:val="left"/>
              <w:rPr>
                <w:rFonts w:hint="eastAsia" w:ascii="宋体" w:hAnsi="宋体" w:eastAsia="宋体" w:cs="宋体"/>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trPr>
        <w:tc>
          <w:tcPr>
            <w:tcW w:w="640" w:type="dxa"/>
            <w:tcBorders>
              <w:top w:val="single" w:color="auto" w:sz="4" w:space="0"/>
              <w:left w:val="single" w:color="auto" w:sz="4" w:space="0"/>
              <w:bottom w:val="single" w:color="auto" w:sz="4" w:space="0"/>
              <w:right w:val="single" w:color="000000" w:sz="4" w:space="0"/>
            </w:tcBorders>
            <w:noWrap w:val="0"/>
            <w:vAlign w:val="top"/>
          </w:tcPr>
          <w:p>
            <w:pPr>
              <w:spacing w:line="360" w:lineRule="exact"/>
              <w:jc w:val="left"/>
              <w:rPr>
                <w:rFonts w:hint="eastAsia" w:ascii="方正黑体简体" w:hAnsi="方正黑体简体" w:eastAsia="方正黑体简体" w:cs="方正黑体简体"/>
                <w:szCs w:val="21"/>
              </w:rPr>
            </w:pPr>
          </w:p>
          <w:p>
            <w:pPr>
              <w:spacing w:line="360" w:lineRule="exact"/>
              <w:jc w:val="left"/>
              <w:rPr>
                <w:rFonts w:hint="eastAsia" w:ascii="方正黑体简体" w:hAnsi="方正黑体简体" w:eastAsia="方正黑体简体" w:cs="方正黑体简体"/>
                <w:kern w:val="2"/>
                <w:sz w:val="21"/>
                <w:szCs w:val="21"/>
                <w:lang w:val="en-US" w:eastAsia="zh-CN" w:bidi="ar-SA"/>
              </w:rPr>
            </w:pPr>
            <w:r>
              <w:rPr>
                <w:rFonts w:hint="eastAsia" w:ascii="方正黑体简体" w:hAnsi="方正黑体简体" w:eastAsia="方正黑体简体" w:cs="方正黑体简体"/>
                <w:szCs w:val="21"/>
                <w:lang w:val="en-US" w:eastAsia="zh-CN"/>
              </w:rPr>
              <w:t>3</w:t>
            </w:r>
          </w:p>
        </w:tc>
        <w:tc>
          <w:tcPr>
            <w:tcW w:w="1123" w:type="dxa"/>
            <w:tcBorders>
              <w:top w:val="single" w:color="auto" w:sz="4" w:space="0"/>
              <w:left w:val="single" w:color="000000" w:sz="4" w:space="0"/>
              <w:bottom w:val="single" w:color="auto" w:sz="4" w:space="0"/>
              <w:right w:val="single" w:color="000000" w:sz="4" w:space="0"/>
            </w:tcBorders>
            <w:noWrap w:val="0"/>
            <w:vAlign w:val="top"/>
          </w:tcPr>
          <w:p>
            <w:pPr>
              <w:spacing w:line="360" w:lineRule="exact"/>
              <w:jc w:val="left"/>
              <w:rPr>
                <w:rFonts w:hint="eastAsia" w:ascii="方正黑体简体" w:hAnsi="方正黑体简体" w:eastAsia="方正黑体简体" w:cs="方正黑体简体"/>
                <w:szCs w:val="21"/>
              </w:rPr>
            </w:pPr>
          </w:p>
          <w:p>
            <w:pPr>
              <w:spacing w:line="360" w:lineRule="exact"/>
              <w:jc w:val="left"/>
              <w:rPr>
                <w:rFonts w:hint="eastAsia" w:ascii="方正黑体简体" w:hAnsi="方正黑体简体" w:eastAsia="方正黑体简体" w:cs="方正黑体简体"/>
                <w:kern w:val="2"/>
                <w:sz w:val="21"/>
                <w:szCs w:val="21"/>
                <w:lang w:val="en-US" w:eastAsia="zh-CN" w:bidi="ar-SA"/>
              </w:rPr>
            </w:pPr>
          </w:p>
        </w:tc>
        <w:tc>
          <w:tcPr>
            <w:tcW w:w="1821" w:type="dxa"/>
            <w:tcBorders>
              <w:top w:val="single" w:color="000000" w:sz="4" w:space="0"/>
              <w:left w:val="single" w:color="000000" w:sz="4" w:space="0"/>
              <w:bottom w:val="single" w:color="auto" w:sz="4" w:space="0"/>
              <w:right w:val="single" w:color="000000" w:sz="4" w:space="0"/>
            </w:tcBorders>
            <w:noWrap w:val="0"/>
            <w:vAlign w:val="top"/>
          </w:tcPr>
          <w:p>
            <w:pPr>
              <w:spacing w:line="360" w:lineRule="exact"/>
              <w:jc w:val="left"/>
              <w:rPr>
                <w:rFonts w:hint="eastAsia" w:ascii="宋体" w:hAnsi="宋体" w:eastAsia="宋体" w:cs="宋体"/>
                <w:kern w:val="2"/>
                <w:sz w:val="21"/>
                <w:szCs w:val="21"/>
                <w:lang w:val="en-US" w:eastAsia="zh-CN" w:bidi="ar-SA"/>
              </w:rPr>
            </w:pPr>
            <w:r>
              <w:rPr>
                <w:rFonts w:hint="eastAsia" w:ascii="宋体" w:hAnsi="宋体" w:cs="宋体"/>
                <w:kern w:val="0"/>
                <w:szCs w:val="21"/>
              </w:rPr>
              <w:t>学校安全工作监督检查</w:t>
            </w:r>
          </w:p>
        </w:tc>
        <w:tc>
          <w:tcPr>
            <w:tcW w:w="4029" w:type="dxa"/>
            <w:tcBorders>
              <w:top w:val="single" w:color="000000" w:sz="4" w:space="0"/>
              <w:left w:val="single" w:color="000000" w:sz="4" w:space="0"/>
              <w:bottom w:val="single" w:color="auto" w:sz="4" w:space="0"/>
              <w:right w:val="single" w:color="auto" w:sz="4" w:space="0"/>
            </w:tcBorders>
            <w:noWrap w:val="0"/>
            <w:vAlign w:val="top"/>
          </w:tcPr>
          <w:p>
            <w:pPr>
              <w:widowControl/>
              <w:spacing w:line="360" w:lineRule="exact"/>
              <w:ind w:firstLine="645" w:firstLineChars="0"/>
              <w:rPr>
                <w:rFonts w:hint="eastAsia" w:ascii="宋体" w:hAnsi="宋体" w:eastAsia="宋体" w:cs="宋体"/>
                <w:kern w:val="0"/>
                <w:sz w:val="21"/>
                <w:szCs w:val="21"/>
                <w:lang w:val="en-US" w:eastAsia="zh-CN" w:bidi="ar-SA"/>
              </w:rPr>
            </w:pPr>
            <w:r>
              <w:rPr>
                <w:rFonts w:hint="eastAsia" w:ascii="宋体" w:hAnsi="宋体" w:cs="宋体"/>
                <w:szCs w:val="21"/>
              </w:rPr>
              <w:t>《中小学幼儿园安全管理办法》（教育部令第23号）：第十八条：“按照国家有关规定安排对学校建筑物、构筑物、设备、设施进行安全检查、检验；发现存在安全隐患的，应当停止使用，及时维修或者更换；”</w:t>
            </w:r>
          </w:p>
        </w:tc>
        <w:tc>
          <w:tcPr>
            <w:tcW w:w="1286" w:type="dxa"/>
            <w:tcBorders>
              <w:top w:val="single" w:color="000000"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eastAsia="宋体" w:cs="宋体"/>
                <w:kern w:val="2"/>
                <w:sz w:val="21"/>
                <w:szCs w:val="21"/>
                <w:lang w:val="en-US" w:eastAsia="zh-CN" w:bidi="ar-SA"/>
              </w:rPr>
            </w:pPr>
            <w:r>
              <w:rPr>
                <w:rFonts w:hint="eastAsia" w:ascii="宋体" w:hAnsi="宋体" w:cs="宋体"/>
                <w:szCs w:val="21"/>
              </w:rPr>
              <w:t>安全办</w:t>
            </w:r>
          </w:p>
        </w:tc>
        <w:tc>
          <w:tcPr>
            <w:tcW w:w="835" w:type="dxa"/>
            <w:tcBorders>
              <w:top w:val="single" w:color="000000" w:sz="4" w:space="0"/>
              <w:left w:val="single" w:color="auto" w:sz="4" w:space="0"/>
              <w:bottom w:val="single" w:color="auto" w:sz="4" w:space="0"/>
              <w:right w:val="single" w:color="000000" w:sz="4" w:space="0"/>
            </w:tcBorders>
            <w:noWrap w:val="0"/>
            <w:vAlign w:val="top"/>
          </w:tcPr>
          <w:p>
            <w:pPr>
              <w:widowControl/>
              <w:spacing w:line="360" w:lineRule="exact"/>
              <w:jc w:val="left"/>
              <w:rPr>
                <w:rFonts w:hint="eastAsia" w:ascii="宋体" w:hAnsi="宋体" w:eastAsia="宋体" w:cs="宋体"/>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trPr>
        <w:tc>
          <w:tcPr>
            <w:tcW w:w="640" w:type="dxa"/>
            <w:tcBorders>
              <w:top w:val="single" w:color="auto" w:sz="4" w:space="0"/>
              <w:left w:val="single" w:color="auto" w:sz="4" w:space="0"/>
              <w:bottom w:val="single" w:color="auto" w:sz="4" w:space="0"/>
              <w:right w:val="single" w:color="000000" w:sz="4" w:space="0"/>
            </w:tcBorders>
            <w:noWrap w:val="0"/>
            <w:vAlign w:val="top"/>
          </w:tcPr>
          <w:p>
            <w:pPr>
              <w:spacing w:line="360" w:lineRule="exact"/>
              <w:jc w:val="left"/>
              <w:rPr>
                <w:rFonts w:hint="eastAsia" w:ascii="方正黑体简体" w:hAnsi="方正黑体简体" w:eastAsia="方正黑体简体" w:cs="方正黑体简体"/>
                <w:szCs w:val="21"/>
              </w:rPr>
            </w:pPr>
          </w:p>
          <w:p>
            <w:pPr>
              <w:spacing w:line="360" w:lineRule="exact"/>
              <w:jc w:val="left"/>
              <w:rPr>
                <w:rFonts w:hint="eastAsia" w:ascii="方正黑体简体" w:hAnsi="方正黑体简体" w:eastAsia="方正黑体简体" w:cs="方正黑体简体"/>
                <w:kern w:val="2"/>
                <w:sz w:val="21"/>
                <w:szCs w:val="21"/>
                <w:lang w:val="en-US" w:eastAsia="zh-CN" w:bidi="ar-SA"/>
              </w:rPr>
            </w:pPr>
            <w:r>
              <w:rPr>
                <w:rFonts w:hint="eastAsia" w:ascii="方正黑体简体" w:hAnsi="方正黑体简体" w:eastAsia="方正黑体简体" w:cs="方正黑体简体"/>
                <w:szCs w:val="21"/>
                <w:lang w:val="en-US" w:eastAsia="zh-CN"/>
              </w:rPr>
              <w:t>4</w:t>
            </w:r>
          </w:p>
        </w:tc>
        <w:tc>
          <w:tcPr>
            <w:tcW w:w="1123" w:type="dxa"/>
            <w:tcBorders>
              <w:top w:val="single" w:color="auto" w:sz="4" w:space="0"/>
              <w:left w:val="single" w:color="000000" w:sz="4" w:space="0"/>
              <w:bottom w:val="single" w:color="auto" w:sz="4" w:space="0"/>
              <w:right w:val="single" w:color="000000" w:sz="4" w:space="0"/>
            </w:tcBorders>
            <w:noWrap w:val="0"/>
            <w:vAlign w:val="top"/>
          </w:tcPr>
          <w:p>
            <w:pPr>
              <w:spacing w:line="360" w:lineRule="exact"/>
              <w:jc w:val="left"/>
              <w:rPr>
                <w:rFonts w:hint="eastAsia" w:ascii="方正黑体简体" w:hAnsi="方正黑体简体" w:eastAsia="方正黑体简体" w:cs="方正黑体简体"/>
                <w:szCs w:val="21"/>
              </w:rPr>
            </w:pPr>
          </w:p>
          <w:p>
            <w:pPr>
              <w:spacing w:line="360" w:lineRule="exact"/>
              <w:jc w:val="left"/>
              <w:rPr>
                <w:rFonts w:hint="eastAsia" w:ascii="方正黑体简体" w:hAnsi="方正黑体简体" w:eastAsia="方正黑体简体" w:cs="方正黑体简体"/>
                <w:kern w:val="2"/>
                <w:sz w:val="21"/>
                <w:szCs w:val="21"/>
                <w:lang w:val="en-US" w:eastAsia="zh-CN" w:bidi="ar-SA"/>
              </w:rPr>
            </w:pPr>
          </w:p>
        </w:tc>
        <w:tc>
          <w:tcPr>
            <w:tcW w:w="1821" w:type="dxa"/>
            <w:tcBorders>
              <w:top w:val="single" w:color="000000" w:sz="4" w:space="0"/>
              <w:left w:val="single" w:color="000000" w:sz="4" w:space="0"/>
              <w:bottom w:val="single" w:color="auto" w:sz="4" w:space="0"/>
              <w:right w:val="single" w:color="000000" w:sz="4" w:space="0"/>
            </w:tcBorders>
            <w:noWrap w:val="0"/>
            <w:vAlign w:val="top"/>
          </w:tcPr>
          <w:p>
            <w:pPr>
              <w:spacing w:line="360" w:lineRule="exact"/>
              <w:jc w:val="left"/>
              <w:rPr>
                <w:rFonts w:hint="eastAsia" w:ascii="宋体" w:hAnsi="宋体" w:eastAsia="宋体" w:cs="宋体"/>
                <w:kern w:val="2"/>
                <w:sz w:val="21"/>
                <w:szCs w:val="21"/>
                <w:lang w:val="en-US" w:eastAsia="zh-CN" w:bidi="ar-SA"/>
              </w:rPr>
            </w:pPr>
            <w:r>
              <w:rPr>
                <w:rFonts w:hint="eastAsia" w:ascii="宋体" w:hAnsi="宋体" w:cs="宋体"/>
                <w:kern w:val="0"/>
                <w:szCs w:val="21"/>
              </w:rPr>
              <w:t>学校食品安全工作监督检查</w:t>
            </w:r>
          </w:p>
        </w:tc>
        <w:tc>
          <w:tcPr>
            <w:tcW w:w="4029" w:type="dxa"/>
            <w:tcBorders>
              <w:top w:val="single" w:color="000000" w:sz="4" w:space="0"/>
              <w:left w:val="single" w:color="000000" w:sz="4" w:space="0"/>
              <w:bottom w:val="single" w:color="auto" w:sz="4" w:space="0"/>
              <w:right w:val="single" w:color="auto" w:sz="4" w:space="0"/>
            </w:tcBorders>
            <w:noWrap w:val="0"/>
            <w:vAlign w:val="top"/>
          </w:tcPr>
          <w:p>
            <w:pPr>
              <w:widowControl/>
              <w:spacing w:line="360" w:lineRule="exact"/>
              <w:rPr>
                <w:rFonts w:hint="eastAsia" w:ascii="宋体" w:hAnsi="宋体" w:eastAsia="宋体" w:cs="宋体"/>
                <w:kern w:val="2"/>
                <w:sz w:val="21"/>
                <w:szCs w:val="21"/>
                <w:lang w:val="en-US" w:eastAsia="zh-CN" w:bidi="ar-SA"/>
              </w:rPr>
            </w:pPr>
            <w:r>
              <w:rPr>
                <w:rFonts w:hint="eastAsia" w:ascii="宋体" w:hAnsi="宋体" w:cs="宋体"/>
                <w:szCs w:val="21"/>
              </w:rPr>
              <w:t>《学校食堂与学生集体卫生管理规定》第三十条：“各级教育行政部门具有对学校食堂及学生集体用餐的业务指导和检查督促的职责，应定期深入学校食堂进行业务指导和检查督促。”</w:t>
            </w:r>
          </w:p>
        </w:tc>
        <w:tc>
          <w:tcPr>
            <w:tcW w:w="1286" w:type="dxa"/>
            <w:tcBorders>
              <w:top w:val="single" w:color="000000"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eastAsia="宋体" w:cs="宋体"/>
                <w:kern w:val="2"/>
                <w:sz w:val="21"/>
                <w:szCs w:val="21"/>
                <w:lang w:val="en-US" w:eastAsia="zh-CN" w:bidi="ar-SA"/>
              </w:rPr>
            </w:pPr>
            <w:r>
              <w:rPr>
                <w:rFonts w:hint="eastAsia" w:ascii="宋体" w:hAnsi="宋体" w:cs="宋体"/>
                <w:szCs w:val="21"/>
              </w:rPr>
              <w:t>安全办</w:t>
            </w:r>
          </w:p>
        </w:tc>
        <w:tc>
          <w:tcPr>
            <w:tcW w:w="835" w:type="dxa"/>
            <w:tcBorders>
              <w:top w:val="single" w:color="000000" w:sz="4" w:space="0"/>
              <w:left w:val="single" w:color="auto" w:sz="4" w:space="0"/>
              <w:bottom w:val="single" w:color="auto" w:sz="4" w:space="0"/>
              <w:right w:val="single" w:color="000000" w:sz="4" w:space="0"/>
            </w:tcBorders>
            <w:noWrap w:val="0"/>
            <w:vAlign w:val="top"/>
          </w:tcPr>
          <w:p>
            <w:pPr>
              <w:widowControl/>
              <w:spacing w:line="360" w:lineRule="exact"/>
              <w:jc w:val="left"/>
              <w:rPr>
                <w:rFonts w:hint="eastAsia" w:ascii="宋体" w:hAnsi="宋体" w:eastAsia="宋体" w:cs="宋体"/>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trPr>
        <w:tc>
          <w:tcPr>
            <w:tcW w:w="640" w:type="dxa"/>
            <w:tcBorders>
              <w:top w:val="single" w:color="auto" w:sz="4" w:space="0"/>
              <w:left w:val="single" w:color="auto" w:sz="4" w:space="0"/>
              <w:bottom w:val="single" w:color="auto" w:sz="4" w:space="0"/>
              <w:right w:val="single" w:color="000000" w:sz="4" w:space="0"/>
            </w:tcBorders>
            <w:noWrap w:val="0"/>
            <w:vAlign w:val="top"/>
          </w:tcPr>
          <w:p>
            <w:pPr>
              <w:spacing w:line="360" w:lineRule="exact"/>
              <w:jc w:val="left"/>
              <w:rPr>
                <w:rFonts w:hint="eastAsia" w:ascii="方正黑体简体" w:hAnsi="方正黑体简体" w:eastAsia="方正黑体简体" w:cs="方正黑体简体"/>
                <w:szCs w:val="21"/>
              </w:rPr>
            </w:pPr>
          </w:p>
          <w:p>
            <w:pPr>
              <w:spacing w:line="360" w:lineRule="exact"/>
              <w:jc w:val="left"/>
              <w:rPr>
                <w:rFonts w:hint="eastAsia" w:ascii="方正黑体简体" w:hAnsi="方正黑体简体" w:eastAsia="方正黑体简体" w:cs="方正黑体简体"/>
                <w:kern w:val="2"/>
                <w:sz w:val="21"/>
                <w:szCs w:val="21"/>
                <w:lang w:val="en-US" w:eastAsia="zh-CN" w:bidi="ar-SA"/>
              </w:rPr>
            </w:pPr>
            <w:r>
              <w:rPr>
                <w:rFonts w:hint="eastAsia" w:ascii="方正黑体简体" w:hAnsi="方正黑体简体" w:eastAsia="方正黑体简体" w:cs="方正黑体简体"/>
                <w:szCs w:val="21"/>
                <w:lang w:val="en-US" w:eastAsia="zh-CN"/>
              </w:rPr>
              <w:t>5</w:t>
            </w:r>
          </w:p>
        </w:tc>
        <w:tc>
          <w:tcPr>
            <w:tcW w:w="1123" w:type="dxa"/>
            <w:tcBorders>
              <w:top w:val="single" w:color="auto" w:sz="4" w:space="0"/>
              <w:left w:val="single" w:color="000000" w:sz="4" w:space="0"/>
              <w:bottom w:val="single" w:color="auto" w:sz="4" w:space="0"/>
              <w:right w:val="single" w:color="000000" w:sz="4" w:space="0"/>
            </w:tcBorders>
            <w:noWrap w:val="0"/>
            <w:vAlign w:val="top"/>
          </w:tcPr>
          <w:p>
            <w:pPr>
              <w:spacing w:line="360" w:lineRule="exact"/>
              <w:jc w:val="left"/>
              <w:rPr>
                <w:rFonts w:hint="eastAsia" w:ascii="方正黑体简体" w:hAnsi="方正黑体简体" w:eastAsia="方正黑体简体" w:cs="方正黑体简体"/>
                <w:szCs w:val="21"/>
              </w:rPr>
            </w:pPr>
          </w:p>
          <w:p>
            <w:pPr>
              <w:spacing w:line="360" w:lineRule="exact"/>
              <w:jc w:val="left"/>
              <w:rPr>
                <w:rFonts w:hint="eastAsia" w:ascii="方正黑体简体" w:hAnsi="方正黑体简体" w:eastAsia="方正黑体简体" w:cs="方正黑体简体"/>
                <w:kern w:val="2"/>
                <w:sz w:val="21"/>
                <w:szCs w:val="21"/>
                <w:lang w:val="en-US" w:eastAsia="zh-CN" w:bidi="ar-SA"/>
              </w:rPr>
            </w:pPr>
          </w:p>
        </w:tc>
        <w:tc>
          <w:tcPr>
            <w:tcW w:w="1821" w:type="dxa"/>
            <w:tcBorders>
              <w:top w:val="single" w:color="000000" w:sz="4" w:space="0"/>
              <w:left w:val="single" w:color="000000" w:sz="4" w:space="0"/>
              <w:bottom w:val="single" w:color="auto" w:sz="4" w:space="0"/>
              <w:right w:val="single" w:color="000000" w:sz="4" w:space="0"/>
            </w:tcBorders>
            <w:noWrap w:val="0"/>
            <w:vAlign w:val="top"/>
          </w:tcPr>
          <w:p>
            <w:pPr>
              <w:spacing w:line="360" w:lineRule="exact"/>
              <w:jc w:val="left"/>
              <w:rPr>
                <w:rFonts w:hint="eastAsia" w:ascii="宋体" w:hAnsi="宋体" w:eastAsia="宋体" w:cs="宋体"/>
                <w:kern w:val="2"/>
                <w:sz w:val="21"/>
                <w:szCs w:val="21"/>
                <w:lang w:val="en-US" w:eastAsia="zh-CN" w:bidi="ar-SA"/>
              </w:rPr>
            </w:pPr>
            <w:r>
              <w:rPr>
                <w:rFonts w:hint="eastAsia" w:ascii="宋体" w:hAnsi="宋体" w:cs="宋体"/>
                <w:szCs w:val="21"/>
              </w:rPr>
              <w:t>对学校周边环境的安全检查</w:t>
            </w:r>
          </w:p>
        </w:tc>
        <w:tc>
          <w:tcPr>
            <w:tcW w:w="4029" w:type="dxa"/>
            <w:tcBorders>
              <w:top w:val="single" w:color="000000" w:sz="4" w:space="0"/>
              <w:left w:val="single" w:color="000000" w:sz="4" w:space="0"/>
              <w:bottom w:val="single" w:color="auto" w:sz="4" w:space="0"/>
              <w:right w:val="single" w:color="auto" w:sz="4" w:space="0"/>
            </w:tcBorders>
            <w:noWrap w:val="0"/>
            <w:vAlign w:val="top"/>
          </w:tcPr>
          <w:p>
            <w:pPr>
              <w:widowControl/>
              <w:spacing w:line="360" w:lineRule="exact"/>
              <w:rPr>
                <w:rFonts w:hint="eastAsia" w:ascii="宋体" w:hAnsi="宋体" w:eastAsia="宋体" w:cs="宋体"/>
                <w:kern w:val="2"/>
                <w:sz w:val="21"/>
                <w:szCs w:val="21"/>
                <w:lang w:val="en-US" w:eastAsia="zh-CN" w:bidi="ar-SA"/>
              </w:rPr>
            </w:pPr>
            <w:r>
              <w:rPr>
                <w:rFonts w:hint="eastAsia" w:ascii="宋体" w:hAnsi="宋体" w:cs="宋体"/>
                <w:szCs w:val="21"/>
              </w:rPr>
              <w:t>《中小学幼儿园安全管理办法》（教育部令第23号）：第四十七条：“定期研究部署学校安全管理工作，依法维护学校周边秩序。”</w:t>
            </w:r>
          </w:p>
        </w:tc>
        <w:tc>
          <w:tcPr>
            <w:tcW w:w="1286" w:type="dxa"/>
            <w:tcBorders>
              <w:top w:val="single" w:color="000000"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eastAsia="宋体" w:cs="宋体"/>
                <w:kern w:val="2"/>
                <w:sz w:val="21"/>
                <w:szCs w:val="21"/>
                <w:lang w:val="en-US" w:eastAsia="zh-CN" w:bidi="ar-SA"/>
              </w:rPr>
            </w:pPr>
            <w:r>
              <w:rPr>
                <w:rFonts w:hint="eastAsia" w:ascii="宋体" w:hAnsi="宋体" w:cs="宋体"/>
                <w:szCs w:val="21"/>
              </w:rPr>
              <w:t>安全办</w:t>
            </w:r>
          </w:p>
        </w:tc>
        <w:tc>
          <w:tcPr>
            <w:tcW w:w="835" w:type="dxa"/>
            <w:tcBorders>
              <w:top w:val="single" w:color="000000" w:sz="4" w:space="0"/>
              <w:left w:val="single" w:color="auto" w:sz="4" w:space="0"/>
              <w:bottom w:val="single" w:color="auto" w:sz="4" w:space="0"/>
              <w:right w:val="single" w:color="000000" w:sz="4" w:space="0"/>
            </w:tcBorders>
            <w:noWrap w:val="0"/>
            <w:vAlign w:val="top"/>
          </w:tcPr>
          <w:p>
            <w:pPr>
              <w:widowControl/>
              <w:spacing w:line="360" w:lineRule="exact"/>
              <w:jc w:val="left"/>
              <w:rPr>
                <w:rFonts w:hint="eastAsia" w:ascii="宋体" w:hAnsi="宋体" w:eastAsia="宋体" w:cs="宋体"/>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trPr>
        <w:tc>
          <w:tcPr>
            <w:tcW w:w="640" w:type="dxa"/>
            <w:tcBorders>
              <w:top w:val="single" w:color="auto" w:sz="4" w:space="0"/>
              <w:left w:val="single" w:color="auto" w:sz="4" w:space="0"/>
              <w:bottom w:val="single" w:color="auto" w:sz="4" w:space="0"/>
              <w:right w:val="single" w:color="000000" w:sz="4" w:space="0"/>
            </w:tcBorders>
            <w:noWrap w:val="0"/>
            <w:vAlign w:val="top"/>
          </w:tcPr>
          <w:p>
            <w:pPr>
              <w:spacing w:line="360" w:lineRule="exact"/>
              <w:jc w:val="left"/>
              <w:rPr>
                <w:rFonts w:hint="eastAsia" w:ascii="方正黑体简体" w:hAnsi="方正黑体简体" w:eastAsia="方正黑体简体" w:cs="方正黑体简体"/>
                <w:szCs w:val="21"/>
              </w:rPr>
            </w:pPr>
          </w:p>
          <w:p>
            <w:pPr>
              <w:spacing w:line="360" w:lineRule="exact"/>
              <w:jc w:val="left"/>
              <w:rPr>
                <w:rFonts w:hint="eastAsia" w:ascii="方正黑体简体" w:hAnsi="方正黑体简体" w:eastAsia="方正黑体简体" w:cs="方正黑体简体"/>
                <w:kern w:val="2"/>
                <w:sz w:val="21"/>
                <w:szCs w:val="21"/>
                <w:lang w:val="en-US" w:eastAsia="zh-CN" w:bidi="ar-SA"/>
              </w:rPr>
            </w:pPr>
            <w:r>
              <w:rPr>
                <w:rFonts w:hint="eastAsia" w:ascii="方正黑体简体" w:hAnsi="方正黑体简体" w:eastAsia="方正黑体简体" w:cs="方正黑体简体"/>
                <w:szCs w:val="21"/>
                <w:lang w:val="en-US" w:eastAsia="zh-CN"/>
              </w:rPr>
              <w:t>6</w:t>
            </w:r>
          </w:p>
        </w:tc>
        <w:tc>
          <w:tcPr>
            <w:tcW w:w="1123" w:type="dxa"/>
            <w:tcBorders>
              <w:top w:val="single" w:color="auto" w:sz="4" w:space="0"/>
              <w:left w:val="single" w:color="000000" w:sz="4" w:space="0"/>
              <w:bottom w:val="single" w:color="auto" w:sz="4" w:space="0"/>
              <w:right w:val="single" w:color="000000" w:sz="4" w:space="0"/>
            </w:tcBorders>
            <w:noWrap w:val="0"/>
            <w:vAlign w:val="top"/>
          </w:tcPr>
          <w:p>
            <w:pPr>
              <w:spacing w:line="360" w:lineRule="exact"/>
              <w:jc w:val="left"/>
              <w:rPr>
                <w:rFonts w:hint="eastAsia" w:ascii="方正黑体简体" w:hAnsi="方正黑体简体" w:eastAsia="方正黑体简体" w:cs="方正黑体简体"/>
                <w:szCs w:val="21"/>
              </w:rPr>
            </w:pPr>
          </w:p>
          <w:p>
            <w:pPr>
              <w:spacing w:line="360" w:lineRule="exact"/>
              <w:jc w:val="left"/>
              <w:rPr>
                <w:rFonts w:hint="eastAsia" w:ascii="方正黑体简体" w:hAnsi="方正黑体简体" w:eastAsia="方正黑体简体" w:cs="方正黑体简体"/>
                <w:kern w:val="2"/>
                <w:sz w:val="21"/>
                <w:szCs w:val="21"/>
                <w:lang w:val="en-US" w:eastAsia="zh-CN" w:bidi="ar-SA"/>
              </w:rPr>
            </w:pPr>
          </w:p>
        </w:tc>
        <w:tc>
          <w:tcPr>
            <w:tcW w:w="1821" w:type="dxa"/>
            <w:tcBorders>
              <w:top w:val="single" w:color="000000" w:sz="4" w:space="0"/>
              <w:left w:val="single" w:color="000000" w:sz="4" w:space="0"/>
              <w:bottom w:val="single" w:color="auto" w:sz="4" w:space="0"/>
              <w:right w:val="single" w:color="000000" w:sz="4" w:space="0"/>
            </w:tcBorders>
            <w:noWrap w:val="0"/>
            <w:vAlign w:val="top"/>
          </w:tcPr>
          <w:p>
            <w:pPr>
              <w:spacing w:line="360" w:lineRule="exact"/>
              <w:jc w:val="left"/>
              <w:rPr>
                <w:rFonts w:hint="eastAsia" w:ascii="宋体" w:hAnsi="宋体" w:eastAsia="宋体" w:cs="宋体"/>
                <w:kern w:val="2"/>
                <w:sz w:val="21"/>
                <w:szCs w:val="21"/>
                <w:lang w:val="en-US" w:eastAsia="zh-CN" w:bidi="ar-SA"/>
              </w:rPr>
            </w:pPr>
            <w:r>
              <w:rPr>
                <w:rFonts w:hint="eastAsia" w:ascii="宋体" w:hAnsi="宋体" w:cs="宋体"/>
                <w:szCs w:val="21"/>
              </w:rPr>
              <w:t>组织安全管理人员培训</w:t>
            </w:r>
          </w:p>
        </w:tc>
        <w:tc>
          <w:tcPr>
            <w:tcW w:w="4029" w:type="dxa"/>
            <w:tcBorders>
              <w:top w:val="single" w:color="000000" w:sz="4" w:space="0"/>
              <w:left w:val="single" w:color="000000" w:sz="4" w:space="0"/>
              <w:bottom w:val="single" w:color="auto" w:sz="4" w:space="0"/>
              <w:right w:val="single" w:color="auto" w:sz="4" w:space="0"/>
            </w:tcBorders>
            <w:noWrap w:val="0"/>
            <w:vAlign w:val="top"/>
          </w:tcPr>
          <w:p>
            <w:pPr>
              <w:widowControl/>
              <w:spacing w:line="360" w:lineRule="exact"/>
              <w:rPr>
                <w:rFonts w:hint="eastAsia" w:ascii="宋体" w:hAnsi="宋体" w:eastAsia="宋体" w:cs="宋体"/>
                <w:kern w:val="2"/>
                <w:sz w:val="21"/>
                <w:szCs w:val="21"/>
                <w:lang w:val="en-US" w:eastAsia="zh-CN" w:bidi="ar-SA"/>
              </w:rPr>
            </w:pPr>
            <w:r>
              <w:rPr>
                <w:rFonts w:hint="eastAsia" w:ascii="宋体" w:hAnsi="宋体" w:cs="宋体"/>
                <w:szCs w:val="21"/>
              </w:rPr>
              <w:t>《中小学幼儿园安全管理办法》（教育部令第23号）：</w:t>
            </w:r>
            <w:r>
              <w:rPr>
                <w:rStyle w:val="7"/>
                <w:rFonts w:hint="eastAsia" w:ascii="宋体" w:hAnsi="宋体" w:cs="宋体"/>
                <w:b w:val="0"/>
                <w:szCs w:val="21"/>
              </w:rPr>
              <w:t>第四十四条</w:t>
            </w:r>
            <w:r>
              <w:rPr>
                <w:rFonts w:hint="eastAsia" w:ascii="宋体" w:hAnsi="宋体" w:cs="宋体"/>
                <w:szCs w:val="21"/>
              </w:rPr>
              <w:t>：“教育行政部门应当组织负责安全管理的主管人员、学校校长、幼儿园园长和学校负责安全保卫工作的人员，定期接受有关安全管理培训。”</w:t>
            </w:r>
          </w:p>
        </w:tc>
        <w:tc>
          <w:tcPr>
            <w:tcW w:w="1286" w:type="dxa"/>
            <w:tcBorders>
              <w:top w:val="single" w:color="000000"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eastAsia="宋体" w:cs="宋体"/>
                <w:kern w:val="2"/>
                <w:sz w:val="21"/>
                <w:szCs w:val="21"/>
                <w:lang w:val="en-US" w:eastAsia="zh-CN" w:bidi="ar-SA"/>
              </w:rPr>
            </w:pPr>
            <w:r>
              <w:rPr>
                <w:rFonts w:hint="eastAsia" w:ascii="宋体" w:hAnsi="宋体" w:cs="宋体"/>
                <w:szCs w:val="21"/>
              </w:rPr>
              <w:t>安全办</w:t>
            </w:r>
          </w:p>
        </w:tc>
        <w:tc>
          <w:tcPr>
            <w:tcW w:w="835" w:type="dxa"/>
            <w:tcBorders>
              <w:top w:val="single" w:color="000000" w:sz="4" w:space="0"/>
              <w:left w:val="single" w:color="auto" w:sz="4" w:space="0"/>
              <w:bottom w:val="single" w:color="auto" w:sz="4" w:space="0"/>
              <w:right w:val="single" w:color="000000" w:sz="4" w:space="0"/>
            </w:tcBorders>
            <w:noWrap w:val="0"/>
            <w:vAlign w:val="top"/>
          </w:tcPr>
          <w:p>
            <w:pPr>
              <w:widowControl/>
              <w:spacing w:line="360" w:lineRule="exact"/>
              <w:jc w:val="left"/>
              <w:rPr>
                <w:rFonts w:hint="eastAsia" w:ascii="宋体" w:hAnsi="宋体" w:eastAsia="宋体" w:cs="宋体"/>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trPr>
        <w:tc>
          <w:tcPr>
            <w:tcW w:w="640" w:type="dxa"/>
            <w:tcBorders>
              <w:top w:val="single" w:color="auto" w:sz="4" w:space="0"/>
              <w:left w:val="single" w:color="auto" w:sz="4" w:space="0"/>
              <w:bottom w:val="single" w:color="auto" w:sz="4" w:space="0"/>
              <w:right w:val="single" w:color="000000" w:sz="4" w:space="0"/>
            </w:tcBorders>
            <w:noWrap w:val="0"/>
            <w:vAlign w:val="top"/>
          </w:tcPr>
          <w:p>
            <w:pPr>
              <w:spacing w:line="360" w:lineRule="exact"/>
              <w:jc w:val="left"/>
              <w:rPr>
                <w:rFonts w:hint="eastAsia" w:ascii="方正黑体简体" w:hAnsi="方正黑体简体" w:eastAsia="方正黑体简体" w:cs="方正黑体简体"/>
                <w:kern w:val="2"/>
                <w:sz w:val="21"/>
                <w:szCs w:val="21"/>
                <w:lang w:val="en-US" w:eastAsia="zh-CN" w:bidi="ar-SA"/>
              </w:rPr>
            </w:pPr>
            <w:r>
              <w:rPr>
                <w:rFonts w:hint="eastAsia" w:ascii="方正黑体简体" w:hAnsi="方正黑体简体" w:eastAsia="方正黑体简体" w:cs="方正黑体简体"/>
                <w:szCs w:val="21"/>
                <w:lang w:val="en-US" w:eastAsia="zh-CN"/>
              </w:rPr>
              <w:t>7</w:t>
            </w:r>
          </w:p>
        </w:tc>
        <w:tc>
          <w:tcPr>
            <w:tcW w:w="1123" w:type="dxa"/>
            <w:tcBorders>
              <w:top w:val="single" w:color="auto" w:sz="4" w:space="0"/>
              <w:left w:val="single" w:color="000000" w:sz="4" w:space="0"/>
              <w:bottom w:val="single" w:color="auto" w:sz="4" w:space="0"/>
              <w:right w:val="single" w:color="000000" w:sz="4" w:space="0"/>
            </w:tcBorders>
            <w:noWrap w:val="0"/>
            <w:vAlign w:val="top"/>
          </w:tcPr>
          <w:p>
            <w:pPr>
              <w:spacing w:line="360" w:lineRule="exact"/>
              <w:jc w:val="left"/>
              <w:rPr>
                <w:rFonts w:hint="eastAsia" w:ascii="方正黑体简体" w:hAnsi="方正黑体简体" w:eastAsia="方正黑体简体" w:cs="方正黑体简体"/>
                <w:kern w:val="2"/>
                <w:sz w:val="21"/>
                <w:szCs w:val="21"/>
                <w:lang w:val="en-US" w:eastAsia="zh-CN" w:bidi="ar-SA"/>
              </w:rPr>
            </w:pPr>
          </w:p>
        </w:tc>
        <w:tc>
          <w:tcPr>
            <w:tcW w:w="1821" w:type="dxa"/>
            <w:tcBorders>
              <w:top w:val="single" w:color="000000" w:sz="4" w:space="0"/>
              <w:left w:val="single" w:color="000000" w:sz="4" w:space="0"/>
              <w:bottom w:val="single" w:color="auto" w:sz="4" w:space="0"/>
              <w:right w:val="single" w:color="000000" w:sz="4" w:space="0"/>
            </w:tcBorders>
            <w:noWrap w:val="0"/>
            <w:vAlign w:val="top"/>
          </w:tcPr>
          <w:p>
            <w:pPr>
              <w:spacing w:line="360" w:lineRule="exact"/>
              <w:jc w:val="left"/>
              <w:rPr>
                <w:rFonts w:hint="eastAsia" w:ascii="宋体" w:hAnsi="宋体" w:eastAsia="宋体" w:cs="宋体"/>
                <w:color w:val="FF0000"/>
                <w:kern w:val="2"/>
                <w:sz w:val="21"/>
                <w:szCs w:val="21"/>
                <w:lang w:val="en-US" w:eastAsia="zh-CN" w:bidi="ar-SA"/>
              </w:rPr>
            </w:pPr>
            <w:r>
              <w:rPr>
                <w:rFonts w:hint="eastAsia" w:ascii="宋体" w:hAnsi="宋体" w:cs="宋体"/>
                <w:color w:val="FF0000"/>
                <w:szCs w:val="21"/>
              </w:rPr>
              <w:t>加强对民生工程资金使用情况的监督检查</w:t>
            </w:r>
          </w:p>
        </w:tc>
        <w:tc>
          <w:tcPr>
            <w:tcW w:w="4029" w:type="dxa"/>
            <w:tcBorders>
              <w:top w:val="single" w:color="000000" w:sz="4" w:space="0"/>
              <w:left w:val="single" w:color="000000" w:sz="4" w:space="0"/>
              <w:bottom w:val="single" w:color="auto" w:sz="4" w:space="0"/>
              <w:right w:val="single" w:color="auto" w:sz="4" w:space="0"/>
            </w:tcBorders>
            <w:noWrap w:val="0"/>
            <w:vAlign w:val="top"/>
          </w:tcPr>
          <w:p>
            <w:pPr>
              <w:spacing w:line="360" w:lineRule="exact"/>
              <w:jc w:val="center"/>
              <w:rPr>
                <w:rFonts w:hint="eastAsia" w:ascii="宋体" w:hAnsi="宋体" w:eastAsia="宋体" w:cs="宋体"/>
                <w:kern w:val="2"/>
                <w:sz w:val="21"/>
                <w:szCs w:val="21"/>
                <w:lang w:val="en-US" w:eastAsia="zh-CN" w:bidi="ar-SA"/>
              </w:rPr>
            </w:pPr>
            <w:r>
              <w:rPr>
                <w:rFonts w:hint="eastAsia" w:ascii="宋体" w:hAnsi="宋体" w:cs="宋体"/>
                <w:szCs w:val="21"/>
              </w:rPr>
              <w:t>《教育部等四部门关于2016年规范教育收费治理教育乱收费工作的实施意见》（教办[2016]4号）</w:t>
            </w:r>
          </w:p>
        </w:tc>
        <w:tc>
          <w:tcPr>
            <w:tcW w:w="1286" w:type="dxa"/>
            <w:tcBorders>
              <w:top w:val="single" w:color="000000"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eastAsia="宋体" w:cs="宋体"/>
                <w:kern w:val="2"/>
                <w:sz w:val="21"/>
                <w:szCs w:val="21"/>
                <w:lang w:val="en-US" w:eastAsia="zh-CN" w:bidi="ar-SA"/>
              </w:rPr>
            </w:pPr>
            <w:r>
              <w:rPr>
                <w:rFonts w:hint="eastAsia" w:ascii="宋体" w:hAnsi="宋体" w:cs="宋体"/>
                <w:szCs w:val="21"/>
              </w:rPr>
              <w:t>相关股室</w:t>
            </w:r>
          </w:p>
        </w:tc>
        <w:tc>
          <w:tcPr>
            <w:tcW w:w="835" w:type="dxa"/>
            <w:tcBorders>
              <w:top w:val="single" w:color="000000" w:sz="4" w:space="0"/>
              <w:left w:val="single" w:color="auto" w:sz="4" w:space="0"/>
              <w:bottom w:val="single" w:color="auto" w:sz="4" w:space="0"/>
              <w:right w:val="single" w:color="000000" w:sz="4" w:space="0"/>
            </w:tcBorders>
            <w:noWrap w:val="0"/>
            <w:vAlign w:val="top"/>
          </w:tcPr>
          <w:p>
            <w:pPr>
              <w:widowControl/>
              <w:spacing w:line="360" w:lineRule="exact"/>
              <w:jc w:val="left"/>
              <w:rPr>
                <w:rFonts w:hint="eastAsia" w:ascii="宋体" w:hAnsi="宋体" w:eastAsia="宋体" w:cs="宋体"/>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trPr>
        <w:tc>
          <w:tcPr>
            <w:tcW w:w="640" w:type="dxa"/>
            <w:tcBorders>
              <w:top w:val="single" w:color="auto" w:sz="4" w:space="0"/>
              <w:left w:val="single" w:color="auto" w:sz="4" w:space="0"/>
              <w:bottom w:val="single" w:color="auto" w:sz="4" w:space="0"/>
              <w:right w:val="single" w:color="000000" w:sz="4" w:space="0"/>
            </w:tcBorders>
            <w:noWrap w:val="0"/>
            <w:vAlign w:val="top"/>
          </w:tcPr>
          <w:p>
            <w:pPr>
              <w:spacing w:line="360" w:lineRule="exact"/>
              <w:jc w:val="left"/>
              <w:rPr>
                <w:rFonts w:hint="eastAsia" w:ascii="方正黑体简体" w:hAnsi="方正黑体简体" w:eastAsia="方正黑体简体" w:cs="方正黑体简体"/>
                <w:kern w:val="2"/>
                <w:sz w:val="21"/>
                <w:szCs w:val="21"/>
                <w:lang w:val="en-US" w:eastAsia="zh-CN" w:bidi="ar-SA"/>
              </w:rPr>
            </w:pPr>
            <w:r>
              <w:rPr>
                <w:rFonts w:hint="eastAsia" w:ascii="方正黑体简体" w:hAnsi="方正黑体简体" w:eastAsia="方正黑体简体" w:cs="方正黑体简体"/>
                <w:szCs w:val="21"/>
                <w:lang w:val="en-US" w:eastAsia="zh-CN"/>
              </w:rPr>
              <w:t>8</w:t>
            </w:r>
          </w:p>
        </w:tc>
        <w:tc>
          <w:tcPr>
            <w:tcW w:w="1123" w:type="dxa"/>
            <w:tcBorders>
              <w:top w:val="single" w:color="auto" w:sz="4" w:space="0"/>
              <w:left w:val="single" w:color="000000" w:sz="4" w:space="0"/>
              <w:bottom w:val="single" w:color="auto" w:sz="4" w:space="0"/>
              <w:right w:val="single" w:color="000000" w:sz="4" w:space="0"/>
            </w:tcBorders>
            <w:noWrap w:val="0"/>
            <w:vAlign w:val="top"/>
          </w:tcPr>
          <w:p>
            <w:pPr>
              <w:spacing w:line="360" w:lineRule="exact"/>
              <w:jc w:val="left"/>
              <w:rPr>
                <w:rFonts w:hint="eastAsia" w:ascii="方正黑体简体" w:hAnsi="方正黑体简体" w:eastAsia="方正黑体简体" w:cs="方正黑体简体"/>
                <w:kern w:val="2"/>
                <w:sz w:val="21"/>
                <w:szCs w:val="21"/>
                <w:lang w:val="en-US" w:eastAsia="zh-CN" w:bidi="ar-SA"/>
              </w:rPr>
            </w:pPr>
          </w:p>
        </w:tc>
        <w:tc>
          <w:tcPr>
            <w:tcW w:w="1821" w:type="dxa"/>
            <w:tcBorders>
              <w:top w:val="single" w:color="000000" w:sz="4" w:space="0"/>
              <w:left w:val="single" w:color="000000" w:sz="4" w:space="0"/>
              <w:bottom w:val="single" w:color="auto" w:sz="4" w:space="0"/>
              <w:right w:val="single" w:color="000000" w:sz="4" w:space="0"/>
            </w:tcBorders>
            <w:noWrap w:val="0"/>
            <w:vAlign w:val="top"/>
          </w:tcPr>
          <w:p>
            <w:pPr>
              <w:spacing w:line="360" w:lineRule="exact"/>
              <w:jc w:val="left"/>
              <w:rPr>
                <w:rFonts w:hint="eastAsia" w:ascii="宋体" w:hAnsi="宋体" w:eastAsia="宋体" w:cs="宋体"/>
                <w:color w:val="FF0000"/>
                <w:kern w:val="2"/>
                <w:sz w:val="21"/>
                <w:szCs w:val="21"/>
                <w:lang w:val="en-US" w:eastAsia="zh-CN" w:bidi="ar-SA"/>
              </w:rPr>
            </w:pPr>
            <w:r>
              <w:rPr>
                <w:rFonts w:hint="eastAsia" w:ascii="宋体" w:hAnsi="宋体" w:cs="宋体"/>
                <w:color w:val="FF0000"/>
                <w:szCs w:val="21"/>
              </w:rPr>
              <w:t>清理规范教育收费项目和收费标准</w:t>
            </w:r>
          </w:p>
        </w:tc>
        <w:tc>
          <w:tcPr>
            <w:tcW w:w="4029" w:type="dxa"/>
            <w:tcBorders>
              <w:top w:val="single" w:color="000000" w:sz="4" w:space="0"/>
              <w:left w:val="single" w:color="000000" w:sz="4" w:space="0"/>
              <w:bottom w:val="single" w:color="auto" w:sz="4" w:space="0"/>
              <w:right w:val="single" w:color="auto" w:sz="4" w:space="0"/>
            </w:tcBorders>
            <w:noWrap w:val="0"/>
            <w:vAlign w:val="top"/>
          </w:tcPr>
          <w:p>
            <w:pPr>
              <w:spacing w:line="360" w:lineRule="exact"/>
              <w:jc w:val="center"/>
              <w:rPr>
                <w:rFonts w:hint="eastAsia" w:ascii="宋体" w:hAnsi="宋体" w:eastAsia="宋体" w:cs="宋体"/>
                <w:kern w:val="2"/>
                <w:sz w:val="21"/>
                <w:szCs w:val="21"/>
                <w:lang w:val="en-US" w:eastAsia="zh-CN" w:bidi="ar-SA"/>
              </w:rPr>
            </w:pPr>
            <w:r>
              <w:rPr>
                <w:rFonts w:hint="eastAsia" w:ascii="宋体" w:hAnsi="宋体" w:cs="宋体"/>
                <w:szCs w:val="21"/>
              </w:rPr>
              <w:t>《教育部等四部门关于2016年规范教育收费治理教育乱收费工作的实施意见》（教办[2016]4号）</w:t>
            </w:r>
          </w:p>
        </w:tc>
        <w:tc>
          <w:tcPr>
            <w:tcW w:w="1286" w:type="dxa"/>
            <w:tcBorders>
              <w:top w:val="single" w:color="000000"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eastAsia="宋体" w:cs="宋体"/>
                <w:kern w:val="2"/>
                <w:sz w:val="21"/>
                <w:szCs w:val="21"/>
                <w:lang w:val="en-US" w:eastAsia="zh-CN" w:bidi="ar-SA"/>
              </w:rPr>
            </w:pPr>
            <w:r>
              <w:rPr>
                <w:rFonts w:hint="eastAsia" w:ascii="宋体" w:hAnsi="宋体" w:cs="宋体"/>
                <w:szCs w:val="21"/>
              </w:rPr>
              <w:t>相关股室</w:t>
            </w:r>
          </w:p>
        </w:tc>
        <w:tc>
          <w:tcPr>
            <w:tcW w:w="835" w:type="dxa"/>
            <w:tcBorders>
              <w:top w:val="single" w:color="000000" w:sz="4" w:space="0"/>
              <w:left w:val="single" w:color="auto" w:sz="4" w:space="0"/>
              <w:bottom w:val="single" w:color="auto" w:sz="4" w:space="0"/>
              <w:right w:val="single" w:color="000000" w:sz="4" w:space="0"/>
            </w:tcBorders>
            <w:noWrap w:val="0"/>
            <w:vAlign w:val="top"/>
          </w:tcPr>
          <w:p>
            <w:pPr>
              <w:widowControl/>
              <w:spacing w:line="360" w:lineRule="exact"/>
              <w:jc w:val="left"/>
              <w:rPr>
                <w:rFonts w:hint="eastAsia" w:ascii="宋体" w:hAnsi="宋体" w:eastAsia="宋体" w:cs="宋体"/>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lang w:eastAsia="zh-CN"/>
              </w:rPr>
            </w:pPr>
            <w:r>
              <w:rPr>
                <w:rFonts w:hint="eastAsia" w:ascii="方正黑体简体" w:hAnsi="方正黑体简体" w:eastAsia="方正黑体简体" w:cs="方正黑体简体"/>
                <w:szCs w:val="21"/>
                <w:lang w:eastAsia="zh-CN"/>
              </w:rPr>
              <w:t>八</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2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其 他</w:t>
            </w:r>
          </w:p>
          <w:p>
            <w:pPr>
              <w:widowControl/>
              <w:spacing w:line="32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权 利</w:t>
            </w: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共</w:t>
            </w:r>
            <w:r>
              <w:rPr>
                <w:rFonts w:hint="eastAsia" w:ascii="宋体" w:hAnsi="宋体" w:cs="宋体"/>
                <w:szCs w:val="21"/>
                <w:lang w:eastAsia="zh-CN"/>
              </w:rPr>
              <w:t>三十六</w:t>
            </w:r>
            <w:r>
              <w:rPr>
                <w:rFonts w:hint="eastAsia" w:ascii="宋体" w:hAnsi="宋体" w:cs="宋体"/>
                <w:szCs w:val="21"/>
              </w:rPr>
              <w:t>项</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cs="宋体"/>
                <w:szCs w:val="21"/>
              </w:rPr>
            </w:pP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8"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spacing w:line="320" w:lineRule="exact"/>
              <w:ind w:left="105" w:hanging="105" w:hangingChars="5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（一）</w:t>
            </w:r>
          </w:p>
          <w:p>
            <w:pPr>
              <w:spacing w:line="320" w:lineRule="exact"/>
              <w:ind w:left="90" w:leftChars="43"/>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年检</w:t>
            </w: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共二项</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47"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1</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ind w:left="105" w:hanging="105" w:hangingChars="50"/>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rPr>
                <w:rFonts w:hint="eastAsia" w:ascii="宋体" w:hAnsi="宋体" w:cs="宋体"/>
                <w:szCs w:val="21"/>
              </w:rPr>
            </w:pPr>
            <w:r>
              <w:rPr>
                <w:rFonts w:hint="eastAsia" w:ascii="宋体" w:hAnsi="宋体" w:cs="宋体"/>
                <w:szCs w:val="21"/>
              </w:rPr>
              <w:t>民办学校年检与评估</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 xml:space="preserve">民办教育促进法第六章第四十条：教育行政部门及有关部门依法对民办学校实行督导，促进提高办学质量；组织或者委托社会中介组织评估办学水平和教育质量并将评估结果向社会公布。     </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行政审批股</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0"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ind w:firstLine="210" w:firstLineChars="10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2</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公办幼儿园年检</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color w:val="333333"/>
                <w:kern w:val="0"/>
                <w:szCs w:val="21"/>
              </w:rPr>
            </w:pPr>
            <w:r>
              <w:rPr>
                <w:rFonts w:hint="eastAsia" w:ascii="宋体" w:hAnsi="宋体" w:cs="宋体"/>
                <w:szCs w:val="21"/>
              </w:rPr>
              <w:t>幼儿园管理条例第四章第十七条:各级教育行政部门应当负责监督、评估和指导幼儿园的保育、教育工作，组织培训幼儿园的师资，审定、考核幼儿园教师的资格，并协助卫生行政部门检查和指导幼儿园的卫生保健工作，会同建设行政部门制定幼儿园园舍、设施的标准。</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基础教育股</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0"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ind w:firstLine="210" w:firstLineChars="100"/>
              <w:jc w:val="left"/>
              <w:rPr>
                <w:rFonts w:hint="eastAsia" w:ascii="方正黑体简体" w:hAnsi="方正黑体简体" w:eastAsia="方正黑体简体" w:cs="方正黑体简体"/>
                <w:szCs w:val="21"/>
              </w:rPr>
            </w:pP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（二）</w:t>
            </w:r>
          </w:p>
          <w:p>
            <w:pPr>
              <w:spacing w:line="360" w:lineRule="exact"/>
              <w:ind w:firstLine="105" w:firstLineChars="5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备案</w:t>
            </w: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共一项</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0"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ind w:firstLine="210" w:firstLineChars="10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1</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top"/>
          </w:tcPr>
          <w:p>
            <w:pPr>
              <w:spacing w:line="360" w:lineRule="exact"/>
              <w:jc w:val="left"/>
              <w:rPr>
                <w:rFonts w:hint="eastAsia" w:ascii="宋体" w:hAnsi="宋体" w:cs="宋体"/>
                <w:szCs w:val="21"/>
              </w:rPr>
            </w:pPr>
            <w:r>
              <w:rPr>
                <w:rFonts w:hint="eastAsia" w:ascii="宋体" w:hAnsi="宋体" w:cs="宋体"/>
                <w:szCs w:val="21"/>
              </w:rPr>
              <w:t>校车安全管理责任书备案</w:t>
            </w:r>
          </w:p>
        </w:tc>
        <w:tc>
          <w:tcPr>
            <w:tcW w:w="4029" w:type="dxa"/>
            <w:tcBorders>
              <w:top w:val="single" w:color="auto" w:sz="4" w:space="0"/>
              <w:left w:val="single" w:color="000000" w:sz="4" w:space="0"/>
              <w:bottom w:val="single" w:color="auto" w:sz="4" w:space="0"/>
              <w:right w:val="single" w:color="auto" w:sz="4" w:space="0"/>
            </w:tcBorders>
            <w:noWrap w:val="0"/>
            <w:vAlign w:val="top"/>
          </w:tcPr>
          <w:p>
            <w:pPr>
              <w:widowControl/>
              <w:spacing w:line="360" w:lineRule="exact"/>
              <w:rPr>
                <w:rFonts w:hint="eastAsia" w:ascii="宋体" w:hAnsi="宋体" w:cs="宋体"/>
                <w:szCs w:val="21"/>
              </w:rPr>
            </w:pPr>
            <w:r>
              <w:rPr>
                <w:rFonts w:hint="eastAsia" w:ascii="宋体" w:hAnsi="宋体" w:cs="宋体"/>
                <w:szCs w:val="21"/>
              </w:rPr>
              <w:t>《河南省实施〈校车安全管理条例〉办法》（河南省人民政府令第162号）第十七条：学校应当按照隶属关系将校车安全管理责任书报省辖市或者县（市、区）人民政府教育部门备案。</w:t>
            </w:r>
          </w:p>
        </w:tc>
        <w:tc>
          <w:tcPr>
            <w:tcW w:w="1286" w:type="dxa"/>
            <w:tcBorders>
              <w:top w:val="single" w:color="auto" w:sz="4" w:space="0"/>
              <w:left w:val="single" w:color="000000" w:sz="4" w:space="0"/>
              <w:bottom w:val="single" w:color="auto" w:sz="4" w:space="0"/>
              <w:right w:val="single" w:color="auto" w:sz="4" w:space="0"/>
            </w:tcBorders>
            <w:noWrap w:val="0"/>
            <w:vAlign w:val="top"/>
          </w:tcPr>
          <w:p>
            <w:pPr>
              <w:spacing w:line="360" w:lineRule="exact"/>
              <w:jc w:val="left"/>
              <w:rPr>
                <w:rFonts w:hint="eastAsia" w:ascii="宋体" w:hAnsi="宋体" w:cs="宋体"/>
                <w:szCs w:val="21"/>
              </w:rPr>
            </w:pPr>
          </w:p>
          <w:p>
            <w:pPr>
              <w:spacing w:line="360" w:lineRule="exact"/>
              <w:jc w:val="left"/>
              <w:rPr>
                <w:rFonts w:hint="eastAsia" w:ascii="宋体" w:hAnsi="宋体" w:cs="宋体"/>
                <w:szCs w:val="21"/>
              </w:rPr>
            </w:pPr>
            <w:r>
              <w:rPr>
                <w:rFonts w:hint="eastAsia" w:ascii="宋体" w:hAnsi="宋体" w:cs="宋体"/>
                <w:szCs w:val="21"/>
              </w:rPr>
              <w:t>安全办</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8" w:hRule="atLeast"/>
        </w:trPr>
        <w:tc>
          <w:tcPr>
            <w:tcW w:w="640"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ind w:firstLine="210" w:firstLineChars="100"/>
              <w:jc w:val="left"/>
              <w:rPr>
                <w:rFonts w:hint="eastAsia" w:ascii="方正黑体简体" w:hAnsi="方正黑体简体" w:eastAsia="方正黑体简体" w:cs="方正黑体简体"/>
                <w:szCs w:val="21"/>
              </w:rPr>
            </w:pP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（三）</w:t>
            </w:r>
          </w:p>
          <w:p>
            <w:pPr>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财政专项资金分配</w:t>
            </w:r>
          </w:p>
        </w:tc>
        <w:tc>
          <w:tcPr>
            <w:tcW w:w="1821" w:type="dxa"/>
            <w:tcBorders>
              <w:top w:val="single" w:color="auto" w:sz="4" w:space="0"/>
              <w:left w:val="single" w:color="000000" w:sz="4" w:space="0"/>
              <w:bottom w:val="single" w:color="000000"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共</w:t>
            </w:r>
            <w:r>
              <w:rPr>
                <w:rFonts w:hint="eastAsia" w:ascii="宋体" w:hAnsi="宋体" w:cs="宋体"/>
                <w:szCs w:val="21"/>
                <w:lang w:eastAsia="zh-CN"/>
              </w:rPr>
              <w:t>二</w:t>
            </w:r>
            <w:r>
              <w:rPr>
                <w:rFonts w:hint="eastAsia" w:ascii="宋体" w:hAnsi="宋体" w:cs="宋体"/>
                <w:szCs w:val="21"/>
              </w:rPr>
              <w:t>项</w:t>
            </w:r>
          </w:p>
        </w:tc>
        <w:tc>
          <w:tcPr>
            <w:tcW w:w="4029" w:type="dxa"/>
            <w:tcBorders>
              <w:top w:val="single" w:color="auto" w:sz="4" w:space="0"/>
              <w:left w:val="single" w:color="000000" w:sz="4" w:space="0"/>
              <w:bottom w:val="single" w:color="000000" w:sz="4" w:space="0"/>
              <w:right w:val="single" w:color="auto" w:sz="4" w:space="0"/>
            </w:tcBorders>
            <w:noWrap w:val="0"/>
            <w:vAlign w:val="center"/>
          </w:tcPr>
          <w:p>
            <w:pPr>
              <w:spacing w:line="360" w:lineRule="exact"/>
              <w:rPr>
                <w:rFonts w:hint="eastAsia" w:ascii="宋体" w:hAnsi="宋体" w:cs="宋体"/>
                <w:szCs w:val="21"/>
              </w:rPr>
            </w:pPr>
          </w:p>
        </w:tc>
        <w:tc>
          <w:tcPr>
            <w:tcW w:w="1286" w:type="dxa"/>
            <w:tcBorders>
              <w:top w:val="single" w:color="auto" w:sz="4" w:space="0"/>
              <w:left w:val="single" w:color="000000" w:sz="4" w:space="0"/>
              <w:bottom w:val="single" w:color="000000" w:sz="4" w:space="0"/>
              <w:right w:val="single" w:color="auto" w:sz="4" w:space="0"/>
            </w:tcBorders>
            <w:noWrap w:val="0"/>
            <w:vAlign w:val="center"/>
          </w:tcPr>
          <w:p>
            <w:pPr>
              <w:spacing w:line="360" w:lineRule="exact"/>
              <w:rPr>
                <w:rFonts w:hint="eastAsia" w:ascii="宋体" w:hAnsi="宋体" w:cs="宋体"/>
                <w:szCs w:val="21"/>
              </w:rPr>
            </w:pPr>
          </w:p>
        </w:tc>
        <w:tc>
          <w:tcPr>
            <w:tcW w:w="835" w:type="dxa"/>
            <w:tcBorders>
              <w:top w:val="single" w:color="auto" w:sz="4" w:space="0"/>
              <w:left w:val="single" w:color="auto" w:sz="4" w:space="0"/>
              <w:bottom w:val="single" w:color="000000"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40" w:type="dxa"/>
            <w:noWrap w:val="0"/>
            <w:vAlign w:val="top"/>
          </w:tcPr>
          <w:p>
            <w:pPr>
              <w:widowControl/>
              <w:spacing w:line="360" w:lineRule="exact"/>
              <w:ind w:firstLine="105" w:firstLineChars="50"/>
              <w:jc w:val="left"/>
              <w:rPr>
                <w:rFonts w:hint="eastAsia" w:ascii="方正黑体简体" w:hAnsi="方正黑体简体" w:eastAsia="方正黑体简体" w:cs="方正黑体简体"/>
                <w:szCs w:val="21"/>
                <w:lang w:val="en-US" w:eastAsia="zh-CN"/>
              </w:rPr>
            </w:pPr>
            <w:r>
              <w:rPr>
                <w:rFonts w:hint="eastAsia" w:ascii="方正黑体简体" w:hAnsi="方正黑体简体" w:eastAsia="方正黑体简体" w:cs="方正黑体简体"/>
                <w:szCs w:val="21"/>
                <w:lang w:val="en-US" w:eastAsia="zh-CN"/>
              </w:rPr>
              <w:t>1</w:t>
            </w:r>
          </w:p>
        </w:tc>
        <w:tc>
          <w:tcPr>
            <w:tcW w:w="1123" w:type="dxa"/>
            <w:noWrap w:val="0"/>
            <w:vAlign w:val="top"/>
          </w:tcPr>
          <w:p>
            <w:pPr>
              <w:widowControl/>
              <w:spacing w:line="360" w:lineRule="exact"/>
              <w:jc w:val="left"/>
              <w:rPr>
                <w:rFonts w:hint="eastAsia" w:ascii="方正黑体简体" w:hAnsi="方正黑体简体" w:eastAsia="方正黑体简体" w:cs="方正黑体简体"/>
                <w:szCs w:val="21"/>
              </w:rPr>
            </w:pPr>
          </w:p>
        </w:tc>
        <w:tc>
          <w:tcPr>
            <w:tcW w:w="1821" w:type="dxa"/>
            <w:noWrap w:val="0"/>
            <w:vAlign w:val="center"/>
          </w:tcPr>
          <w:p>
            <w:pPr>
              <w:spacing w:line="360" w:lineRule="exact"/>
              <w:rPr>
                <w:rFonts w:hint="eastAsia" w:ascii="宋体" w:hAnsi="宋体" w:cs="宋体"/>
                <w:szCs w:val="21"/>
              </w:rPr>
            </w:pPr>
            <w:r>
              <w:rPr>
                <w:rFonts w:hint="eastAsia" w:ascii="宋体" w:hAnsi="宋体" w:cs="宋体"/>
                <w:szCs w:val="21"/>
              </w:rPr>
              <w:t xml:space="preserve"> “全面改薄”专项资金分配</w:t>
            </w:r>
          </w:p>
        </w:tc>
        <w:tc>
          <w:tcPr>
            <w:tcW w:w="4029" w:type="dxa"/>
            <w:noWrap w:val="0"/>
            <w:vAlign w:val="center"/>
          </w:tcPr>
          <w:p>
            <w:pPr>
              <w:spacing w:line="360" w:lineRule="exact"/>
              <w:rPr>
                <w:rFonts w:hint="eastAsia" w:ascii="宋体" w:hAnsi="宋体" w:cs="宋体"/>
                <w:szCs w:val="21"/>
              </w:rPr>
            </w:pPr>
            <w:r>
              <w:rPr>
                <w:rFonts w:hint="eastAsia" w:ascii="宋体" w:hAnsi="宋体" w:cs="宋体"/>
                <w:szCs w:val="21"/>
              </w:rPr>
              <w:t>教育部办公厅国家发展改革委办公厅财政部办公厅关于制定全面改善贫困地区义务教育薄弱学校基本办学条件实施方案的通知（教基一厅函[2014]26号）</w:t>
            </w:r>
          </w:p>
        </w:tc>
        <w:tc>
          <w:tcPr>
            <w:tcW w:w="1286" w:type="dxa"/>
            <w:noWrap w:val="0"/>
            <w:vAlign w:val="center"/>
          </w:tcPr>
          <w:p>
            <w:pPr>
              <w:spacing w:line="360" w:lineRule="exact"/>
              <w:rPr>
                <w:rFonts w:hint="eastAsia" w:ascii="宋体" w:hAnsi="宋体" w:cs="宋体"/>
                <w:szCs w:val="21"/>
              </w:rPr>
            </w:pPr>
            <w:r>
              <w:rPr>
                <w:rFonts w:hint="eastAsia" w:ascii="宋体" w:hAnsi="宋体" w:cs="宋体"/>
                <w:szCs w:val="21"/>
              </w:rPr>
              <w:t>相关股室</w:t>
            </w:r>
          </w:p>
        </w:tc>
        <w:tc>
          <w:tcPr>
            <w:tcW w:w="835" w:type="dxa"/>
            <w:noWrap w:val="0"/>
            <w:vAlign w:val="top"/>
          </w:tcPr>
          <w:p>
            <w:pPr>
              <w:widowControl/>
              <w:spacing w:line="360" w:lineRule="exact"/>
              <w:jc w:val="left"/>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640" w:type="dxa"/>
            <w:noWrap w:val="0"/>
            <w:vAlign w:val="center"/>
          </w:tcPr>
          <w:p>
            <w:pPr>
              <w:widowControl/>
              <w:spacing w:line="360" w:lineRule="exact"/>
              <w:jc w:val="center"/>
              <w:rPr>
                <w:rFonts w:hint="eastAsia" w:ascii="方正黑体简体" w:hAnsi="方正黑体简体" w:eastAsia="方正黑体简体" w:cs="方正黑体简体"/>
                <w:szCs w:val="21"/>
                <w:lang w:eastAsia="zh-CN"/>
              </w:rPr>
            </w:pPr>
            <w:r>
              <w:rPr>
                <w:rFonts w:hint="eastAsia" w:ascii="方正黑体简体" w:hAnsi="方正黑体简体" w:eastAsia="方正黑体简体" w:cs="方正黑体简体"/>
                <w:szCs w:val="21"/>
                <w:lang w:val="en-US" w:eastAsia="zh-CN"/>
              </w:rPr>
              <w:t>2</w:t>
            </w:r>
          </w:p>
        </w:tc>
        <w:tc>
          <w:tcPr>
            <w:tcW w:w="1123" w:type="dxa"/>
            <w:noWrap w:val="0"/>
            <w:vAlign w:val="center"/>
          </w:tcPr>
          <w:p>
            <w:pPr>
              <w:widowControl/>
              <w:spacing w:line="360" w:lineRule="exact"/>
              <w:jc w:val="center"/>
              <w:rPr>
                <w:rFonts w:hint="eastAsia" w:ascii="方正黑体简体" w:hAnsi="方正黑体简体" w:eastAsia="方正黑体简体" w:cs="方正黑体简体"/>
                <w:szCs w:val="21"/>
              </w:rPr>
            </w:pPr>
          </w:p>
        </w:tc>
        <w:tc>
          <w:tcPr>
            <w:tcW w:w="1821" w:type="dxa"/>
            <w:noWrap w:val="0"/>
            <w:vAlign w:val="center"/>
          </w:tcPr>
          <w:p>
            <w:pPr>
              <w:spacing w:line="360" w:lineRule="exact"/>
              <w:rPr>
                <w:rFonts w:hint="eastAsia" w:ascii="宋体" w:hAnsi="宋体" w:cs="宋体"/>
                <w:szCs w:val="21"/>
              </w:rPr>
            </w:pPr>
            <w:r>
              <w:rPr>
                <w:rFonts w:hint="eastAsia" w:ascii="宋体" w:hAnsi="宋体" w:cs="宋体"/>
                <w:szCs w:val="21"/>
              </w:rPr>
              <w:t>普通高中改造资金分配</w:t>
            </w:r>
          </w:p>
        </w:tc>
        <w:tc>
          <w:tcPr>
            <w:tcW w:w="4029" w:type="dxa"/>
            <w:noWrap w:val="0"/>
            <w:vAlign w:val="center"/>
          </w:tcPr>
          <w:p>
            <w:pPr>
              <w:spacing w:line="360" w:lineRule="exact"/>
              <w:rPr>
                <w:rFonts w:hint="eastAsia" w:ascii="宋体" w:hAnsi="宋体" w:cs="宋体"/>
                <w:szCs w:val="21"/>
              </w:rPr>
            </w:pPr>
            <w:r>
              <w:rPr>
                <w:rFonts w:hint="eastAsia" w:ascii="宋体" w:hAnsi="宋体" w:cs="宋体"/>
                <w:szCs w:val="21"/>
              </w:rPr>
              <w:t>河南省教育厅河南省发展改革委员会河南财政厅关于实施普通高中改造项目的通知（教基二[2012]583号）</w:t>
            </w:r>
          </w:p>
        </w:tc>
        <w:tc>
          <w:tcPr>
            <w:tcW w:w="1286" w:type="dxa"/>
            <w:noWrap w:val="0"/>
            <w:vAlign w:val="center"/>
          </w:tcPr>
          <w:p>
            <w:pPr>
              <w:spacing w:line="360" w:lineRule="exact"/>
              <w:rPr>
                <w:rFonts w:hint="eastAsia" w:ascii="宋体" w:hAnsi="宋体" w:cs="宋体"/>
                <w:szCs w:val="21"/>
              </w:rPr>
            </w:pPr>
            <w:r>
              <w:rPr>
                <w:rFonts w:hint="eastAsia" w:ascii="宋体" w:hAnsi="宋体" w:cs="宋体"/>
                <w:szCs w:val="21"/>
              </w:rPr>
              <w:t>相关股室</w:t>
            </w:r>
          </w:p>
        </w:tc>
        <w:tc>
          <w:tcPr>
            <w:tcW w:w="835" w:type="dxa"/>
            <w:noWrap w:val="0"/>
            <w:vAlign w:val="top"/>
          </w:tcPr>
          <w:p>
            <w:pPr>
              <w:widowControl/>
              <w:spacing w:line="360" w:lineRule="exact"/>
              <w:jc w:val="left"/>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640" w:type="dxa"/>
            <w:noWrap w:val="0"/>
            <w:vAlign w:val="top"/>
          </w:tcPr>
          <w:p>
            <w:pPr>
              <w:widowControl/>
              <w:spacing w:line="360" w:lineRule="exact"/>
              <w:jc w:val="left"/>
              <w:rPr>
                <w:rFonts w:hint="eastAsia" w:ascii="方正黑体简体" w:hAnsi="方正黑体简体" w:eastAsia="方正黑体简体" w:cs="方正黑体简体"/>
                <w:szCs w:val="21"/>
              </w:rPr>
            </w:pPr>
          </w:p>
        </w:tc>
        <w:tc>
          <w:tcPr>
            <w:tcW w:w="1123" w:type="dxa"/>
            <w:noWrap w:val="0"/>
            <w:vAlign w:val="top"/>
          </w:tcPr>
          <w:p>
            <w:pPr>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（四）其他审批权</w:t>
            </w:r>
          </w:p>
        </w:tc>
        <w:tc>
          <w:tcPr>
            <w:tcW w:w="1821" w:type="dxa"/>
            <w:noWrap w:val="0"/>
            <w:vAlign w:val="top"/>
          </w:tcPr>
          <w:p>
            <w:pPr>
              <w:widowControl/>
              <w:spacing w:line="360" w:lineRule="exact"/>
              <w:jc w:val="center"/>
              <w:rPr>
                <w:rFonts w:hint="eastAsia" w:ascii="宋体" w:hAnsi="宋体" w:cs="宋体"/>
                <w:szCs w:val="21"/>
              </w:rPr>
            </w:pPr>
            <w:r>
              <w:rPr>
                <w:rFonts w:hint="eastAsia" w:ascii="宋体" w:hAnsi="宋体" w:cs="宋体"/>
                <w:szCs w:val="21"/>
              </w:rPr>
              <w:t>共一项</w:t>
            </w:r>
          </w:p>
        </w:tc>
        <w:tc>
          <w:tcPr>
            <w:tcW w:w="4029" w:type="dxa"/>
            <w:noWrap w:val="0"/>
            <w:vAlign w:val="top"/>
          </w:tcPr>
          <w:p>
            <w:pPr>
              <w:widowControl/>
              <w:spacing w:line="360" w:lineRule="exact"/>
              <w:rPr>
                <w:rFonts w:hint="eastAsia" w:ascii="宋体" w:hAnsi="宋体" w:cs="宋体"/>
                <w:szCs w:val="21"/>
              </w:rPr>
            </w:pPr>
          </w:p>
        </w:tc>
        <w:tc>
          <w:tcPr>
            <w:tcW w:w="1286" w:type="dxa"/>
            <w:noWrap w:val="0"/>
            <w:vAlign w:val="top"/>
          </w:tcPr>
          <w:p>
            <w:pPr>
              <w:widowControl/>
              <w:spacing w:line="360" w:lineRule="exact"/>
              <w:jc w:val="left"/>
              <w:rPr>
                <w:rFonts w:hint="eastAsia" w:ascii="宋体" w:hAnsi="宋体" w:cs="宋体"/>
                <w:szCs w:val="21"/>
              </w:rPr>
            </w:pPr>
          </w:p>
        </w:tc>
        <w:tc>
          <w:tcPr>
            <w:tcW w:w="835" w:type="dxa"/>
            <w:noWrap w:val="0"/>
            <w:vAlign w:val="top"/>
          </w:tcPr>
          <w:p>
            <w:pPr>
              <w:widowControl/>
              <w:spacing w:line="360" w:lineRule="exact"/>
              <w:jc w:val="left"/>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640" w:type="dxa"/>
            <w:noWrap w:val="0"/>
            <w:vAlign w:val="top"/>
          </w:tcPr>
          <w:p>
            <w:pPr>
              <w:widowControl/>
              <w:spacing w:line="360" w:lineRule="exact"/>
              <w:jc w:val="left"/>
              <w:rPr>
                <w:rFonts w:hint="eastAsia" w:ascii="方正黑体简体" w:hAnsi="方正黑体简体" w:eastAsia="方正黑体简体" w:cs="方正黑体简体"/>
                <w:szCs w:val="21"/>
              </w:rPr>
            </w:pPr>
          </w:p>
          <w:p>
            <w:pPr>
              <w:widowControl/>
              <w:spacing w:line="360" w:lineRule="exact"/>
              <w:jc w:val="left"/>
              <w:rPr>
                <w:rFonts w:hint="eastAsia" w:ascii="方正黑体简体" w:hAnsi="方正黑体简体" w:eastAsia="方正黑体简体" w:cs="方正黑体简体"/>
                <w:szCs w:val="21"/>
              </w:rPr>
            </w:pPr>
          </w:p>
          <w:p>
            <w:pPr>
              <w:spacing w:line="360" w:lineRule="exact"/>
              <w:ind w:firstLine="105" w:firstLineChars="50"/>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1</w:t>
            </w:r>
          </w:p>
        </w:tc>
        <w:tc>
          <w:tcPr>
            <w:tcW w:w="1123" w:type="dxa"/>
            <w:noWrap w:val="0"/>
            <w:vAlign w:val="top"/>
          </w:tcPr>
          <w:p>
            <w:pPr>
              <w:spacing w:line="360" w:lineRule="exact"/>
              <w:jc w:val="left"/>
              <w:rPr>
                <w:rFonts w:hint="eastAsia" w:ascii="方正黑体简体" w:hAnsi="方正黑体简体" w:eastAsia="方正黑体简体" w:cs="方正黑体简体"/>
                <w:szCs w:val="21"/>
              </w:rPr>
            </w:pPr>
          </w:p>
          <w:p>
            <w:pPr>
              <w:spacing w:line="360" w:lineRule="exact"/>
              <w:jc w:val="left"/>
              <w:rPr>
                <w:rFonts w:hint="eastAsia" w:ascii="方正黑体简体" w:hAnsi="方正黑体简体" w:eastAsia="方正黑体简体" w:cs="方正黑体简体"/>
                <w:szCs w:val="21"/>
              </w:rPr>
            </w:pPr>
          </w:p>
          <w:p>
            <w:pPr>
              <w:spacing w:line="360" w:lineRule="exact"/>
              <w:jc w:val="left"/>
              <w:rPr>
                <w:rFonts w:hint="eastAsia" w:ascii="方正黑体简体" w:hAnsi="方正黑体简体" w:eastAsia="方正黑体简体" w:cs="方正黑体简体"/>
                <w:szCs w:val="21"/>
              </w:rPr>
            </w:pPr>
          </w:p>
        </w:tc>
        <w:tc>
          <w:tcPr>
            <w:tcW w:w="1821" w:type="dxa"/>
            <w:noWrap w:val="0"/>
            <w:vAlign w:val="top"/>
          </w:tcPr>
          <w:p>
            <w:pPr>
              <w:widowControl/>
              <w:spacing w:line="360" w:lineRule="exact"/>
              <w:jc w:val="left"/>
              <w:rPr>
                <w:rFonts w:hint="eastAsia" w:ascii="宋体" w:hAnsi="宋体" w:cs="宋体"/>
                <w:szCs w:val="21"/>
              </w:rPr>
            </w:pPr>
            <w:r>
              <w:rPr>
                <w:rFonts w:hint="eastAsia" w:ascii="宋体" w:hAnsi="宋体" w:cs="宋体"/>
                <w:szCs w:val="21"/>
              </w:rPr>
              <w:t>学校组织大型活动、外出活动的报批</w:t>
            </w:r>
          </w:p>
        </w:tc>
        <w:tc>
          <w:tcPr>
            <w:tcW w:w="4029" w:type="dxa"/>
            <w:noWrap w:val="0"/>
            <w:vAlign w:val="top"/>
          </w:tcPr>
          <w:p>
            <w:pPr>
              <w:spacing w:line="360" w:lineRule="exact"/>
              <w:rPr>
                <w:rFonts w:hint="eastAsia" w:ascii="宋体" w:hAnsi="宋体" w:cs="宋体"/>
                <w:szCs w:val="21"/>
              </w:rPr>
            </w:pPr>
            <w:r>
              <w:rPr>
                <w:rFonts w:hint="eastAsia" w:ascii="宋体" w:hAnsi="宋体" w:cs="宋体"/>
                <w:kern w:val="0"/>
                <w:szCs w:val="21"/>
              </w:rPr>
              <w:t>《河南省教育厅关于加强中小学校师生集体外出活动安全管理的通知》（教基〔2009〕588号）。“各中小学校组织师生集体外出活动，必须按照教育行政部门的有关规定，严格履行报批程序，未经县级及以上教育行政主管部门批准，任何单位和个人不得组织师生集体外出活动。”</w:t>
            </w:r>
          </w:p>
        </w:tc>
        <w:tc>
          <w:tcPr>
            <w:tcW w:w="1286" w:type="dxa"/>
            <w:noWrap w:val="0"/>
            <w:vAlign w:val="center"/>
          </w:tcPr>
          <w:p>
            <w:pPr>
              <w:widowControl/>
              <w:spacing w:line="360" w:lineRule="exact"/>
              <w:jc w:val="center"/>
              <w:rPr>
                <w:rFonts w:hint="eastAsia" w:ascii="宋体" w:hAnsi="宋体" w:cs="宋体"/>
                <w:szCs w:val="21"/>
              </w:rPr>
            </w:pPr>
            <w:r>
              <w:rPr>
                <w:rFonts w:hint="eastAsia" w:ascii="宋体" w:hAnsi="宋体" w:cs="宋体"/>
                <w:szCs w:val="21"/>
              </w:rPr>
              <w:t>安全办</w:t>
            </w:r>
          </w:p>
        </w:tc>
        <w:tc>
          <w:tcPr>
            <w:tcW w:w="835" w:type="dxa"/>
            <w:noWrap w:val="0"/>
            <w:vAlign w:val="top"/>
          </w:tcPr>
          <w:p>
            <w:pPr>
              <w:widowControl/>
              <w:spacing w:line="360" w:lineRule="exact"/>
              <w:jc w:val="left"/>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lang w:eastAsia="zh-CN"/>
              </w:rPr>
              <w:t>（五）</w:t>
            </w:r>
            <w:r>
              <w:rPr>
                <w:rFonts w:hint="eastAsia" w:ascii="方正黑体简体" w:hAnsi="方正黑体简体" w:eastAsia="方正黑体简体" w:cs="方正黑体简体"/>
                <w:szCs w:val="21"/>
              </w:rPr>
              <w:t>行 政奖 励</w:t>
            </w:r>
          </w:p>
        </w:tc>
        <w:tc>
          <w:tcPr>
            <w:tcW w:w="1821" w:type="dxa"/>
            <w:tcBorders>
              <w:top w:val="single" w:color="000000"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共</w:t>
            </w:r>
            <w:r>
              <w:rPr>
                <w:rFonts w:hint="eastAsia" w:ascii="宋体" w:hAnsi="宋体" w:cs="宋体"/>
                <w:szCs w:val="21"/>
                <w:lang w:eastAsia="zh-CN"/>
              </w:rPr>
              <w:t>十九</w:t>
            </w:r>
            <w:r>
              <w:rPr>
                <w:rFonts w:hint="eastAsia" w:ascii="宋体" w:hAnsi="宋体" w:cs="宋体"/>
                <w:szCs w:val="21"/>
              </w:rPr>
              <w:t>项</w:t>
            </w:r>
          </w:p>
        </w:tc>
        <w:tc>
          <w:tcPr>
            <w:tcW w:w="4029" w:type="dxa"/>
            <w:tcBorders>
              <w:top w:val="single" w:color="000000"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p>
        </w:tc>
        <w:tc>
          <w:tcPr>
            <w:tcW w:w="1286" w:type="dxa"/>
            <w:tcBorders>
              <w:top w:val="single" w:color="000000" w:sz="4" w:space="0"/>
              <w:left w:val="single" w:color="000000" w:sz="4" w:space="0"/>
              <w:bottom w:val="single" w:color="auto" w:sz="4" w:space="0"/>
              <w:right w:val="single" w:color="auto" w:sz="4" w:space="0"/>
            </w:tcBorders>
            <w:noWrap w:val="0"/>
            <w:vAlign w:val="center"/>
          </w:tcPr>
          <w:p>
            <w:pPr>
              <w:spacing w:line="360" w:lineRule="exact"/>
              <w:jc w:val="center"/>
              <w:rPr>
                <w:rFonts w:hint="eastAsia" w:ascii="宋体" w:hAnsi="宋体" w:cs="宋体"/>
                <w:szCs w:val="21"/>
              </w:rPr>
            </w:pPr>
          </w:p>
        </w:tc>
        <w:tc>
          <w:tcPr>
            <w:tcW w:w="835" w:type="dxa"/>
            <w:tcBorders>
              <w:top w:val="single" w:color="000000"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1</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rPr>
                <w:rFonts w:hint="eastAsia" w:ascii="宋体" w:hAnsi="宋体" w:cs="宋体"/>
                <w:szCs w:val="21"/>
              </w:rPr>
            </w:pPr>
            <w:r>
              <w:rPr>
                <w:rFonts w:hint="eastAsia" w:ascii="宋体" w:hAnsi="宋体" w:cs="宋体"/>
                <w:szCs w:val="21"/>
              </w:rPr>
              <w:t>扶持与表彰优秀民办学校和先进个人</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 xml:space="preserve">    民办教育促进法第七章第四十四条：县级以上各级人民政府可设立专项资金用于资助民办学校的发展，奖励和表彰有突出贡献的集体和个人。</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行政审批股</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2</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继续教育表彰</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《中小学教师继续教育规定》第十九条：各级人民政府教育行政部门要对中小学教师继续教育工作成绩优异的单位和个人予以表彰和奖励。</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人事股</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eastAsia="宋体" w:cs="宋体"/>
                <w:szCs w:val="21"/>
                <w:lang w:eastAsia="zh-CN"/>
              </w:rPr>
            </w:pPr>
            <w:r>
              <w:rPr>
                <w:rFonts w:hint="eastAsia" w:ascii="宋体" w:hAnsi="宋体" w:cs="宋体"/>
                <w:szCs w:val="21"/>
                <w:lang w:eastAsia="zh-CN"/>
              </w:rPr>
              <w:t>取消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10"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3</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rPr>
                <w:rFonts w:hint="eastAsia" w:ascii="宋体" w:hAnsi="宋体" w:cs="宋体"/>
                <w:szCs w:val="21"/>
              </w:rPr>
            </w:pPr>
            <w:r>
              <w:rPr>
                <w:rFonts w:hint="eastAsia" w:ascii="宋体" w:hAnsi="宋体" w:cs="宋体"/>
                <w:szCs w:val="21"/>
              </w:rPr>
              <w:t>优秀班主任</w:t>
            </w:r>
          </w:p>
          <w:p>
            <w:pPr>
              <w:spacing w:line="360" w:lineRule="exact"/>
              <w:rPr>
                <w:rFonts w:hint="eastAsia" w:ascii="宋体" w:hAnsi="宋体" w:cs="宋体"/>
                <w:szCs w:val="21"/>
              </w:rPr>
            </w:pPr>
            <w:r>
              <w:rPr>
                <w:rFonts w:hint="eastAsia" w:ascii="宋体" w:hAnsi="宋体" w:cs="宋体"/>
                <w:szCs w:val="21"/>
              </w:rPr>
              <w:t>优秀班集体评选表彰</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中小学校德育工作规程第五章第二十八条</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基础教育股</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4</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rPr>
                <w:rFonts w:hint="eastAsia" w:ascii="宋体" w:hAnsi="宋体" w:cs="宋体"/>
                <w:szCs w:val="21"/>
              </w:rPr>
            </w:pPr>
            <w:r>
              <w:rPr>
                <w:rFonts w:hint="eastAsia" w:ascii="宋体" w:hAnsi="宋体" w:cs="宋体"/>
                <w:szCs w:val="21"/>
              </w:rPr>
              <w:t>三好学生和优秀学生干部</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河南省教育厅《关于评选河南省普通高中三好学生和优秀学生班干部的通知》（教基二[2013]904号）</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基础教育股</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5</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rPr>
                <w:rFonts w:hint="eastAsia" w:ascii="宋体" w:hAnsi="宋体" w:cs="宋体"/>
                <w:szCs w:val="21"/>
              </w:rPr>
            </w:pPr>
            <w:r>
              <w:rPr>
                <w:rFonts w:hint="eastAsia" w:ascii="宋体" w:hAnsi="宋体" w:cs="宋体"/>
                <w:szCs w:val="21"/>
              </w:rPr>
              <w:t>安全工作评优评先</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《中小学幼儿园安全管理办法》（教育部令第23号）：第六十条：“对在学校安全工作中成绩显著或者做出突出贡献的单位和个人，应当视情况联合或者分别给予表彰、奖励。”</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安全办</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6</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安全优质课、优秀论文评选</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《河南省教育厅关于加强中小学公共安全教育教学工作的通知》（教基一〔2012〕396号）。“各级教育行政部门要把教师在公共安全教育教学中取得的观摩课、优质课、论文等荣誉作为职务评聘的条件之一。”</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安全办</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0"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7</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rPr>
                <w:rFonts w:hint="eastAsia" w:ascii="宋体" w:hAnsi="宋体" w:cs="宋体"/>
                <w:szCs w:val="21"/>
              </w:rPr>
            </w:pPr>
            <w:r>
              <w:rPr>
                <w:rFonts w:hint="eastAsia" w:ascii="宋体" w:hAnsi="宋体" w:cs="宋体"/>
                <w:kern w:val="0"/>
                <w:szCs w:val="21"/>
              </w:rPr>
              <w:t>平安校园评选</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kern w:val="0"/>
                <w:szCs w:val="21"/>
              </w:rPr>
              <w:t>《周口市教育局 周口市社会治安管理委员会办公室 周口市公安局》（</w:t>
            </w:r>
            <w:r>
              <w:rPr>
                <w:rFonts w:hint="eastAsia" w:ascii="宋体" w:hAnsi="宋体" w:cs="宋体"/>
                <w:bCs/>
                <w:kern w:val="0"/>
                <w:szCs w:val="21"/>
              </w:rPr>
              <w:t>教安〔2015〕306号）</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安全办</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4"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lang w:eastAsia="zh-CN"/>
              </w:rPr>
            </w:pPr>
            <w:r>
              <w:rPr>
                <w:rFonts w:hint="eastAsia" w:ascii="方正黑体简体" w:hAnsi="方正黑体简体" w:eastAsia="方正黑体简体" w:cs="方正黑体简体"/>
                <w:szCs w:val="21"/>
                <w:lang w:val="en-US" w:eastAsia="zh-CN"/>
              </w:rPr>
              <w:t>8</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rPr>
                <w:rFonts w:hint="eastAsia" w:ascii="宋体" w:hAnsi="宋体" w:cs="宋体"/>
                <w:szCs w:val="21"/>
              </w:rPr>
            </w:pPr>
            <w:r>
              <w:rPr>
                <w:rFonts w:hint="eastAsia" w:ascii="宋体" w:hAnsi="宋体" w:cs="宋体"/>
                <w:szCs w:val="21"/>
              </w:rPr>
              <w:t>对考核优秀的督学，给予表彰奖励。</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《中小学校责任督学挂牌督导办法》</w:t>
            </w:r>
            <w:r>
              <w:rPr>
                <w:rFonts w:hint="eastAsia" w:ascii="宋体" w:hAnsi="宋体" w:cs="宋体"/>
                <w:color w:val="000000"/>
                <w:szCs w:val="21"/>
              </w:rPr>
              <w:t>（国教督【2013】2号）</w:t>
            </w:r>
            <w:r>
              <w:rPr>
                <w:rFonts w:hint="eastAsia" w:ascii="宋体" w:hAnsi="宋体" w:cs="宋体"/>
                <w:szCs w:val="21"/>
              </w:rPr>
              <w:t>第十条：“教育督导部门要建立责任督学考核制度。对责任督学履行职责、开展工作和完成情况进行考核。对年度考核称职的督学，予以续聘；对考核优秀的督学，给予表彰奖励。</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相关股室</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lang w:eastAsia="zh-CN"/>
              </w:rPr>
            </w:pPr>
            <w:r>
              <w:rPr>
                <w:rFonts w:hint="eastAsia" w:ascii="方正黑体简体" w:hAnsi="方正黑体简体" w:eastAsia="方正黑体简体" w:cs="方正黑体简体"/>
                <w:szCs w:val="21"/>
                <w:lang w:val="en-US" w:eastAsia="zh-CN"/>
              </w:rPr>
              <w:t>9</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rPr>
                <w:rFonts w:hint="eastAsia" w:ascii="宋体" w:hAnsi="宋体" w:cs="宋体"/>
                <w:w w:val="99"/>
                <w:szCs w:val="21"/>
              </w:rPr>
            </w:pPr>
            <w:r>
              <w:rPr>
                <w:rFonts w:hint="eastAsia" w:ascii="宋体" w:hAnsi="宋体" w:cs="宋体"/>
                <w:w w:val="99"/>
                <w:szCs w:val="21"/>
              </w:rPr>
              <w:t>对在学校体育工作中成绩显著的单位和个人</w:t>
            </w:r>
            <w:r>
              <w:rPr>
                <w:rFonts w:hint="eastAsia" w:ascii="宋体" w:hAnsi="宋体" w:cs="宋体"/>
                <w:szCs w:val="21"/>
              </w:rPr>
              <w:t>给予表彰奖励。</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《学校体育工作条例》第二十六条“对在学校体育工作中成绩显著的单位和个人，各级教育、体育行政部门或者学校应当给予表彰、奖励。”</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eastAsia="宋体" w:cs="宋体"/>
                <w:szCs w:val="21"/>
                <w:lang w:eastAsia="zh-CN"/>
              </w:rPr>
            </w:pPr>
            <w:r>
              <w:rPr>
                <w:rFonts w:hint="eastAsia" w:ascii="宋体" w:hAnsi="宋体" w:cs="宋体"/>
                <w:szCs w:val="21"/>
                <w:lang w:eastAsia="zh-CN"/>
              </w:rPr>
              <w:t>体卫艺股</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8"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lang w:eastAsia="zh-CN"/>
              </w:rPr>
            </w:pPr>
            <w:r>
              <w:rPr>
                <w:rFonts w:hint="eastAsia" w:ascii="方正黑体简体" w:hAnsi="方正黑体简体" w:eastAsia="方正黑体简体" w:cs="方正黑体简体"/>
                <w:szCs w:val="21"/>
              </w:rPr>
              <w:t>1</w:t>
            </w:r>
            <w:r>
              <w:rPr>
                <w:rFonts w:hint="eastAsia" w:ascii="方正黑体简体" w:hAnsi="方正黑体简体" w:eastAsia="方正黑体简体" w:cs="方正黑体简体"/>
                <w:szCs w:val="21"/>
                <w:lang w:val="en-US" w:eastAsia="zh-CN"/>
              </w:rPr>
              <w:t>0</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对在学校艺术教育工作中成绩显著的单位和个人</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《学校艺术教育工作规程》第十七条“教育行政部门和学校对在学校体育工作中成绩显著的单位和个人，应当给予表彰和奖励。”</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eastAsia="宋体" w:cs="宋体"/>
                <w:szCs w:val="21"/>
                <w:lang w:eastAsia="zh-CN"/>
              </w:rPr>
            </w:pPr>
            <w:r>
              <w:rPr>
                <w:rFonts w:hint="eastAsia" w:ascii="宋体" w:hAnsi="宋体" w:cs="宋体"/>
                <w:szCs w:val="21"/>
                <w:lang w:eastAsia="zh-CN"/>
              </w:rPr>
              <w:t>体卫艺股</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4"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lang w:eastAsia="zh-CN"/>
              </w:rPr>
            </w:pPr>
            <w:r>
              <w:rPr>
                <w:rFonts w:hint="eastAsia" w:ascii="方正黑体简体" w:hAnsi="方正黑体简体" w:eastAsia="方正黑体简体" w:cs="方正黑体简体"/>
                <w:szCs w:val="21"/>
              </w:rPr>
              <w:t>1</w:t>
            </w:r>
            <w:r>
              <w:rPr>
                <w:rFonts w:hint="eastAsia" w:ascii="方正黑体简体" w:hAnsi="方正黑体简体" w:eastAsia="方正黑体简体" w:cs="方正黑体简体"/>
                <w:szCs w:val="21"/>
                <w:lang w:val="en-US" w:eastAsia="zh-CN"/>
              </w:rPr>
              <w:t>1</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jc w:val="center"/>
              <w:rPr>
                <w:rFonts w:hint="eastAsia" w:ascii="宋体" w:hAnsi="宋体" w:cs="宋体"/>
                <w:color w:val="FF0000"/>
                <w:szCs w:val="21"/>
              </w:rPr>
            </w:pPr>
            <w:r>
              <w:rPr>
                <w:rFonts w:hint="eastAsia" w:ascii="宋体" w:hAnsi="宋体" w:cs="宋体"/>
                <w:color w:val="FF0000"/>
                <w:szCs w:val="21"/>
              </w:rPr>
              <w:t>优秀教师、优秀教育工作者表彰</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中华人民共和国教师法》第七章第33条：“教师在教育教学、培养人才、科学研究、教学改革、学校建设、社会服务、勤工俭学等方面成绩优异的，由所在学校予以表彰、奖励。国务院和地方各级人民政府及其有关部门对有突出贡献的教师，应当予以表彰、奖励。对有重大贡献的教师，依照国家有关规定授予荣誉称号”。</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人事股</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eastAsia="宋体" w:cs="宋体"/>
                <w:szCs w:val="21"/>
                <w:lang w:eastAsia="zh-CN"/>
              </w:rPr>
            </w:pPr>
            <w:r>
              <w:rPr>
                <w:rFonts w:hint="eastAsia" w:ascii="宋体" w:hAnsi="宋体" w:cs="宋体"/>
                <w:szCs w:val="21"/>
                <w:lang w:eastAsia="zh-CN"/>
              </w:rPr>
              <w:t>保留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8"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lang w:eastAsia="zh-CN"/>
              </w:rPr>
            </w:pPr>
            <w:r>
              <w:rPr>
                <w:rFonts w:hint="eastAsia" w:ascii="方正黑体简体" w:hAnsi="方正黑体简体" w:eastAsia="方正黑体简体" w:cs="方正黑体简体"/>
                <w:szCs w:val="21"/>
              </w:rPr>
              <w:t>1</w:t>
            </w:r>
            <w:r>
              <w:rPr>
                <w:rFonts w:hint="eastAsia" w:ascii="方正黑体简体" w:hAnsi="方正黑体简体" w:eastAsia="方正黑体简体" w:cs="方正黑体简体"/>
                <w:szCs w:val="21"/>
                <w:lang w:val="en-US" w:eastAsia="zh-CN"/>
              </w:rPr>
              <w:t>2</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center"/>
          </w:tcPr>
          <w:p>
            <w:pPr>
              <w:spacing w:line="360" w:lineRule="exact"/>
              <w:rPr>
                <w:rFonts w:hint="eastAsia" w:ascii="宋体" w:hAnsi="宋体" w:cs="宋体"/>
                <w:color w:val="FF0000"/>
                <w:szCs w:val="21"/>
              </w:rPr>
            </w:pPr>
            <w:r>
              <w:rPr>
                <w:rFonts w:hint="eastAsia" w:ascii="宋体" w:hAnsi="宋体" w:cs="宋体"/>
                <w:color w:val="FF0000"/>
                <w:szCs w:val="21"/>
              </w:rPr>
              <w:t>评选推荐特级教师</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《河南省特级教师评选办法》（豫政〔１９９６〕５号）　第一条　为了鼓励广大中小学教师长期从事教育事业，进一步提高中小学教师的社会地位，表彰在中小学教育教学中有特殊贡献的教师，根据国家教委、人事部、财政部颁发的《特级教师评选规定》，结合我省实际情况，制定本办法。</w:t>
            </w:r>
          </w:p>
        </w:tc>
        <w:tc>
          <w:tcPr>
            <w:tcW w:w="1286"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rPr>
                <w:rFonts w:hint="eastAsia" w:ascii="宋体" w:hAnsi="宋体" w:cs="宋体"/>
                <w:szCs w:val="21"/>
              </w:rPr>
            </w:pPr>
            <w:r>
              <w:rPr>
                <w:rFonts w:hint="eastAsia" w:ascii="宋体" w:hAnsi="宋体" w:cs="宋体"/>
                <w:szCs w:val="21"/>
              </w:rPr>
              <w:t>人事股</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eastAsia="宋体" w:cs="宋体"/>
                <w:szCs w:val="21"/>
                <w:lang w:eastAsia="zh-CN"/>
              </w:rPr>
            </w:pPr>
            <w:r>
              <w:rPr>
                <w:rFonts w:hint="eastAsia" w:ascii="宋体" w:hAnsi="宋体" w:cs="宋体"/>
                <w:szCs w:val="21"/>
                <w:lang w:eastAsia="zh-CN"/>
              </w:rPr>
              <w:t>取消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lang w:val="en-US" w:eastAsia="zh-CN"/>
              </w:rPr>
            </w:pPr>
          </w:p>
          <w:p>
            <w:pPr>
              <w:spacing w:line="360" w:lineRule="exact"/>
              <w:jc w:val="center"/>
              <w:rPr>
                <w:rFonts w:hint="default" w:ascii="方正黑体简体" w:hAnsi="方正黑体简体" w:eastAsia="方正黑体简体" w:cs="方正黑体简体"/>
                <w:szCs w:val="21"/>
                <w:lang w:val="en-US" w:eastAsia="zh-CN"/>
              </w:rPr>
            </w:pPr>
            <w:r>
              <w:rPr>
                <w:rFonts w:hint="eastAsia" w:ascii="方正黑体简体" w:hAnsi="方正黑体简体" w:eastAsia="方正黑体简体" w:cs="方正黑体简体"/>
                <w:szCs w:val="21"/>
                <w:lang w:val="en-US" w:eastAsia="zh-CN"/>
              </w:rPr>
              <w:t>13</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top"/>
          </w:tcPr>
          <w:p>
            <w:pPr>
              <w:widowControl/>
              <w:spacing w:line="360" w:lineRule="exact"/>
              <w:ind w:firstLine="105" w:firstLineChars="50"/>
              <w:jc w:val="left"/>
              <w:rPr>
                <w:rFonts w:hint="eastAsia" w:ascii="宋体" w:hAnsi="宋体" w:cs="宋体"/>
                <w:szCs w:val="21"/>
              </w:rPr>
            </w:pPr>
            <w:r>
              <w:rPr>
                <w:rFonts w:hint="eastAsia" w:ascii="宋体" w:hAnsi="宋体" w:cs="宋体"/>
                <w:szCs w:val="21"/>
              </w:rPr>
              <w:t>年度目标考核先进单位</w:t>
            </w:r>
          </w:p>
        </w:tc>
        <w:tc>
          <w:tcPr>
            <w:tcW w:w="4029" w:type="dxa"/>
            <w:tcBorders>
              <w:top w:val="single" w:color="auto" w:sz="4" w:space="0"/>
              <w:left w:val="single" w:color="000000" w:sz="4" w:space="0"/>
              <w:bottom w:val="single" w:color="auto" w:sz="4" w:space="0"/>
              <w:right w:val="single" w:color="auto" w:sz="4" w:space="0"/>
            </w:tcBorders>
            <w:noWrap w:val="0"/>
            <w:vAlign w:val="top"/>
          </w:tcPr>
          <w:p>
            <w:pPr>
              <w:widowControl/>
              <w:spacing w:line="360" w:lineRule="exact"/>
              <w:ind w:firstLine="105" w:firstLineChars="50"/>
              <w:jc w:val="left"/>
              <w:rPr>
                <w:rFonts w:hint="eastAsia" w:ascii="宋体" w:hAnsi="宋体" w:cs="宋体"/>
                <w:szCs w:val="21"/>
              </w:rPr>
            </w:pPr>
            <w:r>
              <w:rPr>
                <w:rFonts w:hint="eastAsia" w:ascii="宋体" w:hAnsi="宋体" w:cs="宋体"/>
                <w:szCs w:val="21"/>
              </w:rPr>
              <w:t>《中华人民共和国义务教育法》第一章第十条“对在义务教育实施过程中做出突出贡献的社会组织和个人，各级人民政府及其有关部门按照有关规定给予表彰、奖励。”</w:t>
            </w:r>
          </w:p>
        </w:tc>
        <w:tc>
          <w:tcPr>
            <w:tcW w:w="1286" w:type="dxa"/>
            <w:tcBorders>
              <w:top w:val="single" w:color="auto" w:sz="4" w:space="0"/>
              <w:left w:val="single" w:color="000000" w:sz="4" w:space="0"/>
              <w:bottom w:val="single" w:color="auto" w:sz="4" w:space="0"/>
              <w:right w:val="single" w:color="auto" w:sz="4" w:space="0"/>
            </w:tcBorders>
            <w:noWrap w:val="0"/>
            <w:vAlign w:val="top"/>
          </w:tcPr>
          <w:p>
            <w:pPr>
              <w:widowControl/>
              <w:spacing w:line="360" w:lineRule="exact"/>
              <w:ind w:firstLine="105" w:firstLineChars="50"/>
              <w:jc w:val="left"/>
              <w:rPr>
                <w:rFonts w:hint="eastAsia" w:ascii="宋体" w:hAnsi="宋体" w:cs="宋体"/>
                <w:szCs w:val="21"/>
              </w:rPr>
            </w:pPr>
            <w:r>
              <w:rPr>
                <w:rFonts w:hint="eastAsia" w:ascii="宋体" w:hAnsi="宋体" w:cs="宋体"/>
                <w:szCs w:val="21"/>
              </w:rPr>
              <w:t>办公室</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5"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方正黑体简体" w:hAnsi="方正黑体简体" w:eastAsia="方正黑体简体" w:cs="方正黑体简体"/>
                <w:szCs w:val="21"/>
                <w:lang w:eastAsia="zh-CN"/>
              </w:rPr>
            </w:pPr>
            <w:r>
              <w:rPr>
                <w:rFonts w:hint="eastAsia" w:ascii="方正黑体简体" w:hAnsi="方正黑体简体" w:eastAsia="方正黑体简体" w:cs="方正黑体简体"/>
                <w:szCs w:val="21"/>
              </w:rPr>
              <w:t>1</w:t>
            </w:r>
            <w:r>
              <w:rPr>
                <w:rFonts w:hint="eastAsia" w:ascii="方正黑体简体" w:hAnsi="方正黑体简体" w:eastAsia="方正黑体简体" w:cs="方正黑体简体"/>
                <w:szCs w:val="21"/>
                <w:lang w:val="en-US" w:eastAsia="zh-CN"/>
              </w:rPr>
              <w:t>4</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top"/>
          </w:tcPr>
          <w:p>
            <w:pPr>
              <w:widowControl/>
              <w:spacing w:line="360" w:lineRule="exact"/>
              <w:ind w:firstLine="105" w:firstLineChars="50"/>
              <w:jc w:val="left"/>
              <w:rPr>
                <w:rFonts w:hint="eastAsia" w:ascii="宋体" w:hAnsi="宋体" w:cs="宋体"/>
                <w:szCs w:val="21"/>
              </w:rPr>
            </w:pPr>
            <w:r>
              <w:rPr>
                <w:rFonts w:hint="eastAsia" w:ascii="宋体" w:hAnsi="宋体" w:cs="宋体"/>
                <w:szCs w:val="21"/>
              </w:rPr>
              <w:t>“两争两创”表彰</w:t>
            </w:r>
          </w:p>
        </w:tc>
        <w:tc>
          <w:tcPr>
            <w:tcW w:w="4029" w:type="dxa"/>
            <w:tcBorders>
              <w:top w:val="single" w:color="auto" w:sz="4" w:space="0"/>
              <w:left w:val="single" w:color="000000" w:sz="4" w:space="0"/>
              <w:bottom w:val="single" w:color="auto" w:sz="4" w:space="0"/>
              <w:right w:val="single" w:color="auto" w:sz="4" w:space="0"/>
            </w:tcBorders>
            <w:noWrap w:val="0"/>
            <w:vAlign w:val="top"/>
          </w:tcPr>
          <w:p>
            <w:pPr>
              <w:widowControl/>
              <w:spacing w:line="360" w:lineRule="exact"/>
              <w:ind w:firstLine="105" w:firstLineChars="50"/>
              <w:jc w:val="left"/>
              <w:rPr>
                <w:rFonts w:hint="eastAsia" w:ascii="宋体" w:hAnsi="宋体" w:cs="宋体"/>
                <w:szCs w:val="21"/>
              </w:rPr>
            </w:pPr>
            <w:r>
              <w:rPr>
                <w:rFonts w:hint="eastAsia" w:ascii="宋体" w:hAnsi="宋体" w:cs="宋体"/>
                <w:szCs w:val="21"/>
              </w:rPr>
              <w:t>中共河南省委高校工委 河南省教育厅关于开展2012—2013年度两创两争活动先进集体和先进个人评选工作的通知（教思政〔2013〕501号）</w:t>
            </w:r>
          </w:p>
        </w:tc>
        <w:tc>
          <w:tcPr>
            <w:tcW w:w="1286" w:type="dxa"/>
            <w:tcBorders>
              <w:top w:val="single" w:color="auto" w:sz="4" w:space="0"/>
              <w:left w:val="single" w:color="000000" w:sz="4" w:space="0"/>
              <w:bottom w:val="single" w:color="auto" w:sz="4" w:space="0"/>
              <w:right w:val="single" w:color="auto" w:sz="4" w:space="0"/>
            </w:tcBorders>
            <w:noWrap w:val="0"/>
            <w:vAlign w:val="top"/>
          </w:tcPr>
          <w:p>
            <w:pPr>
              <w:widowControl/>
              <w:spacing w:line="360" w:lineRule="exact"/>
              <w:ind w:firstLine="105" w:firstLineChars="50"/>
              <w:jc w:val="left"/>
              <w:rPr>
                <w:rFonts w:hint="eastAsia" w:ascii="宋体" w:hAnsi="宋体" w:cs="宋体"/>
                <w:szCs w:val="21"/>
              </w:rPr>
            </w:pPr>
            <w:r>
              <w:rPr>
                <w:rFonts w:hint="eastAsia" w:ascii="宋体" w:hAnsi="宋体" w:cs="宋体"/>
                <w:szCs w:val="21"/>
              </w:rPr>
              <w:t>办公室</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2"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default" w:ascii="方正黑体简体" w:hAnsi="方正黑体简体" w:eastAsia="方正黑体简体" w:cs="方正黑体简体"/>
                <w:szCs w:val="21"/>
                <w:lang w:val="en-US" w:eastAsia="zh-CN"/>
              </w:rPr>
            </w:pPr>
            <w:r>
              <w:rPr>
                <w:rFonts w:hint="eastAsia" w:ascii="方正黑体简体" w:hAnsi="方正黑体简体" w:eastAsia="方正黑体简体" w:cs="方正黑体简体"/>
                <w:szCs w:val="21"/>
                <w:lang w:val="en-US" w:eastAsia="zh-CN"/>
              </w:rPr>
              <w:t>15</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top"/>
          </w:tcPr>
          <w:p>
            <w:pPr>
              <w:widowControl/>
              <w:spacing w:line="320" w:lineRule="exact"/>
              <w:ind w:firstLine="105" w:firstLineChars="50"/>
              <w:jc w:val="left"/>
              <w:rPr>
                <w:rFonts w:hint="eastAsia" w:ascii="宋体" w:hAnsi="宋体" w:cs="宋体"/>
                <w:szCs w:val="21"/>
              </w:rPr>
            </w:pPr>
            <w:r>
              <w:rPr>
                <w:rFonts w:hint="eastAsia" w:ascii="宋体" w:hAnsi="宋体" w:cs="宋体"/>
                <w:szCs w:val="21"/>
              </w:rPr>
              <w:t>评选高中招优秀监考员、先进工作者及普通高考、中考优秀考点。</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widowControl/>
              <w:spacing w:line="360" w:lineRule="exact"/>
              <w:ind w:firstLine="105" w:firstLineChars="50"/>
              <w:rPr>
                <w:rFonts w:hint="eastAsia" w:ascii="宋体" w:hAnsi="宋体" w:cs="宋体"/>
                <w:szCs w:val="21"/>
              </w:rPr>
            </w:pPr>
            <w:r>
              <w:rPr>
                <w:rFonts w:hint="eastAsia" w:ascii="宋体" w:hAnsi="宋体" w:cs="宋体"/>
                <w:szCs w:val="21"/>
              </w:rPr>
              <w:t>《河南省国家教育考试监考员管理办法》（[2005]51号）</w:t>
            </w:r>
          </w:p>
        </w:tc>
        <w:tc>
          <w:tcPr>
            <w:tcW w:w="1286" w:type="dxa"/>
            <w:tcBorders>
              <w:top w:val="single" w:color="auto" w:sz="4" w:space="0"/>
              <w:left w:val="single" w:color="000000" w:sz="4" w:space="0"/>
              <w:bottom w:val="single" w:color="auto" w:sz="4" w:space="0"/>
              <w:right w:val="single" w:color="auto" w:sz="4" w:space="0"/>
            </w:tcBorders>
            <w:noWrap w:val="0"/>
            <w:vAlign w:val="top"/>
          </w:tcPr>
          <w:p>
            <w:pPr>
              <w:widowControl/>
              <w:spacing w:line="360" w:lineRule="exact"/>
              <w:ind w:firstLine="105" w:firstLineChars="50"/>
              <w:jc w:val="left"/>
              <w:rPr>
                <w:rFonts w:hint="eastAsia" w:ascii="宋体" w:hAnsi="宋体" w:cs="宋体"/>
                <w:szCs w:val="21"/>
              </w:rPr>
            </w:pPr>
            <w:r>
              <w:rPr>
                <w:rFonts w:hint="eastAsia" w:ascii="宋体" w:hAnsi="宋体" w:cs="宋体"/>
                <w:szCs w:val="21"/>
              </w:rPr>
              <w:t>招生办</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2"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default" w:ascii="方正黑体简体" w:hAnsi="方正黑体简体" w:eastAsia="方正黑体简体" w:cs="方正黑体简体"/>
                <w:szCs w:val="21"/>
                <w:lang w:val="en-US" w:eastAsia="zh-CN"/>
              </w:rPr>
            </w:pPr>
            <w:r>
              <w:rPr>
                <w:rFonts w:hint="eastAsia" w:ascii="方正黑体简体" w:hAnsi="方正黑体简体" w:eastAsia="方正黑体简体" w:cs="方正黑体简体"/>
                <w:szCs w:val="21"/>
                <w:lang w:val="en-US" w:eastAsia="zh-CN"/>
              </w:rPr>
              <w:t>16</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top"/>
          </w:tcPr>
          <w:p>
            <w:pPr>
              <w:widowControl/>
              <w:spacing w:line="320" w:lineRule="exact"/>
              <w:ind w:firstLine="105" w:firstLineChars="50"/>
              <w:jc w:val="left"/>
              <w:rPr>
                <w:rFonts w:hint="eastAsia" w:ascii="宋体" w:hAnsi="宋体" w:eastAsia="宋体" w:cs="宋体"/>
                <w:szCs w:val="21"/>
                <w:lang w:eastAsia="zh-CN"/>
              </w:rPr>
            </w:pPr>
            <w:r>
              <w:rPr>
                <w:rFonts w:hint="eastAsia" w:ascii="宋体" w:hAnsi="宋体" w:cs="宋体"/>
                <w:szCs w:val="21"/>
              </w:rPr>
              <w:t>中等职业学校优秀学生、三好学生、优秀学生干部、先进班集体评选</w:t>
            </w:r>
            <w:r>
              <w:rPr>
                <w:rFonts w:hint="eastAsia" w:ascii="宋体" w:hAnsi="宋体" w:cs="宋体"/>
                <w:szCs w:val="21"/>
                <w:lang w:eastAsia="zh-CN"/>
              </w:rPr>
              <w:t>。职业学校师德师风先进个人表彰，</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widowControl/>
              <w:spacing w:line="360" w:lineRule="exact"/>
              <w:ind w:firstLine="105" w:firstLineChars="50"/>
              <w:rPr>
                <w:rFonts w:hint="eastAsia" w:ascii="宋体" w:hAnsi="宋体" w:cs="宋体"/>
                <w:szCs w:val="21"/>
              </w:rPr>
            </w:pPr>
            <w:r>
              <w:rPr>
                <w:rFonts w:hint="eastAsia" w:ascii="宋体" w:hAnsi="宋体" w:cs="宋体"/>
                <w:szCs w:val="21"/>
              </w:rPr>
              <w:t>《河南省教育厅关于评选2014年度中等职业学校优秀学生、三好学生、优秀学生干部、先进班集体的通知》（教职成[2013]1038号）</w:t>
            </w:r>
          </w:p>
          <w:p>
            <w:pPr>
              <w:widowControl/>
              <w:spacing w:line="360" w:lineRule="exact"/>
              <w:ind w:firstLine="105" w:firstLineChars="50"/>
              <w:rPr>
                <w:rFonts w:hint="eastAsia" w:ascii="宋体" w:hAnsi="宋体" w:eastAsia="宋体" w:cs="宋体"/>
                <w:szCs w:val="21"/>
                <w:lang w:eastAsia="zh-CN"/>
              </w:rPr>
            </w:pPr>
            <w:r>
              <w:rPr>
                <w:rFonts w:hint="eastAsia" w:ascii="宋体" w:hAnsi="宋体" w:cs="宋体"/>
                <w:szCs w:val="21"/>
                <w:lang w:eastAsia="zh-CN"/>
              </w:rPr>
              <w:t>《河南省教育厅关于进一步加强中等职业学校教师师德师风建设的意见》</w:t>
            </w:r>
            <w:r>
              <w:rPr>
                <w:rFonts w:hint="eastAsia" w:ascii="宋体" w:hAnsi="宋体" w:cs="宋体"/>
                <w:szCs w:val="21"/>
              </w:rPr>
              <w:t>（教职成[201</w:t>
            </w:r>
            <w:r>
              <w:rPr>
                <w:rFonts w:hint="eastAsia" w:ascii="宋体" w:hAnsi="宋体" w:cs="宋体"/>
                <w:szCs w:val="21"/>
                <w:lang w:val="en-US" w:eastAsia="zh-CN"/>
              </w:rPr>
              <w:t>5</w:t>
            </w:r>
            <w:r>
              <w:rPr>
                <w:rFonts w:hint="eastAsia" w:ascii="宋体" w:hAnsi="宋体" w:cs="宋体"/>
                <w:szCs w:val="21"/>
              </w:rPr>
              <w:t>]</w:t>
            </w:r>
            <w:r>
              <w:rPr>
                <w:rFonts w:hint="eastAsia" w:ascii="宋体" w:hAnsi="宋体" w:cs="宋体"/>
                <w:szCs w:val="21"/>
                <w:lang w:val="en-US" w:eastAsia="zh-CN"/>
              </w:rPr>
              <w:t>918</w:t>
            </w:r>
            <w:r>
              <w:rPr>
                <w:rFonts w:hint="eastAsia" w:ascii="宋体" w:hAnsi="宋体" w:cs="宋体"/>
                <w:szCs w:val="21"/>
              </w:rPr>
              <w:t>号）</w:t>
            </w:r>
          </w:p>
        </w:tc>
        <w:tc>
          <w:tcPr>
            <w:tcW w:w="1286" w:type="dxa"/>
            <w:tcBorders>
              <w:top w:val="single" w:color="auto" w:sz="4" w:space="0"/>
              <w:left w:val="single" w:color="000000" w:sz="4" w:space="0"/>
              <w:bottom w:val="single" w:color="auto" w:sz="4" w:space="0"/>
              <w:right w:val="single" w:color="auto" w:sz="4" w:space="0"/>
            </w:tcBorders>
            <w:noWrap w:val="0"/>
            <w:vAlign w:val="top"/>
          </w:tcPr>
          <w:p>
            <w:pPr>
              <w:widowControl/>
              <w:spacing w:line="360" w:lineRule="exact"/>
              <w:jc w:val="left"/>
              <w:rPr>
                <w:rFonts w:hint="eastAsia" w:ascii="宋体" w:hAnsi="宋体" w:cs="宋体"/>
                <w:szCs w:val="21"/>
              </w:rPr>
            </w:pPr>
          </w:p>
          <w:p>
            <w:pPr>
              <w:widowControl/>
              <w:spacing w:line="360" w:lineRule="exact"/>
              <w:jc w:val="left"/>
              <w:rPr>
                <w:rFonts w:hint="eastAsia" w:ascii="宋体" w:hAnsi="宋体" w:cs="宋体"/>
                <w:szCs w:val="21"/>
              </w:rPr>
            </w:pPr>
            <w:r>
              <w:rPr>
                <w:rFonts w:hint="eastAsia" w:ascii="宋体" w:hAnsi="宋体" w:cs="宋体"/>
                <w:szCs w:val="21"/>
              </w:rPr>
              <w:t>职成教股</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2"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default" w:ascii="方正黑体简体" w:hAnsi="方正黑体简体" w:eastAsia="方正黑体简体" w:cs="方正黑体简体"/>
                <w:szCs w:val="21"/>
                <w:lang w:val="en-US" w:eastAsia="zh-CN"/>
              </w:rPr>
            </w:pPr>
            <w:r>
              <w:rPr>
                <w:rFonts w:hint="eastAsia" w:ascii="方正黑体简体" w:hAnsi="方正黑体简体" w:eastAsia="方正黑体简体" w:cs="方正黑体简体"/>
                <w:szCs w:val="21"/>
                <w:lang w:val="en-US" w:eastAsia="zh-CN"/>
              </w:rPr>
              <w:t>17</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top"/>
          </w:tcPr>
          <w:p>
            <w:pPr>
              <w:widowControl/>
              <w:spacing w:line="320" w:lineRule="exact"/>
              <w:ind w:firstLine="105" w:firstLineChars="50"/>
              <w:jc w:val="left"/>
              <w:rPr>
                <w:rFonts w:hint="eastAsia" w:ascii="宋体" w:hAnsi="宋体" w:cs="宋体"/>
                <w:szCs w:val="21"/>
              </w:rPr>
            </w:pPr>
            <w:r>
              <w:rPr>
                <w:rFonts w:hint="eastAsia" w:ascii="宋体" w:hAnsi="宋体" w:cs="宋体"/>
                <w:szCs w:val="21"/>
              </w:rPr>
              <w:t>职教优质课、优秀论文评选</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widowControl/>
              <w:spacing w:line="360" w:lineRule="exact"/>
              <w:ind w:firstLine="105" w:firstLineChars="50"/>
              <w:rPr>
                <w:rFonts w:hint="eastAsia" w:ascii="宋体" w:hAnsi="宋体" w:cs="宋体"/>
                <w:szCs w:val="21"/>
              </w:rPr>
            </w:pPr>
            <w:r>
              <w:rPr>
                <w:rFonts w:hint="eastAsia" w:ascii="宋体" w:hAnsi="宋体" w:cs="宋体"/>
                <w:szCs w:val="21"/>
              </w:rPr>
              <w:t>《周口市教育局关于做好2014年度职业教育与成人教育优秀教学论文和教学课件（市级）推荐（省级）工作的通知》（教职成[2014]160号）</w:t>
            </w:r>
          </w:p>
        </w:tc>
        <w:tc>
          <w:tcPr>
            <w:tcW w:w="1286" w:type="dxa"/>
            <w:tcBorders>
              <w:top w:val="single" w:color="auto" w:sz="4" w:space="0"/>
              <w:left w:val="single" w:color="000000" w:sz="4" w:space="0"/>
              <w:bottom w:val="single" w:color="auto" w:sz="4" w:space="0"/>
              <w:right w:val="single" w:color="auto" w:sz="4" w:space="0"/>
            </w:tcBorders>
            <w:noWrap w:val="0"/>
            <w:vAlign w:val="top"/>
          </w:tcPr>
          <w:p>
            <w:pPr>
              <w:widowControl/>
              <w:spacing w:line="360" w:lineRule="exact"/>
              <w:jc w:val="left"/>
              <w:rPr>
                <w:rFonts w:hint="eastAsia" w:ascii="宋体" w:hAnsi="宋体" w:cs="宋体"/>
                <w:szCs w:val="21"/>
              </w:rPr>
            </w:pPr>
            <w:r>
              <w:rPr>
                <w:rFonts w:hint="eastAsia" w:ascii="宋体" w:hAnsi="宋体" w:cs="宋体"/>
                <w:szCs w:val="21"/>
              </w:rPr>
              <w:t>职成教股</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default" w:ascii="方正黑体简体" w:hAnsi="方正黑体简体" w:eastAsia="方正黑体简体" w:cs="方正黑体简体"/>
                <w:szCs w:val="21"/>
                <w:lang w:val="en-US" w:eastAsia="zh-CN"/>
              </w:rPr>
            </w:pPr>
            <w:r>
              <w:rPr>
                <w:rFonts w:hint="eastAsia" w:ascii="方正黑体简体" w:hAnsi="方正黑体简体" w:eastAsia="方正黑体简体" w:cs="方正黑体简体"/>
                <w:szCs w:val="21"/>
                <w:lang w:val="en-US" w:eastAsia="zh-CN"/>
              </w:rPr>
              <w:t>18</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top"/>
          </w:tcPr>
          <w:p>
            <w:pPr>
              <w:widowControl/>
              <w:spacing w:line="320" w:lineRule="exact"/>
              <w:ind w:firstLine="105" w:firstLineChars="50"/>
              <w:jc w:val="left"/>
              <w:rPr>
                <w:rFonts w:hint="eastAsia" w:ascii="宋体" w:hAnsi="宋体" w:cs="宋体"/>
                <w:szCs w:val="21"/>
              </w:rPr>
            </w:pPr>
            <w:r>
              <w:rPr>
                <w:rFonts w:hint="eastAsia" w:ascii="宋体" w:hAnsi="宋体" w:cs="宋体"/>
                <w:szCs w:val="21"/>
              </w:rPr>
              <w:t>全民健身活动表先</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widowControl/>
              <w:spacing w:line="360" w:lineRule="exact"/>
              <w:ind w:firstLine="105" w:firstLineChars="50"/>
              <w:rPr>
                <w:rFonts w:hint="eastAsia" w:ascii="宋体" w:hAnsi="宋体" w:cs="宋体"/>
                <w:szCs w:val="21"/>
              </w:rPr>
            </w:pPr>
            <w:r>
              <w:rPr>
                <w:rFonts w:hint="eastAsia" w:ascii="宋体" w:hAnsi="宋体" w:cs="宋体"/>
                <w:szCs w:val="21"/>
              </w:rPr>
              <w:t>《中央集中彩票公益金支持体育事业专项资金管理办法》（财教[2013]481号）</w:t>
            </w:r>
          </w:p>
        </w:tc>
        <w:tc>
          <w:tcPr>
            <w:tcW w:w="1286" w:type="dxa"/>
            <w:tcBorders>
              <w:top w:val="single" w:color="auto" w:sz="4" w:space="0"/>
              <w:left w:val="single" w:color="000000" w:sz="4" w:space="0"/>
              <w:bottom w:val="single" w:color="auto" w:sz="4" w:space="0"/>
              <w:right w:val="single" w:color="auto" w:sz="4" w:space="0"/>
            </w:tcBorders>
            <w:noWrap w:val="0"/>
            <w:vAlign w:val="top"/>
          </w:tcPr>
          <w:p>
            <w:pPr>
              <w:widowControl/>
              <w:spacing w:line="360" w:lineRule="exact"/>
              <w:jc w:val="left"/>
              <w:rPr>
                <w:rFonts w:hint="eastAsia" w:ascii="宋体" w:hAnsi="宋体" w:cs="宋体"/>
                <w:szCs w:val="21"/>
              </w:rPr>
            </w:pPr>
            <w:r>
              <w:rPr>
                <w:rFonts w:hint="eastAsia" w:ascii="宋体" w:hAnsi="宋体" w:cs="宋体"/>
                <w:szCs w:val="21"/>
              </w:rPr>
              <w:t>体育竞赛股</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5" w:hRule="atLeast"/>
        </w:trPr>
        <w:tc>
          <w:tcPr>
            <w:tcW w:w="640"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default" w:ascii="方正黑体简体" w:hAnsi="方正黑体简体" w:eastAsia="方正黑体简体" w:cs="方正黑体简体"/>
                <w:szCs w:val="21"/>
                <w:lang w:val="en-US" w:eastAsia="zh-CN"/>
              </w:rPr>
            </w:pPr>
            <w:r>
              <w:rPr>
                <w:rFonts w:hint="eastAsia" w:ascii="方正黑体简体" w:hAnsi="方正黑体简体" w:eastAsia="方正黑体简体" w:cs="方正黑体简体"/>
                <w:szCs w:val="21"/>
                <w:lang w:val="en-US" w:eastAsia="zh-CN"/>
              </w:rPr>
              <w:t>19</w:t>
            </w:r>
          </w:p>
        </w:tc>
        <w:tc>
          <w:tcPr>
            <w:tcW w:w="1123" w:type="dxa"/>
            <w:tcBorders>
              <w:top w:val="single" w:color="auto" w:sz="4" w:space="0"/>
              <w:left w:val="single" w:color="000000" w:sz="4" w:space="0"/>
              <w:bottom w:val="single" w:color="auto" w:sz="4" w:space="0"/>
              <w:right w:val="single" w:color="000000" w:sz="4" w:space="0"/>
            </w:tcBorders>
            <w:noWrap w:val="0"/>
            <w:vAlign w:val="center"/>
          </w:tcPr>
          <w:p>
            <w:pPr>
              <w:widowControl/>
              <w:spacing w:line="360" w:lineRule="exact"/>
              <w:jc w:val="left"/>
              <w:rPr>
                <w:rFonts w:hint="eastAsia" w:ascii="方正黑体简体" w:hAnsi="方正黑体简体" w:eastAsia="方正黑体简体" w:cs="方正黑体简体"/>
                <w:szCs w:val="21"/>
              </w:rPr>
            </w:pPr>
          </w:p>
        </w:tc>
        <w:tc>
          <w:tcPr>
            <w:tcW w:w="1821" w:type="dxa"/>
            <w:tcBorders>
              <w:top w:val="single" w:color="auto" w:sz="4" w:space="0"/>
              <w:left w:val="single" w:color="000000" w:sz="4" w:space="0"/>
              <w:bottom w:val="single" w:color="auto" w:sz="4" w:space="0"/>
              <w:right w:val="single" w:color="000000" w:sz="4" w:space="0"/>
            </w:tcBorders>
            <w:noWrap w:val="0"/>
            <w:vAlign w:val="top"/>
          </w:tcPr>
          <w:p>
            <w:pPr>
              <w:spacing w:line="320" w:lineRule="exact"/>
              <w:ind w:firstLine="105" w:firstLineChars="50"/>
              <w:jc w:val="left"/>
              <w:rPr>
                <w:rFonts w:hint="eastAsia" w:ascii="宋体" w:hAnsi="宋体" w:cs="宋体"/>
                <w:szCs w:val="21"/>
              </w:rPr>
            </w:pPr>
            <w:r>
              <w:rPr>
                <w:rFonts w:hint="eastAsia" w:ascii="宋体" w:hAnsi="宋体" w:cs="宋体"/>
                <w:szCs w:val="21"/>
              </w:rPr>
              <w:t>社团首席指导教师表彰</w:t>
            </w:r>
          </w:p>
        </w:tc>
        <w:tc>
          <w:tcPr>
            <w:tcW w:w="4029" w:type="dxa"/>
            <w:tcBorders>
              <w:top w:val="single" w:color="auto" w:sz="4" w:space="0"/>
              <w:left w:val="single" w:color="000000" w:sz="4" w:space="0"/>
              <w:bottom w:val="single" w:color="auto" w:sz="4" w:space="0"/>
              <w:right w:val="single" w:color="auto" w:sz="4" w:space="0"/>
            </w:tcBorders>
            <w:noWrap w:val="0"/>
            <w:vAlign w:val="center"/>
          </w:tcPr>
          <w:p>
            <w:pPr>
              <w:spacing w:line="360" w:lineRule="exact"/>
              <w:ind w:firstLine="105" w:firstLineChars="50"/>
              <w:rPr>
                <w:rFonts w:hint="eastAsia" w:ascii="宋体" w:hAnsi="宋体" w:cs="宋体"/>
                <w:szCs w:val="21"/>
              </w:rPr>
            </w:pPr>
            <w:r>
              <w:rPr>
                <w:rFonts w:hint="eastAsia" w:ascii="宋体" w:hAnsi="宋体" w:cs="宋体"/>
                <w:szCs w:val="21"/>
              </w:rPr>
              <w:t>《周口市教育局关于开展全市中小学优秀社团评选活动的通知》教基[2016]169号文件</w:t>
            </w:r>
          </w:p>
        </w:tc>
        <w:tc>
          <w:tcPr>
            <w:tcW w:w="1286" w:type="dxa"/>
            <w:tcBorders>
              <w:top w:val="single" w:color="auto" w:sz="4" w:space="0"/>
              <w:left w:val="single" w:color="000000" w:sz="4" w:space="0"/>
              <w:bottom w:val="single" w:color="auto" w:sz="4" w:space="0"/>
              <w:right w:val="single" w:color="auto" w:sz="4" w:space="0"/>
            </w:tcBorders>
            <w:noWrap w:val="0"/>
            <w:vAlign w:val="top"/>
          </w:tcPr>
          <w:p>
            <w:pPr>
              <w:spacing w:line="360" w:lineRule="exact"/>
              <w:jc w:val="left"/>
              <w:rPr>
                <w:rFonts w:hint="eastAsia" w:ascii="宋体" w:hAnsi="宋体" w:cs="宋体"/>
                <w:szCs w:val="21"/>
              </w:rPr>
            </w:pPr>
            <w:r>
              <w:rPr>
                <w:rFonts w:hint="eastAsia" w:ascii="宋体" w:hAnsi="宋体" w:cs="宋体"/>
                <w:szCs w:val="21"/>
              </w:rPr>
              <w:t>基础教育股</w:t>
            </w:r>
          </w:p>
        </w:tc>
        <w:tc>
          <w:tcPr>
            <w:tcW w:w="83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40" w:type="dxa"/>
            <w:noWrap w:val="0"/>
            <w:vAlign w:val="top"/>
          </w:tcPr>
          <w:p>
            <w:pPr>
              <w:spacing w:line="360" w:lineRule="exact"/>
              <w:jc w:val="left"/>
              <w:rPr>
                <w:rFonts w:hint="eastAsia" w:ascii="方正黑体简体" w:hAnsi="方正黑体简体" w:eastAsia="方正黑体简体" w:cs="方正黑体简体"/>
                <w:szCs w:val="21"/>
              </w:rPr>
            </w:pPr>
          </w:p>
        </w:tc>
        <w:tc>
          <w:tcPr>
            <w:tcW w:w="1123" w:type="dxa"/>
            <w:noWrap w:val="0"/>
            <w:vAlign w:val="top"/>
          </w:tcPr>
          <w:p>
            <w:pPr>
              <w:widowControl/>
              <w:spacing w:line="360" w:lineRule="exac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w:t>
            </w:r>
            <w:r>
              <w:rPr>
                <w:rFonts w:hint="eastAsia" w:ascii="方正黑体简体" w:hAnsi="方正黑体简体" w:eastAsia="方正黑体简体" w:cs="方正黑体简体"/>
                <w:szCs w:val="21"/>
                <w:lang w:eastAsia="zh-CN"/>
              </w:rPr>
              <w:t>六</w:t>
            </w:r>
            <w:r>
              <w:rPr>
                <w:rFonts w:hint="eastAsia" w:ascii="方正黑体简体" w:hAnsi="方正黑体简体" w:eastAsia="方正黑体简体" w:cs="方正黑体简体"/>
                <w:szCs w:val="21"/>
              </w:rPr>
              <w:t>）其他</w:t>
            </w:r>
          </w:p>
        </w:tc>
        <w:tc>
          <w:tcPr>
            <w:tcW w:w="1821" w:type="dxa"/>
            <w:noWrap w:val="0"/>
            <w:vAlign w:val="center"/>
          </w:tcPr>
          <w:p>
            <w:pPr>
              <w:spacing w:line="360" w:lineRule="exact"/>
              <w:jc w:val="center"/>
              <w:rPr>
                <w:rFonts w:hint="eastAsia" w:ascii="宋体" w:hAnsi="宋体" w:cs="宋体"/>
                <w:szCs w:val="21"/>
              </w:rPr>
            </w:pPr>
            <w:r>
              <w:rPr>
                <w:rFonts w:hint="eastAsia" w:ascii="宋体" w:hAnsi="宋体" w:cs="宋体"/>
                <w:szCs w:val="21"/>
              </w:rPr>
              <w:t>共十</w:t>
            </w:r>
            <w:r>
              <w:rPr>
                <w:rFonts w:hint="eastAsia" w:ascii="宋体" w:hAnsi="宋体" w:cs="宋体"/>
                <w:szCs w:val="21"/>
                <w:lang w:eastAsia="zh-CN"/>
              </w:rPr>
              <w:t>一</w:t>
            </w:r>
            <w:r>
              <w:rPr>
                <w:rFonts w:hint="eastAsia" w:ascii="宋体" w:hAnsi="宋体" w:cs="宋体"/>
                <w:szCs w:val="21"/>
              </w:rPr>
              <w:t>项</w:t>
            </w:r>
          </w:p>
        </w:tc>
        <w:tc>
          <w:tcPr>
            <w:tcW w:w="4029" w:type="dxa"/>
            <w:noWrap w:val="0"/>
            <w:vAlign w:val="top"/>
          </w:tcPr>
          <w:p>
            <w:pPr>
              <w:spacing w:line="360" w:lineRule="exact"/>
              <w:rPr>
                <w:rFonts w:hint="eastAsia" w:ascii="宋体" w:hAnsi="宋体" w:cs="宋体"/>
                <w:szCs w:val="21"/>
              </w:rPr>
            </w:pPr>
          </w:p>
        </w:tc>
        <w:tc>
          <w:tcPr>
            <w:tcW w:w="1286" w:type="dxa"/>
            <w:noWrap w:val="0"/>
            <w:vAlign w:val="top"/>
          </w:tcPr>
          <w:p>
            <w:pPr>
              <w:spacing w:line="360" w:lineRule="exact"/>
              <w:jc w:val="left"/>
              <w:rPr>
                <w:rFonts w:hint="eastAsia" w:ascii="宋体" w:hAnsi="宋体" w:cs="宋体"/>
                <w:szCs w:val="21"/>
              </w:rPr>
            </w:pPr>
          </w:p>
        </w:tc>
        <w:tc>
          <w:tcPr>
            <w:tcW w:w="835" w:type="dxa"/>
            <w:noWrap w:val="0"/>
            <w:vAlign w:val="top"/>
          </w:tcPr>
          <w:p>
            <w:pPr>
              <w:widowControl/>
              <w:spacing w:line="360" w:lineRule="exact"/>
              <w:jc w:val="left"/>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640" w:type="dxa"/>
            <w:noWrap w:val="0"/>
            <w:vAlign w:val="center"/>
          </w:tcPr>
          <w:p>
            <w:pPr>
              <w:spacing w:line="360" w:lineRule="exact"/>
              <w:jc w:val="left"/>
              <w:rPr>
                <w:rFonts w:hint="eastAsia" w:ascii="方正黑体简体" w:hAnsi="方正黑体简体" w:eastAsia="方正黑体简体" w:cs="方正黑体简体"/>
                <w:szCs w:val="21"/>
                <w:lang w:eastAsia="zh-CN"/>
              </w:rPr>
            </w:pPr>
            <w:r>
              <w:rPr>
                <w:rFonts w:hint="eastAsia" w:ascii="方正黑体简体" w:hAnsi="方正黑体简体" w:eastAsia="方正黑体简体" w:cs="方正黑体简体"/>
                <w:szCs w:val="21"/>
                <w:lang w:val="en-US" w:eastAsia="zh-CN"/>
              </w:rPr>
              <w:t>1</w:t>
            </w:r>
          </w:p>
        </w:tc>
        <w:tc>
          <w:tcPr>
            <w:tcW w:w="1123" w:type="dxa"/>
            <w:noWrap w:val="0"/>
            <w:vAlign w:val="center"/>
          </w:tcPr>
          <w:p>
            <w:pPr>
              <w:spacing w:line="360" w:lineRule="exact"/>
              <w:jc w:val="left"/>
              <w:rPr>
                <w:rFonts w:hint="eastAsia" w:ascii="方正黑体简体" w:hAnsi="方正黑体简体" w:eastAsia="方正黑体简体" w:cs="方正黑体简体"/>
                <w:szCs w:val="21"/>
              </w:rPr>
            </w:pPr>
          </w:p>
        </w:tc>
        <w:tc>
          <w:tcPr>
            <w:tcW w:w="1821" w:type="dxa"/>
            <w:noWrap w:val="0"/>
            <w:vAlign w:val="center"/>
          </w:tcPr>
          <w:p>
            <w:pPr>
              <w:spacing w:line="360" w:lineRule="exact"/>
              <w:jc w:val="center"/>
              <w:rPr>
                <w:rFonts w:hint="eastAsia" w:ascii="宋体" w:hAnsi="宋体" w:cs="宋体"/>
                <w:szCs w:val="21"/>
              </w:rPr>
            </w:pPr>
            <w:r>
              <w:rPr>
                <w:rFonts w:hint="eastAsia" w:ascii="宋体" w:hAnsi="宋体" w:cs="宋体"/>
                <w:szCs w:val="21"/>
              </w:rPr>
              <w:t>高中信息技术学科毕业生会考费</w:t>
            </w:r>
          </w:p>
        </w:tc>
        <w:tc>
          <w:tcPr>
            <w:tcW w:w="4029" w:type="dxa"/>
            <w:noWrap w:val="0"/>
            <w:vAlign w:val="center"/>
          </w:tcPr>
          <w:p>
            <w:pPr>
              <w:spacing w:line="360" w:lineRule="exact"/>
              <w:rPr>
                <w:rFonts w:hint="eastAsia" w:ascii="宋体" w:hAnsi="宋体" w:cs="宋体"/>
                <w:szCs w:val="21"/>
              </w:rPr>
            </w:pPr>
            <w:r>
              <w:rPr>
                <w:rFonts w:hint="eastAsia" w:ascii="宋体" w:hAnsi="宋体" w:cs="宋体"/>
                <w:szCs w:val="21"/>
              </w:rPr>
              <w:t>省发改委、省财政厅豫发改收费[2013]1676号</w:t>
            </w:r>
          </w:p>
        </w:tc>
        <w:tc>
          <w:tcPr>
            <w:tcW w:w="1286" w:type="dxa"/>
            <w:noWrap w:val="0"/>
            <w:vAlign w:val="center"/>
          </w:tcPr>
          <w:p>
            <w:pPr>
              <w:spacing w:line="360" w:lineRule="exact"/>
              <w:jc w:val="center"/>
              <w:rPr>
                <w:rFonts w:hint="eastAsia" w:ascii="宋体" w:hAnsi="宋体" w:cs="宋体"/>
                <w:szCs w:val="21"/>
              </w:rPr>
            </w:pPr>
            <w:r>
              <w:rPr>
                <w:rFonts w:hint="eastAsia" w:ascii="宋体" w:hAnsi="宋体" w:cs="宋体"/>
                <w:szCs w:val="21"/>
              </w:rPr>
              <w:t>计财股</w:t>
            </w:r>
          </w:p>
        </w:tc>
        <w:tc>
          <w:tcPr>
            <w:tcW w:w="835" w:type="dxa"/>
            <w:noWrap w:val="0"/>
            <w:vAlign w:val="top"/>
          </w:tcPr>
          <w:p>
            <w:pPr>
              <w:widowControl/>
              <w:spacing w:line="360" w:lineRule="exact"/>
              <w:jc w:val="left"/>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0" w:type="dxa"/>
            <w:noWrap w:val="0"/>
            <w:vAlign w:val="center"/>
          </w:tcPr>
          <w:p>
            <w:pPr>
              <w:spacing w:line="360" w:lineRule="exact"/>
              <w:jc w:val="left"/>
              <w:rPr>
                <w:rFonts w:hint="eastAsia" w:ascii="方正黑体简体" w:hAnsi="方正黑体简体" w:eastAsia="方正黑体简体" w:cs="方正黑体简体"/>
                <w:szCs w:val="21"/>
                <w:lang w:eastAsia="zh-CN"/>
              </w:rPr>
            </w:pPr>
            <w:r>
              <w:rPr>
                <w:rFonts w:hint="eastAsia" w:ascii="方正黑体简体" w:hAnsi="方正黑体简体" w:eastAsia="方正黑体简体" w:cs="方正黑体简体"/>
                <w:szCs w:val="21"/>
                <w:lang w:val="en-US" w:eastAsia="zh-CN"/>
              </w:rPr>
              <w:t>2</w:t>
            </w:r>
          </w:p>
        </w:tc>
        <w:tc>
          <w:tcPr>
            <w:tcW w:w="1123" w:type="dxa"/>
            <w:noWrap w:val="0"/>
            <w:vAlign w:val="center"/>
          </w:tcPr>
          <w:p>
            <w:pPr>
              <w:spacing w:line="360" w:lineRule="exact"/>
              <w:jc w:val="left"/>
              <w:rPr>
                <w:rFonts w:hint="eastAsia" w:ascii="方正黑体简体" w:hAnsi="方正黑体简体" w:eastAsia="方正黑体简体" w:cs="方正黑体简体"/>
                <w:szCs w:val="21"/>
              </w:rPr>
            </w:pPr>
          </w:p>
        </w:tc>
        <w:tc>
          <w:tcPr>
            <w:tcW w:w="1821" w:type="dxa"/>
            <w:noWrap w:val="0"/>
            <w:vAlign w:val="center"/>
          </w:tcPr>
          <w:p>
            <w:pPr>
              <w:spacing w:line="360" w:lineRule="exact"/>
              <w:jc w:val="center"/>
              <w:rPr>
                <w:rFonts w:hint="eastAsia" w:ascii="宋体" w:hAnsi="宋体" w:cs="宋体"/>
                <w:szCs w:val="21"/>
              </w:rPr>
            </w:pPr>
            <w:r>
              <w:rPr>
                <w:rFonts w:hint="eastAsia" w:ascii="宋体" w:hAnsi="宋体" w:cs="宋体"/>
                <w:szCs w:val="21"/>
              </w:rPr>
              <w:t>中招报名考务费</w:t>
            </w:r>
          </w:p>
        </w:tc>
        <w:tc>
          <w:tcPr>
            <w:tcW w:w="4029" w:type="dxa"/>
            <w:noWrap w:val="0"/>
            <w:vAlign w:val="center"/>
          </w:tcPr>
          <w:p>
            <w:pPr>
              <w:spacing w:line="360" w:lineRule="exact"/>
              <w:rPr>
                <w:rFonts w:hint="eastAsia" w:ascii="宋体" w:hAnsi="宋体" w:cs="宋体"/>
                <w:szCs w:val="21"/>
              </w:rPr>
            </w:pPr>
            <w:r>
              <w:rPr>
                <w:rFonts w:hint="eastAsia" w:ascii="宋体" w:hAnsi="宋体" w:cs="宋体"/>
                <w:szCs w:val="21"/>
              </w:rPr>
              <w:t>省纪委、省财政厅、省教育厅豫计收费[2003]966号</w:t>
            </w:r>
          </w:p>
        </w:tc>
        <w:tc>
          <w:tcPr>
            <w:tcW w:w="1286" w:type="dxa"/>
            <w:noWrap w:val="0"/>
            <w:vAlign w:val="center"/>
          </w:tcPr>
          <w:p>
            <w:pPr>
              <w:spacing w:line="360" w:lineRule="exact"/>
              <w:jc w:val="center"/>
              <w:rPr>
                <w:rFonts w:hint="eastAsia" w:ascii="宋体" w:hAnsi="宋体" w:cs="宋体"/>
                <w:szCs w:val="21"/>
              </w:rPr>
            </w:pPr>
            <w:r>
              <w:rPr>
                <w:rFonts w:hint="eastAsia" w:ascii="宋体" w:hAnsi="宋体" w:cs="宋体"/>
                <w:szCs w:val="21"/>
              </w:rPr>
              <w:t>计财股</w:t>
            </w:r>
          </w:p>
        </w:tc>
        <w:tc>
          <w:tcPr>
            <w:tcW w:w="835" w:type="dxa"/>
            <w:noWrap w:val="0"/>
            <w:vAlign w:val="top"/>
          </w:tcPr>
          <w:p>
            <w:pPr>
              <w:widowControl/>
              <w:spacing w:line="360" w:lineRule="exact"/>
              <w:jc w:val="left"/>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640" w:type="dxa"/>
            <w:noWrap w:val="0"/>
            <w:vAlign w:val="center"/>
          </w:tcPr>
          <w:p>
            <w:pPr>
              <w:spacing w:line="360" w:lineRule="exact"/>
              <w:jc w:val="left"/>
              <w:rPr>
                <w:rFonts w:hint="eastAsia" w:ascii="方正黑体简体" w:hAnsi="方正黑体简体" w:eastAsia="方正黑体简体" w:cs="方正黑体简体"/>
                <w:szCs w:val="21"/>
                <w:lang w:eastAsia="zh-CN"/>
              </w:rPr>
            </w:pPr>
            <w:r>
              <w:rPr>
                <w:rFonts w:hint="eastAsia" w:ascii="方正黑体简体" w:hAnsi="方正黑体简体" w:eastAsia="方正黑体简体" w:cs="方正黑体简体"/>
                <w:szCs w:val="21"/>
                <w:lang w:val="en-US" w:eastAsia="zh-CN"/>
              </w:rPr>
              <w:t>3</w:t>
            </w:r>
          </w:p>
        </w:tc>
        <w:tc>
          <w:tcPr>
            <w:tcW w:w="1123" w:type="dxa"/>
            <w:noWrap w:val="0"/>
            <w:vAlign w:val="center"/>
          </w:tcPr>
          <w:p>
            <w:pPr>
              <w:spacing w:line="360" w:lineRule="exact"/>
              <w:jc w:val="left"/>
              <w:rPr>
                <w:rFonts w:hint="eastAsia" w:ascii="方正黑体简体" w:hAnsi="方正黑体简体" w:eastAsia="方正黑体简体" w:cs="方正黑体简体"/>
                <w:szCs w:val="21"/>
              </w:rPr>
            </w:pPr>
          </w:p>
        </w:tc>
        <w:tc>
          <w:tcPr>
            <w:tcW w:w="1821" w:type="dxa"/>
            <w:noWrap w:val="0"/>
            <w:vAlign w:val="center"/>
          </w:tcPr>
          <w:p>
            <w:pPr>
              <w:spacing w:line="360" w:lineRule="exact"/>
              <w:jc w:val="center"/>
              <w:rPr>
                <w:rFonts w:hint="eastAsia" w:ascii="宋体" w:hAnsi="宋体" w:cs="宋体"/>
                <w:szCs w:val="21"/>
              </w:rPr>
            </w:pPr>
            <w:r>
              <w:rPr>
                <w:rFonts w:hint="eastAsia" w:ascii="宋体" w:hAnsi="宋体" w:cs="宋体"/>
                <w:szCs w:val="21"/>
              </w:rPr>
              <w:t>初中毕业升学考试体育考务费</w:t>
            </w:r>
          </w:p>
        </w:tc>
        <w:tc>
          <w:tcPr>
            <w:tcW w:w="4029" w:type="dxa"/>
            <w:noWrap w:val="0"/>
            <w:vAlign w:val="center"/>
          </w:tcPr>
          <w:p>
            <w:pPr>
              <w:spacing w:line="360" w:lineRule="exact"/>
              <w:rPr>
                <w:rFonts w:hint="eastAsia" w:ascii="宋体" w:hAnsi="宋体" w:cs="宋体"/>
                <w:szCs w:val="21"/>
              </w:rPr>
            </w:pPr>
            <w:r>
              <w:rPr>
                <w:rFonts w:hint="eastAsia" w:ascii="宋体" w:hAnsi="宋体" w:cs="宋体"/>
                <w:szCs w:val="21"/>
              </w:rPr>
              <w:t>财政厅、省教委、省物价局价费字[1998]269号豫财预外字[1998]23号</w:t>
            </w:r>
          </w:p>
        </w:tc>
        <w:tc>
          <w:tcPr>
            <w:tcW w:w="1286" w:type="dxa"/>
            <w:noWrap w:val="0"/>
            <w:vAlign w:val="center"/>
          </w:tcPr>
          <w:p>
            <w:pPr>
              <w:spacing w:line="360" w:lineRule="exact"/>
              <w:jc w:val="center"/>
              <w:rPr>
                <w:rFonts w:hint="eastAsia" w:ascii="宋体" w:hAnsi="宋体" w:cs="宋体"/>
                <w:szCs w:val="21"/>
              </w:rPr>
            </w:pPr>
            <w:r>
              <w:rPr>
                <w:rFonts w:hint="eastAsia" w:ascii="宋体" w:hAnsi="宋体" w:cs="宋体"/>
                <w:szCs w:val="21"/>
              </w:rPr>
              <w:t>计财股</w:t>
            </w:r>
          </w:p>
        </w:tc>
        <w:tc>
          <w:tcPr>
            <w:tcW w:w="835" w:type="dxa"/>
            <w:noWrap w:val="0"/>
            <w:vAlign w:val="top"/>
          </w:tcPr>
          <w:p>
            <w:pPr>
              <w:widowControl/>
              <w:spacing w:line="360" w:lineRule="exact"/>
              <w:jc w:val="left"/>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640" w:type="dxa"/>
            <w:noWrap w:val="0"/>
            <w:vAlign w:val="center"/>
          </w:tcPr>
          <w:p>
            <w:pPr>
              <w:spacing w:line="360" w:lineRule="exact"/>
              <w:jc w:val="left"/>
              <w:rPr>
                <w:rFonts w:hint="eastAsia" w:ascii="方正黑体简体" w:hAnsi="方正黑体简体" w:eastAsia="方正黑体简体" w:cs="方正黑体简体"/>
                <w:szCs w:val="21"/>
                <w:lang w:eastAsia="zh-CN"/>
              </w:rPr>
            </w:pPr>
            <w:r>
              <w:rPr>
                <w:rFonts w:hint="eastAsia" w:ascii="方正黑体简体" w:hAnsi="方正黑体简体" w:eastAsia="方正黑体简体" w:cs="方正黑体简体"/>
                <w:szCs w:val="21"/>
                <w:lang w:val="en-US" w:eastAsia="zh-CN"/>
              </w:rPr>
              <w:t>4</w:t>
            </w:r>
          </w:p>
        </w:tc>
        <w:tc>
          <w:tcPr>
            <w:tcW w:w="1123" w:type="dxa"/>
            <w:noWrap w:val="0"/>
            <w:vAlign w:val="center"/>
          </w:tcPr>
          <w:p>
            <w:pPr>
              <w:spacing w:line="360" w:lineRule="exact"/>
              <w:jc w:val="left"/>
              <w:rPr>
                <w:rFonts w:hint="eastAsia" w:ascii="方正黑体简体" w:hAnsi="方正黑体简体" w:eastAsia="方正黑体简体" w:cs="方正黑体简体"/>
                <w:szCs w:val="21"/>
              </w:rPr>
            </w:pPr>
          </w:p>
        </w:tc>
        <w:tc>
          <w:tcPr>
            <w:tcW w:w="1821" w:type="dxa"/>
            <w:noWrap w:val="0"/>
            <w:vAlign w:val="center"/>
          </w:tcPr>
          <w:p>
            <w:pPr>
              <w:spacing w:line="360" w:lineRule="exact"/>
              <w:rPr>
                <w:rFonts w:hint="eastAsia" w:ascii="宋体" w:hAnsi="宋体" w:cs="宋体"/>
                <w:szCs w:val="21"/>
              </w:rPr>
            </w:pPr>
            <w:r>
              <w:rPr>
                <w:rFonts w:hint="eastAsia" w:ascii="宋体" w:hAnsi="宋体" w:cs="宋体"/>
                <w:szCs w:val="21"/>
              </w:rPr>
              <w:t>聘任专、兼职督学</w:t>
            </w:r>
          </w:p>
        </w:tc>
        <w:tc>
          <w:tcPr>
            <w:tcW w:w="4029" w:type="dxa"/>
            <w:noWrap w:val="0"/>
            <w:vAlign w:val="center"/>
          </w:tcPr>
          <w:p>
            <w:pPr>
              <w:spacing w:line="360" w:lineRule="exact"/>
              <w:rPr>
                <w:rFonts w:hint="eastAsia" w:ascii="宋体" w:hAnsi="宋体" w:cs="宋体"/>
                <w:szCs w:val="21"/>
              </w:rPr>
            </w:pPr>
            <w:r>
              <w:rPr>
                <w:rFonts w:hint="eastAsia" w:ascii="宋体" w:hAnsi="宋体" w:cs="宋体"/>
                <w:szCs w:val="21"/>
              </w:rPr>
              <w:t>《国家教育督导条例》（国务院第624号）第六条：国家实行督学制度。县级以上人民政府根据教育督导工作需要，为教育督导机构配备专职督学。教育督导机构可以根据教育督导工作需要聘任兼职督学。兼职督学的任期为3年，可以连续任职，连续任职不得超过三个任期。</w:t>
            </w:r>
          </w:p>
        </w:tc>
        <w:tc>
          <w:tcPr>
            <w:tcW w:w="1286" w:type="dxa"/>
            <w:noWrap w:val="0"/>
            <w:vAlign w:val="center"/>
          </w:tcPr>
          <w:p>
            <w:pPr>
              <w:spacing w:line="360" w:lineRule="exact"/>
              <w:jc w:val="center"/>
              <w:rPr>
                <w:rFonts w:hint="eastAsia" w:ascii="宋体" w:hAnsi="宋体" w:cs="宋体"/>
                <w:szCs w:val="21"/>
              </w:rPr>
            </w:pPr>
            <w:r>
              <w:rPr>
                <w:rFonts w:hint="eastAsia" w:ascii="宋体" w:hAnsi="宋体" w:cs="宋体"/>
                <w:szCs w:val="21"/>
              </w:rPr>
              <w:t>相关股室</w:t>
            </w:r>
          </w:p>
        </w:tc>
        <w:tc>
          <w:tcPr>
            <w:tcW w:w="835" w:type="dxa"/>
            <w:noWrap w:val="0"/>
            <w:vAlign w:val="top"/>
          </w:tcPr>
          <w:p>
            <w:pPr>
              <w:spacing w:line="360" w:lineRule="exact"/>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640" w:type="dxa"/>
            <w:noWrap w:val="0"/>
            <w:vAlign w:val="center"/>
          </w:tcPr>
          <w:p>
            <w:pPr>
              <w:spacing w:line="360" w:lineRule="exact"/>
              <w:jc w:val="left"/>
              <w:rPr>
                <w:rFonts w:hint="eastAsia" w:ascii="方正黑体简体" w:hAnsi="方正黑体简体" w:eastAsia="方正黑体简体" w:cs="方正黑体简体"/>
                <w:szCs w:val="21"/>
                <w:lang w:val="en-US" w:eastAsia="zh-CN"/>
              </w:rPr>
            </w:pPr>
            <w:r>
              <w:rPr>
                <w:rFonts w:hint="eastAsia" w:ascii="方正黑体简体" w:hAnsi="方正黑体简体" w:eastAsia="方正黑体简体" w:cs="方正黑体简体"/>
                <w:szCs w:val="21"/>
                <w:lang w:val="en-US" w:eastAsia="zh-CN"/>
              </w:rPr>
              <w:t>5</w:t>
            </w:r>
          </w:p>
        </w:tc>
        <w:tc>
          <w:tcPr>
            <w:tcW w:w="1123" w:type="dxa"/>
            <w:noWrap w:val="0"/>
            <w:vAlign w:val="center"/>
          </w:tcPr>
          <w:p>
            <w:pPr>
              <w:spacing w:line="360" w:lineRule="exact"/>
              <w:jc w:val="left"/>
              <w:rPr>
                <w:rFonts w:hint="eastAsia" w:ascii="方正黑体简体" w:hAnsi="方正黑体简体" w:eastAsia="方正黑体简体" w:cs="方正黑体简体"/>
                <w:szCs w:val="21"/>
              </w:rPr>
            </w:pPr>
          </w:p>
        </w:tc>
        <w:tc>
          <w:tcPr>
            <w:tcW w:w="1821" w:type="dxa"/>
            <w:noWrap w:val="0"/>
            <w:vAlign w:val="center"/>
          </w:tcPr>
          <w:p>
            <w:pPr>
              <w:spacing w:line="360" w:lineRule="exact"/>
              <w:jc w:val="center"/>
              <w:rPr>
                <w:rFonts w:hint="eastAsia" w:ascii="宋体" w:hAnsi="宋体" w:cs="宋体"/>
                <w:szCs w:val="21"/>
              </w:rPr>
            </w:pPr>
            <w:r>
              <w:rPr>
                <w:rFonts w:hint="eastAsia" w:ascii="宋体" w:hAnsi="宋体" w:cs="宋体"/>
                <w:szCs w:val="21"/>
              </w:rPr>
              <w:t>聘任责任督学</w:t>
            </w:r>
          </w:p>
        </w:tc>
        <w:tc>
          <w:tcPr>
            <w:tcW w:w="4029" w:type="dxa"/>
            <w:noWrap w:val="0"/>
            <w:vAlign w:val="center"/>
          </w:tcPr>
          <w:p>
            <w:pPr>
              <w:spacing w:line="360" w:lineRule="exact"/>
              <w:rPr>
                <w:rFonts w:hint="eastAsia" w:ascii="宋体" w:hAnsi="宋体" w:cs="宋体"/>
                <w:szCs w:val="21"/>
              </w:rPr>
            </w:pPr>
            <w:r>
              <w:rPr>
                <w:rFonts w:hint="eastAsia" w:ascii="宋体" w:hAnsi="宋体" w:cs="宋体"/>
                <w:szCs w:val="21"/>
              </w:rPr>
              <w:t>《中小学校责任督学挂牌督导办法》</w:t>
            </w:r>
            <w:r>
              <w:rPr>
                <w:rFonts w:hint="eastAsia" w:ascii="宋体" w:hAnsi="宋体" w:cs="宋体"/>
                <w:color w:val="000000"/>
                <w:szCs w:val="21"/>
              </w:rPr>
              <w:t>（国教督【2013】2号）</w:t>
            </w:r>
            <w:r>
              <w:rPr>
                <w:rFonts w:hint="eastAsia" w:ascii="宋体" w:hAnsi="宋体" w:cs="宋体"/>
                <w:szCs w:val="21"/>
              </w:rPr>
              <w:t>第二条：“责任督学由教育督导部门聘任，颁发督学证，实行注册登记，直接管理。”</w:t>
            </w:r>
          </w:p>
        </w:tc>
        <w:tc>
          <w:tcPr>
            <w:tcW w:w="1286" w:type="dxa"/>
            <w:noWrap w:val="0"/>
            <w:vAlign w:val="center"/>
          </w:tcPr>
          <w:p>
            <w:pPr>
              <w:spacing w:line="360" w:lineRule="exact"/>
              <w:jc w:val="center"/>
              <w:rPr>
                <w:rFonts w:hint="eastAsia" w:ascii="宋体" w:hAnsi="宋体" w:cs="宋体"/>
                <w:szCs w:val="21"/>
              </w:rPr>
            </w:pPr>
            <w:r>
              <w:rPr>
                <w:rFonts w:hint="eastAsia" w:ascii="宋体" w:hAnsi="宋体" w:cs="宋体"/>
                <w:szCs w:val="21"/>
              </w:rPr>
              <w:t>相关股室</w:t>
            </w:r>
          </w:p>
        </w:tc>
        <w:tc>
          <w:tcPr>
            <w:tcW w:w="835" w:type="dxa"/>
            <w:noWrap w:val="0"/>
            <w:vAlign w:val="top"/>
          </w:tcPr>
          <w:p>
            <w:pPr>
              <w:spacing w:line="360" w:lineRule="exact"/>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6</w:t>
            </w:r>
          </w:p>
        </w:tc>
        <w:tc>
          <w:tcPr>
            <w:tcW w:w="1123" w:type="dxa"/>
            <w:noWrap w:val="0"/>
            <w:vAlign w:val="center"/>
          </w:tcPr>
          <w:p>
            <w:pPr>
              <w:spacing w:line="360" w:lineRule="exact"/>
              <w:jc w:val="left"/>
              <w:rPr>
                <w:rFonts w:hint="eastAsia" w:ascii="方正黑体简体" w:hAnsi="方正黑体简体" w:eastAsia="方正黑体简体" w:cs="方正黑体简体"/>
                <w:szCs w:val="21"/>
              </w:rPr>
            </w:pPr>
          </w:p>
        </w:tc>
        <w:tc>
          <w:tcPr>
            <w:tcW w:w="1821" w:type="dxa"/>
            <w:noWrap w:val="0"/>
            <w:vAlign w:val="center"/>
          </w:tcPr>
          <w:p>
            <w:pPr>
              <w:spacing w:line="360" w:lineRule="exact"/>
              <w:rPr>
                <w:rFonts w:hint="eastAsia" w:ascii="宋体" w:hAnsi="宋体" w:cs="宋体"/>
                <w:szCs w:val="21"/>
              </w:rPr>
            </w:pPr>
            <w:r>
              <w:rPr>
                <w:rFonts w:hint="eastAsia" w:ascii="宋体" w:hAnsi="宋体" w:cs="宋体"/>
                <w:color w:val="FF0000"/>
                <w:szCs w:val="21"/>
              </w:rPr>
              <w:t>中小学教师继续教育登记</w:t>
            </w:r>
          </w:p>
        </w:tc>
        <w:tc>
          <w:tcPr>
            <w:tcW w:w="4029" w:type="dxa"/>
            <w:noWrap w:val="0"/>
            <w:vAlign w:val="center"/>
          </w:tcPr>
          <w:p>
            <w:pPr>
              <w:spacing w:line="360" w:lineRule="exact"/>
              <w:rPr>
                <w:rFonts w:hint="eastAsia" w:ascii="宋体" w:hAnsi="宋体" w:cs="宋体"/>
                <w:szCs w:val="21"/>
              </w:rPr>
            </w:pPr>
            <w:r>
              <w:rPr>
                <w:rFonts w:hint="eastAsia" w:ascii="宋体" w:hAnsi="宋体" w:cs="宋体"/>
                <w:szCs w:val="21"/>
              </w:rPr>
              <w:t>《中小学教师继续教育规定》、河南省政府【豫政办】59号文件：实行五年一周期不少于360学时教师全员培训制度。</w:t>
            </w:r>
          </w:p>
        </w:tc>
        <w:tc>
          <w:tcPr>
            <w:tcW w:w="1286" w:type="dxa"/>
            <w:noWrap w:val="0"/>
            <w:vAlign w:val="center"/>
          </w:tcPr>
          <w:p>
            <w:pPr>
              <w:spacing w:line="360" w:lineRule="exact"/>
              <w:jc w:val="center"/>
              <w:rPr>
                <w:rFonts w:hint="eastAsia" w:ascii="宋体" w:hAnsi="宋体" w:cs="宋体"/>
                <w:szCs w:val="21"/>
              </w:rPr>
            </w:pPr>
            <w:r>
              <w:rPr>
                <w:rFonts w:hint="eastAsia" w:ascii="宋体" w:hAnsi="宋体" w:cs="宋体"/>
                <w:szCs w:val="21"/>
              </w:rPr>
              <w:t>人事股</w:t>
            </w:r>
          </w:p>
        </w:tc>
        <w:tc>
          <w:tcPr>
            <w:tcW w:w="835" w:type="dxa"/>
            <w:noWrap w:val="0"/>
            <w:vAlign w:val="top"/>
          </w:tcPr>
          <w:p>
            <w:pPr>
              <w:spacing w:line="360" w:lineRule="exact"/>
              <w:rPr>
                <w:rFonts w:hint="eastAsia" w:ascii="宋体" w:hAnsi="宋体" w:eastAsia="宋体" w:cs="宋体"/>
                <w:szCs w:val="21"/>
                <w:lang w:eastAsia="zh-CN"/>
              </w:rPr>
            </w:pPr>
            <w:r>
              <w:rPr>
                <w:rFonts w:hint="eastAsia" w:ascii="宋体" w:hAnsi="宋体" w:cs="宋体"/>
                <w:szCs w:val="21"/>
                <w:lang w:eastAsia="zh-CN"/>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7</w:t>
            </w:r>
          </w:p>
        </w:tc>
        <w:tc>
          <w:tcPr>
            <w:tcW w:w="1123" w:type="dxa"/>
            <w:noWrap w:val="0"/>
            <w:vAlign w:val="center"/>
          </w:tcPr>
          <w:p>
            <w:pPr>
              <w:spacing w:line="360" w:lineRule="exact"/>
              <w:jc w:val="left"/>
              <w:rPr>
                <w:rFonts w:hint="eastAsia" w:ascii="方正黑体简体" w:hAnsi="方正黑体简体" w:eastAsia="方正黑体简体" w:cs="方正黑体简体"/>
                <w:szCs w:val="21"/>
              </w:rPr>
            </w:pPr>
          </w:p>
        </w:tc>
        <w:tc>
          <w:tcPr>
            <w:tcW w:w="1821" w:type="dxa"/>
            <w:noWrap w:val="0"/>
            <w:vAlign w:val="center"/>
          </w:tcPr>
          <w:p>
            <w:pPr>
              <w:spacing w:line="360" w:lineRule="exact"/>
              <w:rPr>
                <w:rFonts w:hint="eastAsia" w:ascii="宋体" w:hAnsi="宋体" w:cs="宋体"/>
                <w:szCs w:val="21"/>
              </w:rPr>
            </w:pPr>
            <w:r>
              <w:rPr>
                <w:rFonts w:hint="eastAsia" w:ascii="宋体" w:hAnsi="宋体" w:cs="宋体"/>
                <w:szCs w:val="21"/>
              </w:rPr>
              <w:t>普通中小学、幼儿园转休学学籍管理</w:t>
            </w:r>
          </w:p>
        </w:tc>
        <w:tc>
          <w:tcPr>
            <w:tcW w:w="4029" w:type="dxa"/>
            <w:noWrap w:val="0"/>
            <w:vAlign w:val="center"/>
          </w:tcPr>
          <w:p>
            <w:pPr>
              <w:spacing w:line="360" w:lineRule="exact"/>
              <w:rPr>
                <w:rFonts w:hint="eastAsia" w:ascii="宋体" w:hAnsi="宋体" w:cs="宋体"/>
                <w:szCs w:val="21"/>
              </w:rPr>
            </w:pPr>
            <w:r>
              <w:rPr>
                <w:rFonts w:hint="eastAsia" w:ascii="宋体" w:hAnsi="宋体" w:cs="宋体"/>
                <w:szCs w:val="21"/>
              </w:rPr>
              <w:t>教育部《中小学生学籍管理办法》（教基一[2013]7号）</w:t>
            </w:r>
          </w:p>
        </w:tc>
        <w:tc>
          <w:tcPr>
            <w:tcW w:w="1286" w:type="dxa"/>
            <w:noWrap w:val="0"/>
            <w:vAlign w:val="center"/>
          </w:tcPr>
          <w:p>
            <w:pPr>
              <w:spacing w:line="360" w:lineRule="exact"/>
              <w:rPr>
                <w:rFonts w:hint="eastAsia" w:ascii="宋体" w:hAnsi="宋体" w:cs="宋体"/>
                <w:szCs w:val="21"/>
              </w:rPr>
            </w:pPr>
            <w:r>
              <w:rPr>
                <w:rFonts w:hint="eastAsia" w:ascii="宋体" w:hAnsi="宋体" w:cs="宋体"/>
                <w:szCs w:val="21"/>
              </w:rPr>
              <w:t>基础教育股</w:t>
            </w:r>
          </w:p>
        </w:tc>
        <w:tc>
          <w:tcPr>
            <w:tcW w:w="835" w:type="dxa"/>
            <w:noWrap w:val="0"/>
            <w:vAlign w:val="top"/>
          </w:tcPr>
          <w:p>
            <w:pPr>
              <w:spacing w:line="360" w:lineRule="exact"/>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8</w:t>
            </w:r>
          </w:p>
        </w:tc>
        <w:tc>
          <w:tcPr>
            <w:tcW w:w="1123" w:type="dxa"/>
            <w:noWrap w:val="0"/>
            <w:vAlign w:val="center"/>
          </w:tcPr>
          <w:p>
            <w:pPr>
              <w:spacing w:line="360" w:lineRule="exact"/>
              <w:jc w:val="left"/>
              <w:rPr>
                <w:rFonts w:hint="eastAsia" w:ascii="方正黑体简体" w:hAnsi="方正黑体简体" w:eastAsia="方正黑体简体" w:cs="方正黑体简体"/>
                <w:szCs w:val="21"/>
              </w:rPr>
            </w:pPr>
          </w:p>
        </w:tc>
        <w:tc>
          <w:tcPr>
            <w:tcW w:w="1821" w:type="dxa"/>
            <w:noWrap w:val="0"/>
            <w:vAlign w:val="center"/>
          </w:tcPr>
          <w:p>
            <w:pPr>
              <w:spacing w:line="360" w:lineRule="exact"/>
              <w:rPr>
                <w:rFonts w:hint="eastAsia" w:ascii="宋体" w:hAnsi="宋体" w:cs="宋体"/>
                <w:szCs w:val="21"/>
              </w:rPr>
            </w:pPr>
            <w:r>
              <w:rPr>
                <w:rFonts w:hint="eastAsia" w:ascii="宋体" w:hAnsi="宋体" w:cs="宋体"/>
                <w:szCs w:val="21"/>
              </w:rPr>
              <w:t>中等职业学校学生学籍管理</w:t>
            </w:r>
          </w:p>
        </w:tc>
        <w:tc>
          <w:tcPr>
            <w:tcW w:w="4029" w:type="dxa"/>
            <w:noWrap w:val="0"/>
            <w:vAlign w:val="center"/>
          </w:tcPr>
          <w:p>
            <w:pPr>
              <w:spacing w:line="360" w:lineRule="exact"/>
              <w:rPr>
                <w:rFonts w:hint="eastAsia" w:ascii="宋体" w:hAnsi="宋体" w:cs="宋体"/>
                <w:szCs w:val="21"/>
              </w:rPr>
            </w:pPr>
            <w:r>
              <w:rPr>
                <w:rFonts w:hint="eastAsia" w:ascii="宋体" w:hAnsi="宋体" w:cs="宋体"/>
                <w:szCs w:val="21"/>
              </w:rPr>
              <w:t>《河南省教育厅关于进一步加强中等职业学校学生学籍管理工作的通知》（教职成[2013]558号）</w:t>
            </w:r>
          </w:p>
        </w:tc>
        <w:tc>
          <w:tcPr>
            <w:tcW w:w="1286" w:type="dxa"/>
            <w:noWrap w:val="0"/>
            <w:vAlign w:val="center"/>
          </w:tcPr>
          <w:p>
            <w:pPr>
              <w:spacing w:line="360" w:lineRule="exact"/>
              <w:rPr>
                <w:rFonts w:hint="eastAsia" w:ascii="宋体" w:hAnsi="宋体" w:cs="宋体"/>
                <w:szCs w:val="21"/>
              </w:rPr>
            </w:pPr>
            <w:r>
              <w:rPr>
                <w:rFonts w:hint="eastAsia" w:ascii="宋体" w:hAnsi="宋体" w:cs="宋体"/>
                <w:szCs w:val="21"/>
              </w:rPr>
              <w:t>职成教股</w:t>
            </w:r>
          </w:p>
        </w:tc>
        <w:tc>
          <w:tcPr>
            <w:tcW w:w="835" w:type="dxa"/>
            <w:noWrap w:val="0"/>
            <w:vAlign w:val="top"/>
          </w:tcPr>
          <w:p>
            <w:pPr>
              <w:spacing w:line="360" w:lineRule="exact"/>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9</w:t>
            </w:r>
          </w:p>
        </w:tc>
        <w:tc>
          <w:tcPr>
            <w:tcW w:w="1123" w:type="dxa"/>
            <w:noWrap w:val="0"/>
            <w:vAlign w:val="center"/>
          </w:tcPr>
          <w:p>
            <w:pPr>
              <w:spacing w:line="360" w:lineRule="exact"/>
              <w:jc w:val="left"/>
              <w:rPr>
                <w:rFonts w:hint="eastAsia" w:ascii="方正黑体简体" w:hAnsi="方正黑体简体" w:eastAsia="方正黑体简体" w:cs="方正黑体简体"/>
                <w:szCs w:val="21"/>
              </w:rPr>
            </w:pPr>
          </w:p>
        </w:tc>
        <w:tc>
          <w:tcPr>
            <w:tcW w:w="1821" w:type="dxa"/>
            <w:noWrap w:val="0"/>
            <w:vAlign w:val="top"/>
          </w:tcPr>
          <w:p>
            <w:pPr>
              <w:spacing w:line="360" w:lineRule="exact"/>
              <w:rPr>
                <w:rFonts w:hint="eastAsia" w:ascii="宋体" w:hAnsi="宋体" w:cs="宋体"/>
                <w:szCs w:val="21"/>
              </w:rPr>
            </w:pPr>
            <w:r>
              <w:rPr>
                <w:rFonts w:hint="eastAsia" w:ascii="宋体" w:hAnsi="宋体" w:cs="宋体"/>
                <w:szCs w:val="21"/>
              </w:rPr>
              <w:t>群众来信来访工作</w:t>
            </w:r>
          </w:p>
        </w:tc>
        <w:tc>
          <w:tcPr>
            <w:tcW w:w="4029" w:type="dxa"/>
            <w:noWrap w:val="0"/>
            <w:vAlign w:val="top"/>
          </w:tcPr>
          <w:p>
            <w:pPr>
              <w:spacing w:line="360" w:lineRule="exact"/>
              <w:rPr>
                <w:rFonts w:hint="eastAsia" w:ascii="宋体" w:hAnsi="宋体" w:cs="宋体"/>
                <w:szCs w:val="21"/>
              </w:rPr>
            </w:pPr>
            <w:r>
              <w:rPr>
                <w:rFonts w:hint="eastAsia" w:ascii="宋体" w:hAnsi="宋体" w:cs="宋体"/>
                <w:szCs w:val="21"/>
              </w:rPr>
              <w:t>《信访条例》第一章第五条：“各级人民政府、县级以上人民政府各工作部门的负责人应当阅批重要来信、接待重要来访、听取信访工作汇报，研究解决信访工作8中的突出问题。”</w:t>
            </w:r>
          </w:p>
        </w:tc>
        <w:tc>
          <w:tcPr>
            <w:tcW w:w="1286" w:type="dxa"/>
            <w:noWrap w:val="0"/>
            <w:vAlign w:val="center"/>
          </w:tcPr>
          <w:p>
            <w:pPr>
              <w:spacing w:line="360" w:lineRule="exact"/>
              <w:jc w:val="center"/>
              <w:rPr>
                <w:rFonts w:hint="eastAsia" w:ascii="宋体" w:hAnsi="宋体" w:cs="宋体"/>
                <w:szCs w:val="21"/>
              </w:rPr>
            </w:pPr>
            <w:r>
              <w:rPr>
                <w:rFonts w:hint="eastAsia" w:ascii="宋体" w:hAnsi="宋体" w:cs="宋体"/>
                <w:szCs w:val="21"/>
              </w:rPr>
              <w:t>办公室</w:t>
            </w:r>
          </w:p>
        </w:tc>
        <w:tc>
          <w:tcPr>
            <w:tcW w:w="835" w:type="dxa"/>
            <w:noWrap w:val="0"/>
            <w:vAlign w:val="top"/>
          </w:tcPr>
          <w:p>
            <w:pPr>
              <w:spacing w:line="360" w:lineRule="exact"/>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left"/>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szCs w:val="21"/>
              </w:rPr>
              <w:t>11</w:t>
            </w:r>
          </w:p>
        </w:tc>
        <w:tc>
          <w:tcPr>
            <w:tcW w:w="1123" w:type="dxa"/>
            <w:noWrap w:val="0"/>
            <w:vAlign w:val="center"/>
          </w:tcPr>
          <w:p>
            <w:pPr>
              <w:spacing w:line="360" w:lineRule="exact"/>
              <w:jc w:val="left"/>
              <w:rPr>
                <w:rFonts w:hint="eastAsia" w:ascii="方正黑体简体" w:hAnsi="方正黑体简体" w:eastAsia="方正黑体简体" w:cs="方正黑体简体"/>
                <w:szCs w:val="21"/>
              </w:rPr>
            </w:pPr>
          </w:p>
        </w:tc>
        <w:tc>
          <w:tcPr>
            <w:tcW w:w="1821" w:type="dxa"/>
            <w:noWrap w:val="0"/>
            <w:vAlign w:val="top"/>
          </w:tcPr>
          <w:p>
            <w:pPr>
              <w:spacing w:line="360" w:lineRule="exact"/>
              <w:rPr>
                <w:rFonts w:hint="eastAsia" w:ascii="宋体" w:hAnsi="宋体" w:cs="宋体"/>
                <w:szCs w:val="21"/>
              </w:rPr>
            </w:pPr>
            <w:r>
              <w:rPr>
                <w:rFonts w:hint="eastAsia" w:ascii="宋体" w:hAnsi="宋体" w:cs="宋体"/>
                <w:szCs w:val="21"/>
              </w:rPr>
              <w:t>局直机关计划生育工作</w:t>
            </w:r>
          </w:p>
        </w:tc>
        <w:tc>
          <w:tcPr>
            <w:tcW w:w="4029" w:type="dxa"/>
            <w:noWrap w:val="0"/>
            <w:vAlign w:val="top"/>
          </w:tcPr>
          <w:p>
            <w:pPr>
              <w:pStyle w:val="2"/>
              <w:widowControl w:val="0"/>
              <w:shd w:val="clear" w:color="auto" w:fill="FFFFFF"/>
              <w:spacing w:before="0" w:beforeAutospacing="0" w:after="0" w:afterAutospacing="0" w:line="360" w:lineRule="exact"/>
              <w:jc w:val="both"/>
              <w:rPr>
                <w:rFonts w:hint="eastAsia"/>
                <w:b w:val="0"/>
                <w:bCs w:val="0"/>
                <w:kern w:val="2"/>
                <w:sz w:val="21"/>
                <w:szCs w:val="21"/>
              </w:rPr>
            </w:pPr>
            <w:r>
              <w:rPr>
                <w:rFonts w:hint="eastAsia"/>
                <w:b w:val="0"/>
                <w:bCs w:val="0"/>
                <w:kern w:val="2"/>
                <w:sz w:val="21"/>
                <w:szCs w:val="21"/>
              </w:rPr>
              <w:t>《中华人民共和国人口与计划生育法》第一章第六条：“县级以上各级人民政府其他有关部门在各自的职责范围内，负责有关的人口与计划生育工作。</w:t>
            </w:r>
          </w:p>
        </w:tc>
        <w:tc>
          <w:tcPr>
            <w:tcW w:w="1286" w:type="dxa"/>
            <w:noWrap w:val="0"/>
            <w:vAlign w:val="center"/>
          </w:tcPr>
          <w:p>
            <w:pPr>
              <w:spacing w:line="360" w:lineRule="exact"/>
              <w:jc w:val="center"/>
              <w:rPr>
                <w:rFonts w:hint="eastAsia" w:ascii="宋体" w:hAnsi="宋体" w:cs="宋体"/>
                <w:szCs w:val="21"/>
              </w:rPr>
            </w:pPr>
            <w:r>
              <w:rPr>
                <w:rFonts w:hint="eastAsia" w:ascii="宋体" w:hAnsi="宋体" w:cs="宋体"/>
                <w:szCs w:val="21"/>
              </w:rPr>
              <w:t>办公室</w:t>
            </w:r>
          </w:p>
        </w:tc>
        <w:tc>
          <w:tcPr>
            <w:tcW w:w="835" w:type="dxa"/>
            <w:noWrap w:val="0"/>
            <w:vAlign w:val="top"/>
          </w:tcPr>
          <w:p>
            <w:pPr>
              <w:spacing w:line="360" w:lineRule="exact"/>
              <w:rPr>
                <w:rFonts w:hint="eastAsia" w:ascii="宋体" w:hAnsi="宋体" w:cs="宋体"/>
                <w:szCs w:val="21"/>
              </w:rPr>
            </w:pPr>
          </w:p>
        </w:tc>
      </w:tr>
    </w:tbl>
    <w:p>
      <w:pPr>
        <w:spacing w:line="140" w:lineRule="exact"/>
        <w:sectPr>
          <w:headerReference r:id="rId3" w:type="default"/>
          <w:footerReference r:id="rId4" w:type="default"/>
          <w:footerReference r:id="rId5" w:type="even"/>
          <w:pgSz w:w="11906" w:h="16838"/>
          <w:pgMar w:top="1440" w:right="1701" w:bottom="1440" w:left="1701" w:header="851" w:footer="851" w:gutter="0"/>
          <w:cols w:space="720" w:num="1"/>
          <w:docGrid w:type="lines" w:linePitch="312" w:charSpace="0"/>
        </w:sectPr>
      </w:pPr>
      <w:bookmarkStart w:id="2" w:name="_GoBack"/>
      <w:bookmarkEnd w:id="2"/>
    </w:p>
    <w:p>
      <w:pPr>
        <w:widowControl w:val="0"/>
        <w:numPr>
          <w:ilvl w:val="0"/>
          <w:numId w:val="0"/>
        </w:numPr>
        <w:jc w:val="both"/>
        <w:rPr>
          <w:rFonts w:hint="default" w:ascii="仿宋" w:hAnsi="仿宋" w:eastAsia="仿宋" w:cs="仿宋"/>
          <w:sz w:val="32"/>
          <w:szCs w:val="32"/>
          <w:lang w:val="en-US" w:eastAsia="zh-CN"/>
        </w:rPr>
      </w:pPr>
    </w:p>
    <w:sectPr>
      <w:headerReference r:id="rId6" w:type="default"/>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方正黑体简体">
    <w:altName w:val="宋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19</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8"/>
      </w:rPr>
    </w:pPr>
    <w:r>
      <w:fldChar w:fldCharType="begin"/>
    </w:r>
    <w:r>
      <w:rPr>
        <w:rStyle w:val="8"/>
      </w:rPr>
      <w:instrText xml:space="preserve">PAGE  </w:instrText>
    </w:r>
    <w:r>
      <w:fldChar w:fldCharType="separate"/>
    </w:r>
    <w:r>
      <w:rPr>
        <w:rStyle w:val="8"/>
      </w:rPr>
      <w:t>14</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476E57"/>
    <w:rsid w:val="19BD1E2D"/>
    <w:rsid w:val="2AF76E2B"/>
    <w:rsid w:val="2B59426B"/>
    <w:rsid w:val="382856A9"/>
    <w:rsid w:val="45E919AB"/>
    <w:rsid w:val="4E8206EE"/>
    <w:rsid w:val="51AC7430"/>
    <w:rsid w:val="5DEF7EA9"/>
    <w:rsid w:val="68B66E3A"/>
    <w:rsid w:val="7B0F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bCs/>
    </w:rPr>
  </w:style>
  <w:style w:type="character" w:styleId="8">
    <w:name w:val="page number"/>
    <w:basedOn w:val="6"/>
    <w:qFormat/>
    <w:uiPriority w:val="0"/>
  </w:style>
  <w:style w:type="paragraph" w:customStyle="1" w:styleId="9">
    <w:name w:val="p0"/>
    <w:basedOn w:val="1"/>
    <w:qFormat/>
    <w:uiPriority w:val="0"/>
    <w:pPr>
      <w:widowControl/>
    </w:pPr>
    <w:rPr>
      <w:rFonts w:ascii="Calibri" w:hAnsi="Calibri" w:cs="宋体"/>
      <w:kern w:val="0"/>
      <w:szCs w:val="21"/>
    </w:rPr>
  </w:style>
  <w:style w:type="paragraph" w:styleId="10">
    <w:name w:val="No Spacing"/>
    <w:qFormat/>
    <w:uiPriority w:val="0"/>
    <w:pPr>
      <w:widowControl w:val="0"/>
      <w:jc w:val="both"/>
    </w:pPr>
    <w:rPr>
      <w:rFonts w:ascii="Calibri" w:hAnsi="Calibri" w:eastAsia="宋体" w:cs="Times New Roman"/>
      <w:kern w:val="2"/>
      <w:sz w:val="21"/>
      <w:szCs w:val="24"/>
      <w:lang w:val="en-US" w:eastAsia="zh-CN" w:bidi="ar-SA"/>
    </w:rPr>
  </w:style>
  <w:style w:type="paragraph" w:customStyle="1" w:styleId="11">
    <w:name w:val="无间隔1"/>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2019-12-05T09:45:00Z</cp:lastPrinted>
  <dcterms:modified xsi:type="dcterms:W3CDTF">2019-12-27T09:23:37Z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