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N w:val="0"/>
        <w:jc w:val="left"/>
        <w:rPr>
          <w:rFonts w:hint="eastAsia" w:ascii="仿宋" w:hAnsi="仿宋" w:eastAsia="仿宋" w:cs="仿宋"/>
          <w:bCs/>
          <w:kern w:val="0"/>
          <w:sz w:val="28"/>
          <w:szCs w:val="28"/>
          <w:lang w:val="en-US" w:eastAsia="zh-CN" w:bidi="ar"/>
        </w:rPr>
      </w:pPr>
      <w:r>
        <w:rPr>
          <w:rFonts w:hint="eastAsia" w:ascii="仿宋" w:hAnsi="仿宋" w:eastAsia="仿宋" w:cs="仿宋"/>
          <w:bCs/>
          <w:kern w:val="0"/>
          <w:sz w:val="28"/>
          <w:szCs w:val="28"/>
          <w:lang w:eastAsia="zh-CN" w:bidi="ar"/>
        </w:rPr>
        <w:t>附件</w:t>
      </w:r>
      <w:r>
        <w:rPr>
          <w:rFonts w:hint="eastAsia" w:ascii="仿宋" w:hAnsi="仿宋" w:eastAsia="仿宋" w:cs="仿宋"/>
          <w:bCs/>
          <w:kern w:val="0"/>
          <w:sz w:val="28"/>
          <w:szCs w:val="28"/>
          <w:lang w:val="en-US" w:eastAsia="zh-CN" w:bidi="ar"/>
        </w:rPr>
        <w:t>1</w:t>
      </w:r>
    </w:p>
    <w:p>
      <w:pPr>
        <w:autoSpaceDN w:val="0"/>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bCs/>
          <w:kern w:val="0"/>
          <w:sz w:val="36"/>
          <w:szCs w:val="36"/>
          <w:lang w:bidi="ar"/>
        </w:rPr>
        <w:t>西华县工业和信息化</w:t>
      </w:r>
      <w:r>
        <w:rPr>
          <w:rFonts w:hint="eastAsia" w:ascii="方正小标宋_GBK" w:hAnsi="方正小标宋_GBK" w:eastAsia="方正小标宋_GBK" w:cs="方正小标宋_GBK"/>
          <w:bCs/>
          <w:kern w:val="0"/>
          <w:sz w:val="36"/>
          <w:szCs w:val="36"/>
          <w:lang w:eastAsia="zh-CN" w:bidi="ar"/>
        </w:rPr>
        <w:t>局</w:t>
      </w:r>
      <w:r>
        <w:rPr>
          <w:rFonts w:hint="eastAsia" w:ascii="方正小标宋_GBK" w:hAnsi="方正小标宋_GBK" w:eastAsia="方正小标宋_GBK" w:cs="方正小标宋_GBK"/>
          <w:bCs/>
          <w:kern w:val="0"/>
          <w:sz w:val="36"/>
          <w:szCs w:val="36"/>
          <w:lang w:bidi="ar"/>
        </w:rPr>
        <w:t>权力清单</w:t>
      </w:r>
    </w:p>
    <w:p>
      <w:pPr>
        <w:autoSpaceDN w:val="0"/>
        <w:jc w:val="center"/>
        <w:rPr>
          <w:rFonts w:hint="eastAsia" w:ascii="宋体" w:hAnsi="宋体" w:cs="仿宋_GB2312"/>
          <w:szCs w:val="21"/>
        </w:rPr>
      </w:pPr>
    </w:p>
    <w:p>
      <w:pPr>
        <w:autoSpaceDN w:val="0"/>
        <w:jc w:val="center"/>
        <w:rPr>
          <w:rFonts w:hint="eastAsia" w:ascii="黑体" w:hAnsi="仿宋_GB2312" w:eastAsia="黑体" w:cs="仿宋_GB2312"/>
          <w:sz w:val="30"/>
          <w:szCs w:val="30"/>
        </w:rPr>
      </w:pPr>
      <w:r>
        <w:rPr>
          <w:rFonts w:hint="eastAsia" w:ascii="黑体" w:hAnsi="方正黑体简体" w:eastAsia="黑体" w:cs="方正黑体简体"/>
          <w:kern w:val="0"/>
          <w:sz w:val="30"/>
          <w:szCs w:val="30"/>
          <w:lang w:bidi="ar"/>
        </w:rPr>
        <w:t>一、行政权力登记表</w:t>
      </w:r>
    </w:p>
    <w:tbl>
      <w:tblPr>
        <w:tblStyle w:val="3"/>
        <w:tblW w:w="9325" w:type="dxa"/>
        <w:jc w:val="center"/>
        <w:tblLayout w:type="fixed"/>
        <w:tblCellMar>
          <w:top w:w="15" w:type="dxa"/>
          <w:left w:w="57" w:type="dxa"/>
          <w:bottom w:w="15" w:type="dxa"/>
          <w:right w:w="57" w:type="dxa"/>
        </w:tblCellMar>
      </w:tblPr>
      <w:tblGrid>
        <w:gridCol w:w="489"/>
        <w:gridCol w:w="980"/>
        <w:gridCol w:w="1908"/>
        <w:gridCol w:w="4367"/>
        <w:gridCol w:w="1581"/>
      </w:tblGrid>
      <w:tr>
        <w:tblPrEx>
          <w:tblCellMar>
            <w:top w:w="15" w:type="dxa"/>
            <w:left w:w="57" w:type="dxa"/>
            <w:bottom w:w="15" w:type="dxa"/>
            <w:right w:w="57" w:type="dxa"/>
          </w:tblCellMar>
        </w:tblPrEx>
        <w:trPr>
          <w:tblHeader/>
          <w:jc w:val="center"/>
        </w:trPr>
        <w:tc>
          <w:tcPr>
            <w:tcW w:w="48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方正黑体简体"/>
                <w:kern w:val="0"/>
                <w:szCs w:val="21"/>
                <w:lang w:bidi="ar"/>
              </w:rPr>
            </w:pPr>
            <w:r>
              <w:rPr>
                <w:rFonts w:hint="eastAsia" w:ascii="黑体" w:hAnsi="宋体" w:eastAsia="黑体" w:cs="方正黑体简体"/>
                <w:kern w:val="0"/>
                <w:szCs w:val="21"/>
                <w:lang w:bidi="ar"/>
              </w:rPr>
              <w:t>序</w:t>
            </w:r>
          </w:p>
          <w:p>
            <w:pPr>
              <w:widowControl/>
              <w:jc w:val="center"/>
              <w:textAlignment w:val="center"/>
              <w:rPr>
                <w:rFonts w:hint="eastAsia" w:ascii="黑体" w:hAnsi="宋体" w:eastAsia="黑体" w:cs="方正黑体简体"/>
                <w:szCs w:val="21"/>
              </w:rPr>
            </w:pPr>
            <w:r>
              <w:rPr>
                <w:rFonts w:hint="eastAsia" w:ascii="黑体" w:hAnsi="宋体" w:eastAsia="黑体" w:cs="方正黑体简体"/>
                <w:kern w:val="0"/>
                <w:szCs w:val="21"/>
                <w:lang w:bidi="ar"/>
              </w:rPr>
              <w:t>号</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方正黑体简体"/>
                <w:szCs w:val="21"/>
              </w:rPr>
            </w:pPr>
            <w:r>
              <w:rPr>
                <w:rFonts w:hint="eastAsia" w:ascii="黑体" w:hAnsi="宋体" w:eastAsia="黑体" w:cs="方正黑体简体"/>
                <w:kern w:val="0"/>
                <w:szCs w:val="21"/>
                <w:lang w:bidi="ar"/>
              </w:rPr>
              <w:t>类别</w:t>
            </w:r>
          </w:p>
        </w:tc>
        <w:tc>
          <w:tcPr>
            <w:tcW w:w="19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方正黑体简体"/>
                <w:kern w:val="0"/>
                <w:szCs w:val="21"/>
                <w:lang w:bidi="ar"/>
              </w:rPr>
            </w:pPr>
            <w:r>
              <w:rPr>
                <w:rFonts w:hint="eastAsia" w:ascii="黑体" w:hAnsi="宋体" w:eastAsia="黑体" w:cs="方正黑体简体"/>
                <w:kern w:val="0"/>
                <w:szCs w:val="21"/>
                <w:lang w:bidi="ar"/>
              </w:rPr>
              <w:t>职权</w:t>
            </w:r>
          </w:p>
          <w:p>
            <w:pPr>
              <w:widowControl/>
              <w:jc w:val="center"/>
              <w:textAlignment w:val="center"/>
              <w:rPr>
                <w:rFonts w:hint="eastAsia" w:ascii="黑体" w:hAnsi="宋体" w:eastAsia="黑体" w:cs="方正黑体简体"/>
                <w:szCs w:val="21"/>
              </w:rPr>
            </w:pPr>
            <w:r>
              <w:rPr>
                <w:rFonts w:hint="eastAsia" w:ascii="黑体" w:hAnsi="宋体" w:eastAsia="黑体" w:cs="方正黑体简体"/>
                <w:kern w:val="0"/>
                <w:szCs w:val="21"/>
                <w:lang w:bidi="ar"/>
              </w:rPr>
              <w:t>名称</w:t>
            </w:r>
          </w:p>
        </w:tc>
        <w:tc>
          <w:tcPr>
            <w:tcW w:w="43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方正黑体简体"/>
                <w:szCs w:val="21"/>
              </w:rPr>
            </w:pPr>
            <w:r>
              <w:rPr>
                <w:rFonts w:hint="eastAsia" w:ascii="黑体" w:hAnsi="宋体" w:eastAsia="黑体" w:cs="方正黑体简体"/>
                <w:kern w:val="0"/>
                <w:szCs w:val="21"/>
                <w:lang w:bidi="ar"/>
              </w:rPr>
              <w:t>实施依据</w:t>
            </w:r>
          </w:p>
        </w:tc>
        <w:tc>
          <w:tcPr>
            <w:tcW w:w="158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方正黑体简体"/>
                <w:kern w:val="0"/>
                <w:szCs w:val="21"/>
                <w:lang w:bidi="ar"/>
              </w:rPr>
            </w:pPr>
            <w:r>
              <w:rPr>
                <w:rFonts w:hint="eastAsia" w:ascii="黑体" w:hAnsi="宋体" w:eastAsia="黑体" w:cs="方正黑体简体"/>
                <w:kern w:val="0"/>
                <w:szCs w:val="21"/>
                <w:lang w:bidi="ar"/>
              </w:rPr>
              <w:t>承办</w:t>
            </w:r>
          </w:p>
          <w:p>
            <w:pPr>
              <w:widowControl/>
              <w:jc w:val="center"/>
              <w:textAlignment w:val="center"/>
              <w:rPr>
                <w:rFonts w:hint="eastAsia" w:ascii="黑体" w:hAnsi="宋体" w:eastAsia="黑体" w:cs="方正黑体简体"/>
                <w:szCs w:val="21"/>
              </w:rPr>
            </w:pPr>
            <w:r>
              <w:rPr>
                <w:rFonts w:hint="eastAsia" w:ascii="黑体" w:hAnsi="宋体" w:eastAsia="黑体" w:cs="方正黑体简体"/>
                <w:kern w:val="0"/>
                <w:szCs w:val="21"/>
                <w:lang w:bidi="ar"/>
              </w:rPr>
              <w:t>机构</w:t>
            </w:r>
          </w:p>
        </w:tc>
      </w:tr>
      <w:tr>
        <w:tblPrEx>
          <w:tblCellMar>
            <w:top w:w="15" w:type="dxa"/>
            <w:left w:w="57" w:type="dxa"/>
            <w:bottom w:w="15" w:type="dxa"/>
            <w:right w:w="57" w:type="dxa"/>
          </w:tblCellMar>
        </w:tblPrEx>
        <w:trPr>
          <w:jc w:val="center"/>
        </w:trPr>
        <w:tc>
          <w:tcPr>
            <w:tcW w:w="489"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宋体" w:hAnsi="宋体" w:cs="方正黑体简体"/>
                <w:szCs w:val="21"/>
              </w:rPr>
            </w:pPr>
            <w:r>
              <w:rPr>
                <w:rFonts w:hint="eastAsia" w:ascii="宋体" w:hAnsi="宋体" w:cs="方正黑体简体"/>
                <w:kern w:val="0"/>
                <w:szCs w:val="21"/>
                <w:lang w:bidi="ar"/>
              </w:rPr>
              <w:t>一</w:t>
            </w:r>
          </w:p>
        </w:tc>
        <w:tc>
          <w:tcPr>
            <w:tcW w:w="980"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宋体" w:hAnsi="宋体" w:cs="方正黑体简体"/>
                <w:kern w:val="0"/>
                <w:szCs w:val="21"/>
                <w:lang w:bidi="ar"/>
              </w:rPr>
            </w:pPr>
            <w:r>
              <w:rPr>
                <w:rFonts w:hint="eastAsia" w:ascii="宋体" w:hAnsi="宋体" w:cs="方正黑体简体"/>
                <w:kern w:val="0"/>
                <w:szCs w:val="21"/>
                <w:lang w:bidi="ar"/>
              </w:rPr>
              <w:t>行政</w:t>
            </w:r>
          </w:p>
          <w:p>
            <w:pPr>
              <w:widowControl/>
              <w:jc w:val="center"/>
              <w:textAlignment w:val="center"/>
              <w:rPr>
                <w:rFonts w:hint="eastAsia" w:ascii="宋体" w:hAnsi="宋体" w:cs="方正黑体简体"/>
                <w:szCs w:val="21"/>
              </w:rPr>
            </w:pPr>
            <w:r>
              <w:rPr>
                <w:rFonts w:hint="eastAsia" w:ascii="宋体" w:hAnsi="宋体" w:cs="方正黑体简体"/>
                <w:kern w:val="0"/>
                <w:szCs w:val="21"/>
                <w:lang w:bidi="ar"/>
              </w:rPr>
              <w:t>处罚</w:t>
            </w:r>
          </w:p>
        </w:tc>
        <w:tc>
          <w:tcPr>
            <w:tcW w:w="1908" w:type="dxa"/>
            <w:tcBorders>
              <w:top w:val="single" w:color="000000" w:sz="4" w:space="0"/>
              <w:left w:val="single" w:color="000000" w:sz="4" w:space="0"/>
              <w:bottom w:val="single" w:color="auto" w:sz="4" w:space="0"/>
              <w:right w:val="single" w:color="000000" w:sz="4" w:space="0"/>
            </w:tcBorders>
            <w:noWrap w:val="0"/>
            <w:vAlign w:val="center"/>
          </w:tcPr>
          <w:p>
            <w:pPr>
              <w:widowControl/>
              <w:jc w:val="both"/>
              <w:textAlignment w:val="center"/>
              <w:rPr>
                <w:rFonts w:hint="eastAsia" w:ascii="宋体" w:hAnsi="宋体" w:cs="方正黑体简体"/>
                <w:szCs w:val="21"/>
              </w:rPr>
            </w:pPr>
          </w:p>
        </w:tc>
        <w:tc>
          <w:tcPr>
            <w:tcW w:w="4367"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宋体" w:hAnsi="宋体" w:cs="宋体"/>
                <w:szCs w:val="21"/>
              </w:rPr>
            </w:pPr>
          </w:p>
        </w:tc>
        <w:tc>
          <w:tcPr>
            <w:tcW w:w="1581"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宋体" w:hAnsi="宋体" w:cs="宋体"/>
                <w:szCs w:val="21"/>
              </w:rPr>
            </w:pPr>
          </w:p>
        </w:tc>
      </w:tr>
      <w:tr>
        <w:tblPrEx>
          <w:tblCellMar>
            <w:top w:w="15" w:type="dxa"/>
            <w:left w:w="57" w:type="dxa"/>
            <w:bottom w:w="15" w:type="dxa"/>
            <w:right w:w="57" w:type="dxa"/>
          </w:tblCellMar>
        </w:tblPrEx>
        <w:trPr>
          <w:jc w:val="center"/>
        </w:trPr>
        <w:tc>
          <w:tcPr>
            <w:tcW w:w="489" w:type="dxa"/>
            <w:tcBorders>
              <w:top w:val="single" w:color="auto"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方正黑体简体"/>
                <w:kern w:val="0"/>
                <w:szCs w:val="21"/>
                <w:lang w:bidi="ar"/>
              </w:rPr>
            </w:pPr>
            <w:r>
              <w:rPr>
                <w:rFonts w:hint="eastAsia" w:ascii="宋体" w:hAnsi="宋体" w:cs="方正黑体简体"/>
                <w:kern w:val="0"/>
                <w:szCs w:val="21"/>
                <w:lang w:bidi="ar"/>
              </w:rPr>
              <w:t>1</w:t>
            </w:r>
          </w:p>
        </w:tc>
        <w:tc>
          <w:tcPr>
            <w:tcW w:w="980" w:type="dxa"/>
            <w:tcBorders>
              <w:top w:val="single" w:color="auto"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方正黑体简体"/>
                <w:szCs w:val="21"/>
              </w:rPr>
            </w:pPr>
          </w:p>
        </w:tc>
        <w:tc>
          <w:tcPr>
            <w:tcW w:w="1908" w:type="dxa"/>
            <w:tcBorders>
              <w:top w:val="single" w:color="auto"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方正黑体简体"/>
                <w:kern w:val="0"/>
                <w:szCs w:val="21"/>
                <w:lang w:bidi="ar"/>
              </w:rPr>
            </w:pPr>
            <w:r>
              <w:rPr>
                <w:rFonts w:hint="eastAsia" w:ascii="宋体" w:hAnsi="宋体"/>
                <w:bCs/>
                <w:kern w:val="0"/>
                <w:szCs w:val="21"/>
              </w:rPr>
              <w:t>未取得相应资质从事计算机信息系统工程设计、施工或者监理的</w:t>
            </w:r>
          </w:p>
        </w:tc>
        <w:tc>
          <w:tcPr>
            <w:tcW w:w="4367" w:type="dxa"/>
            <w:tcBorders>
              <w:top w:val="single" w:color="auto" w:sz="4" w:space="0"/>
              <w:left w:val="single" w:color="000000" w:sz="4" w:space="0"/>
              <w:bottom w:val="single" w:color="000000" w:sz="4" w:space="0"/>
              <w:right w:val="single" w:color="000000" w:sz="4" w:space="0"/>
            </w:tcBorders>
            <w:noWrap w:val="0"/>
            <w:vAlign w:val="center"/>
          </w:tcPr>
          <w:p>
            <w:pPr>
              <w:widowControl/>
              <w:ind w:firstLine="420" w:firstLineChars="200"/>
              <w:textAlignment w:val="center"/>
              <w:rPr>
                <w:rFonts w:hint="eastAsia" w:ascii="宋体" w:hAnsi="宋体"/>
                <w:kern w:val="0"/>
                <w:szCs w:val="21"/>
              </w:rPr>
            </w:pPr>
          </w:p>
          <w:p>
            <w:pPr>
              <w:widowControl/>
              <w:ind w:firstLine="420" w:firstLineChars="200"/>
              <w:textAlignment w:val="center"/>
              <w:rPr>
                <w:rFonts w:hint="eastAsia" w:ascii="宋体" w:hAnsi="宋体"/>
                <w:kern w:val="0"/>
                <w:szCs w:val="21"/>
              </w:rPr>
            </w:pPr>
            <w:r>
              <w:rPr>
                <w:rFonts w:hint="eastAsia" w:ascii="宋体" w:hAnsi="宋体"/>
                <w:kern w:val="0"/>
                <w:szCs w:val="21"/>
              </w:rPr>
              <w:t>《河南省信息化条例》第四十二条 违反本条例第十二条第二款规定，未取得相应资质从事计算机信息系统工程设计、施工或者监理的，由信息化主管部门责令改正，没收违法所得，并处违法所得一倍以上三倍以下的罚款；没有违法所得的，处二千元以上一万元以下的罚款。</w:t>
            </w:r>
          </w:p>
          <w:p>
            <w:pPr>
              <w:widowControl/>
              <w:ind w:firstLine="420" w:firstLineChars="200"/>
              <w:textAlignment w:val="center"/>
              <w:rPr>
                <w:rFonts w:hint="eastAsia" w:ascii="宋体" w:hAnsi="宋体" w:cs="宋体"/>
                <w:szCs w:val="21"/>
              </w:rPr>
            </w:pPr>
          </w:p>
        </w:tc>
        <w:tc>
          <w:tcPr>
            <w:tcW w:w="1581" w:type="dxa"/>
            <w:tcBorders>
              <w:top w:val="single" w:color="auto" w:sz="4" w:space="0"/>
              <w:left w:val="single" w:color="000000" w:sz="4" w:space="0"/>
              <w:bottom w:val="single" w:color="000000" w:sz="4" w:space="0"/>
              <w:right w:val="single" w:color="000000" w:sz="4" w:space="0"/>
            </w:tcBorders>
            <w:noWrap w:val="0"/>
            <w:vAlign w:val="center"/>
          </w:tcPr>
          <w:p>
            <w:pPr>
              <w:widowControl/>
              <w:spacing w:line="240" w:lineRule="auto"/>
              <w:jc w:val="center"/>
              <w:textAlignment w:val="center"/>
              <w:rPr>
                <w:rFonts w:hint="eastAsia" w:ascii="宋体" w:hAnsi="宋体" w:cs="宋体"/>
                <w:kern w:val="0"/>
                <w:szCs w:val="21"/>
                <w:lang w:eastAsia="zh-CN" w:bidi="ar"/>
              </w:rPr>
            </w:pPr>
            <w:r>
              <w:rPr>
                <w:rFonts w:hint="eastAsia" w:ascii="宋体" w:hAnsi="宋体" w:cs="宋体"/>
                <w:kern w:val="0"/>
                <w:szCs w:val="21"/>
                <w:lang w:bidi="ar"/>
              </w:rPr>
              <w:t>西华县工信</w:t>
            </w:r>
            <w:r>
              <w:rPr>
                <w:rFonts w:hint="eastAsia" w:ascii="宋体" w:hAnsi="宋体" w:cs="宋体"/>
                <w:kern w:val="0"/>
                <w:szCs w:val="21"/>
                <w:lang w:eastAsia="zh-CN" w:bidi="ar"/>
              </w:rPr>
              <w:t>局</w:t>
            </w:r>
          </w:p>
          <w:p>
            <w:pPr>
              <w:widowControl/>
              <w:spacing w:line="240" w:lineRule="auto"/>
              <w:jc w:val="center"/>
              <w:textAlignment w:val="center"/>
              <w:rPr>
                <w:rFonts w:hint="eastAsia" w:ascii="宋体" w:hAnsi="宋体" w:cs="宋体"/>
                <w:kern w:val="0"/>
                <w:szCs w:val="21"/>
                <w:lang w:eastAsia="zh-CN" w:bidi="ar"/>
              </w:rPr>
            </w:pPr>
            <w:r>
              <w:rPr>
                <w:rFonts w:hint="eastAsia" w:ascii="宋体" w:hAnsi="宋体" w:cs="宋体"/>
                <w:kern w:val="0"/>
                <w:szCs w:val="21"/>
                <w:lang w:eastAsia="zh-CN" w:bidi="ar"/>
              </w:rPr>
              <w:t>信息化管理股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89" w:type="dxa"/>
            <w:noWrap w:val="0"/>
            <w:vAlign w:val="top"/>
          </w:tcPr>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jc w:val="center"/>
              <w:rPr>
                <w:rFonts w:hint="eastAsia" w:eastAsia="宋体"/>
                <w:lang w:eastAsia="zh-CN"/>
              </w:rPr>
            </w:pPr>
            <w:r>
              <w:rPr>
                <w:rFonts w:hint="eastAsia"/>
                <w:lang w:val="en-US" w:eastAsia="zh-CN"/>
              </w:rPr>
              <w:t>2</w:t>
            </w:r>
          </w:p>
        </w:tc>
        <w:tc>
          <w:tcPr>
            <w:tcW w:w="980" w:type="dxa"/>
            <w:noWrap w:val="0"/>
            <w:vAlign w:val="top"/>
          </w:tcPr>
          <w:p>
            <w:pPr>
              <w:pStyle w:val="6"/>
              <w:ind w:firstLine="0" w:firstLineChars="0"/>
              <w:rPr>
                <w:rFonts w:hint="eastAsia"/>
              </w:rPr>
            </w:pPr>
          </w:p>
        </w:tc>
        <w:tc>
          <w:tcPr>
            <w:tcW w:w="1908" w:type="dxa"/>
            <w:noWrap w:val="0"/>
            <w:vAlign w:val="top"/>
          </w:tcPr>
          <w:p>
            <w:pPr>
              <w:pStyle w:val="6"/>
              <w:ind w:firstLine="0" w:firstLineChars="0"/>
              <w:rPr>
                <w:rFonts w:hint="eastAsia"/>
              </w:rPr>
            </w:pPr>
            <w:r>
              <w:rPr>
                <w:rFonts w:hint="eastAsia"/>
              </w:rPr>
              <w:t>社会力量面向社会设立的科学技术奖，在奖励活动中收取费用的</w:t>
            </w:r>
          </w:p>
        </w:tc>
        <w:tc>
          <w:tcPr>
            <w:tcW w:w="4367" w:type="dxa"/>
            <w:noWrap w:val="0"/>
            <w:vAlign w:val="top"/>
          </w:tcPr>
          <w:p>
            <w:pPr>
              <w:pStyle w:val="6"/>
              <w:ind w:firstLine="0" w:firstLineChars="0"/>
              <w:rPr>
                <w:rFonts w:hint="eastAsia"/>
              </w:rPr>
            </w:pPr>
            <w:r>
              <w:rPr>
                <w:rFonts w:hint="eastAsia"/>
              </w:rPr>
              <w:t>《国家科学技术奖励条例》第二十三条第二款社会力量经登记设立面向社会的科学技术奖，在科学技术奖励活动中收取费用的，由科学技术行政部门没收所有收取的费用，可以并处所收取的费用，可以并处所收取的费用1倍以上3倍以下的罚款；情节严重的，撤销登记。</w:t>
            </w:r>
          </w:p>
        </w:tc>
        <w:tc>
          <w:tcPr>
            <w:tcW w:w="1581" w:type="dxa"/>
            <w:noWrap w:val="0"/>
            <w:vAlign w:val="top"/>
          </w:tcPr>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eastAsia="宋体"/>
                <w:lang w:eastAsia="zh-CN"/>
              </w:rPr>
            </w:pPr>
            <w:r>
              <w:rPr>
                <w:rFonts w:hint="eastAsia"/>
              </w:rPr>
              <w:t>西华县</w:t>
            </w:r>
            <w:r>
              <w:rPr>
                <w:rFonts w:hint="eastAsia"/>
                <w:lang w:eastAsia="zh-CN"/>
              </w:rPr>
              <w:t>工信局科技股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89" w:type="dxa"/>
            <w:noWrap w:val="0"/>
            <w:vAlign w:val="top"/>
          </w:tcPr>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jc w:val="center"/>
              <w:rPr>
                <w:rFonts w:hint="eastAsia" w:eastAsia="宋体"/>
                <w:lang w:val="en-US" w:eastAsia="zh-CN"/>
              </w:rPr>
            </w:pPr>
            <w:r>
              <w:rPr>
                <w:rFonts w:hint="eastAsia"/>
                <w:lang w:val="en-US" w:eastAsia="zh-CN"/>
              </w:rPr>
              <w:t>3</w:t>
            </w:r>
          </w:p>
        </w:tc>
        <w:tc>
          <w:tcPr>
            <w:tcW w:w="980" w:type="dxa"/>
            <w:noWrap w:val="0"/>
            <w:vAlign w:val="top"/>
          </w:tcPr>
          <w:p>
            <w:pPr>
              <w:pStyle w:val="6"/>
              <w:ind w:firstLine="0" w:firstLineChars="0"/>
              <w:rPr>
                <w:rFonts w:hint="eastAsia"/>
              </w:rPr>
            </w:pPr>
          </w:p>
        </w:tc>
        <w:tc>
          <w:tcPr>
            <w:tcW w:w="1908" w:type="dxa"/>
            <w:noWrap w:val="0"/>
            <w:vAlign w:val="top"/>
          </w:tcPr>
          <w:p>
            <w:pPr>
              <w:pStyle w:val="6"/>
              <w:ind w:firstLine="0" w:firstLineChars="0"/>
              <w:rPr>
                <w:rFonts w:hint="eastAsia"/>
              </w:rPr>
            </w:pPr>
            <w:r>
              <w:rPr>
                <w:rFonts w:hint="eastAsia"/>
              </w:rPr>
              <w:t>在科技成果转化活动中弄虚作假，采取欺骗手段，骗取奖励和荣誉称号、诈骗钱财、非法牟利的</w:t>
            </w:r>
          </w:p>
        </w:tc>
        <w:tc>
          <w:tcPr>
            <w:tcW w:w="4367" w:type="dxa"/>
            <w:noWrap w:val="0"/>
            <w:vAlign w:val="top"/>
          </w:tcPr>
          <w:p>
            <w:pPr>
              <w:pStyle w:val="6"/>
              <w:ind w:firstLine="0" w:firstLineChars="0"/>
              <w:rPr>
                <w:rFonts w:hint="eastAsia"/>
              </w:rPr>
            </w:pPr>
            <w:r>
              <w:rPr>
                <w:rFonts w:hint="eastAsia"/>
              </w:rPr>
              <w:t>《中华人民共和国促进科技成果转化法》第三十一条：“违反本法规定，在科技成果转化活动中弄虚作假，采取欺骗手段，骗取奖励和荣誉称号、诈骗钱财、非法牟利的，责令改正，取消该奖励和荣誉称号，没收违法所得，并处以罚款。给他人造成经济损失的，依法承担民事赔偿责任。构成犯罪的，依法追究刑事责任。”《河南省促进科技成果转化条例》第三十三条第一项：“当事人有下列行为之一，有关法律、法规对行政处罚有明确规定的，从其规定，未作规定的，有科学技术行政部门给予行政处罚，有违法所得的，应当没收违法所得，可并处一万元以上三万元以下的罚款；无违法所得的，可并处一千元以上五千元以下的罚款。给他人造成经济损失的，依法承担民事赔偿责任；构成犯罪的，依法追究刑事责任。”</w:t>
            </w:r>
          </w:p>
        </w:tc>
        <w:tc>
          <w:tcPr>
            <w:tcW w:w="1581" w:type="dxa"/>
            <w:noWrap w:val="0"/>
            <w:vAlign w:val="top"/>
          </w:tcPr>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r>
              <w:rPr>
                <w:rFonts w:hint="eastAsia"/>
              </w:rPr>
              <w:t>西华县</w:t>
            </w:r>
            <w:r>
              <w:rPr>
                <w:rFonts w:hint="eastAsia"/>
                <w:lang w:eastAsia="zh-CN"/>
              </w:rPr>
              <w:t>工信局科技股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0" w:hRule="atLeast"/>
          <w:jc w:val="center"/>
        </w:trPr>
        <w:tc>
          <w:tcPr>
            <w:tcW w:w="489" w:type="dxa"/>
            <w:noWrap w:val="0"/>
            <w:vAlign w:val="top"/>
          </w:tcPr>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jc w:val="center"/>
              <w:rPr>
                <w:rFonts w:hint="eastAsia" w:eastAsia="宋体"/>
                <w:lang w:val="en-US" w:eastAsia="zh-CN"/>
              </w:rPr>
            </w:pPr>
            <w:r>
              <w:rPr>
                <w:rFonts w:hint="eastAsia"/>
                <w:lang w:val="en-US" w:eastAsia="zh-CN"/>
              </w:rPr>
              <w:t>4</w:t>
            </w:r>
          </w:p>
        </w:tc>
        <w:tc>
          <w:tcPr>
            <w:tcW w:w="980" w:type="dxa"/>
            <w:noWrap w:val="0"/>
            <w:vAlign w:val="top"/>
          </w:tcPr>
          <w:p>
            <w:pPr>
              <w:pStyle w:val="6"/>
              <w:ind w:firstLine="0" w:firstLineChars="0"/>
              <w:rPr>
                <w:rFonts w:hint="eastAsia"/>
              </w:rPr>
            </w:pPr>
          </w:p>
        </w:tc>
        <w:tc>
          <w:tcPr>
            <w:tcW w:w="1908" w:type="dxa"/>
            <w:noWrap w:val="0"/>
            <w:vAlign w:val="top"/>
          </w:tcPr>
          <w:p>
            <w:pPr>
              <w:pStyle w:val="6"/>
              <w:ind w:firstLine="0" w:firstLineChars="0"/>
              <w:rPr>
                <w:rFonts w:hint="eastAsia"/>
              </w:rPr>
            </w:pPr>
            <w:r>
              <w:rPr>
                <w:rFonts w:hint="eastAsia"/>
              </w:rPr>
              <w:t>在对科技成果进行检测或者价值评估时，故意提供虚假检测结果或者</w:t>
            </w:r>
            <w:r>
              <w:rPr>
                <w:rFonts w:hint="eastAsia"/>
                <w:lang w:eastAsia="zh-CN"/>
              </w:rPr>
              <w:t>成</w:t>
            </w:r>
            <w:r>
              <w:rPr>
                <w:rFonts w:hint="eastAsia"/>
              </w:rPr>
              <w:t>果证明的</w:t>
            </w:r>
          </w:p>
        </w:tc>
        <w:tc>
          <w:tcPr>
            <w:tcW w:w="4367" w:type="dxa"/>
            <w:noWrap w:val="0"/>
            <w:vAlign w:val="top"/>
          </w:tcPr>
          <w:p>
            <w:pPr>
              <w:pStyle w:val="6"/>
              <w:ind w:firstLine="0" w:firstLineChars="0"/>
              <w:rPr>
                <w:rFonts w:hint="eastAsia"/>
              </w:rPr>
            </w:pPr>
            <w:r>
              <w:rPr>
                <w:rFonts w:hint="eastAsia"/>
              </w:rPr>
              <w:t>《中华人民共和国促进科技成果转化法》第三十二条：“违反本法规定，对科技成果进行检测或者价值评估时，故意提供虚假检测结果或者苹果证明的，责令改正，予以警告，没收违法所得，并对该检测组织者、评估机构处以罚款；情节严重的，依法吊销营业执照和资格证书。给他人造成经济损失的，依法承担民事赔偿责任。”《河南省促进科技成果转化条例》第三十三条：“当事人有下列行为之一，有关法律、法规对行政处罚有明确规定的，从其规定未作规定的，由科学技术行政部门给予行政处罚，有违法所得的，应当没收违法所得，可并处一万元以上三万元以下的罚款；无违法所得的，可并处一千元以上五千元以下的罚款。给他人构成经济损失的，依法承担民事赔偿责任；构成犯罪的，依法追究刑事责任。”</w:t>
            </w:r>
          </w:p>
        </w:tc>
        <w:tc>
          <w:tcPr>
            <w:tcW w:w="1581" w:type="dxa"/>
            <w:noWrap w:val="0"/>
            <w:vAlign w:val="top"/>
          </w:tcPr>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r>
              <w:rPr>
                <w:rFonts w:hint="eastAsia"/>
              </w:rPr>
              <w:t>西华县</w:t>
            </w:r>
            <w:r>
              <w:rPr>
                <w:rFonts w:hint="eastAsia"/>
                <w:lang w:eastAsia="zh-CN"/>
              </w:rPr>
              <w:t>工信局科技股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0" w:hRule="atLeast"/>
          <w:jc w:val="center"/>
        </w:trPr>
        <w:tc>
          <w:tcPr>
            <w:tcW w:w="489" w:type="dxa"/>
            <w:noWrap w:val="0"/>
            <w:vAlign w:val="top"/>
          </w:tcPr>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jc w:val="center"/>
              <w:rPr>
                <w:rFonts w:hint="eastAsia" w:eastAsia="宋体"/>
                <w:lang w:val="en-US" w:eastAsia="zh-CN"/>
              </w:rPr>
            </w:pPr>
            <w:r>
              <w:rPr>
                <w:rFonts w:hint="eastAsia"/>
                <w:lang w:val="en-US" w:eastAsia="zh-CN"/>
              </w:rPr>
              <w:t>5</w:t>
            </w:r>
          </w:p>
        </w:tc>
        <w:tc>
          <w:tcPr>
            <w:tcW w:w="980" w:type="dxa"/>
            <w:noWrap w:val="0"/>
            <w:vAlign w:val="top"/>
          </w:tcPr>
          <w:p>
            <w:pPr>
              <w:pStyle w:val="6"/>
              <w:ind w:firstLine="0" w:firstLineChars="0"/>
              <w:rPr>
                <w:rFonts w:hint="eastAsia"/>
              </w:rPr>
            </w:pPr>
          </w:p>
        </w:tc>
        <w:tc>
          <w:tcPr>
            <w:tcW w:w="1908" w:type="dxa"/>
            <w:noWrap w:val="0"/>
            <w:vAlign w:val="top"/>
          </w:tcPr>
          <w:p>
            <w:pPr>
              <w:pStyle w:val="6"/>
              <w:ind w:firstLine="0" w:firstLineChars="0"/>
              <w:rPr>
                <w:rFonts w:hint="eastAsia"/>
              </w:rPr>
            </w:pPr>
            <w:r>
              <w:rPr>
                <w:rFonts w:hint="eastAsia"/>
              </w:rPr>
              <w:t>以唆使、窃取、利诱、胁迫等手段侵占他人的科技成果，侵犯他人合法权益的</w:t>
            </w:r>
          </w:p>
        </w:tc>
        <w:tc>
          <w:tcPr>
            <w:tcW w:w="4367" w:type="dxa"/>
            <w:noWrap w:val="0"/>
            <w:vAlign w:val="top"/>
          </w:tcPr>
          <w:p>
            <w:pPr>
              <w:pStyle w:val="6"/>
              <w:ind w:firstLine="0" w:firstLineChars="0"/>
              <w:rPr>
                <w:rFonts w:hint="eastAsia"/>
              </w:rPr>
            </w:pPr>
            <w:r>
              <w:rPr>
                <w:rFonts w:hint="eastAsia"/>
              </w:rPr>
              <w:t>《中华人民共和国促进科技成果转化法》第三十四条：“违法本法规定，以唆使、窃取、利诱、胁迫等手段侵占他人的科技成果，侵犯他人合法权益的，依法承担民事赔偿责任，可以处以罚款；构成犯罪的，依法追究刑事责任。”《河南省促进科技成果转化条例》第三十三条：“当事人有下列行为之一，有关法律、法规对行政处罚有明确规定的，从其规定未作规定的，由科学技术行政部门给予行政处罚，有违法所得的，应当没收违法所得，可并处一万元以上三万元以下的罚款；无违法所得的，可并处一千元以上五千元以下的罚款。给他人构成经济损失的，依法承担民事赔偿责任；构成犯罪的，依法追究刑事责任。”</w:t>
            </w:r>
          </w:p>
          <w:p>
            <w:pPr>
              <w:pStyle w:val="6"/>
              <w:ind w:firstLine="0" w:firstLineChars="0"/>
              <w:rPr>
                <w:rFonts w:hint="eastAsia"/>
              </w:rPr>
            </w:pPr>
          </w:p>
          <w:p>
            <w:pPr>
              <w:pStyle w:val="6"/>
              <w:ind w:firstLine="0" w:firstLineChars="0"/>
              <w:rPr>
                <w:rFonts w:hint="eastAsia"/>
              </w:rPr>
            </w:pPr>
          </w:p>
          <w:p>
            <w:pPr>
              <w:pStyle w:val="6"/>
              <w:ind w:firstLine="0" w:firstLineChars="0"/>
              <w:rPr>
                <w:rFonts w:hint="eastAsia"/>
              </w:rPr>
            </w:pPr>
          </w:p>
          <w:p>
            <w:pPr>
              <w:pStyle w:val="6"/>
              <w:ind w:firstLine="0" w:firstLineChars="0"/>
              <w:rPr>
                <w:rFonts w:hint="eastAsia"/>
              </w:rPr>
            </w:pPr>
          </w:p>
          <w:p>
            <w:pPr>
              <w:pStyle w:val="6"/>
              <w:ind w:firstLine="0" w:firstLineChars="0"/>
              <w:rPr>
                <w:rFonts w:hint="eastAsia"/>
              </w:rPr>
            </w:pPr>
          </w:p>
          <w:p>
            <w:pPr>
              <w:pStyle w:val="6"/>
              <w:ind w:firstLine="0" w:firstLineChars="0"/>
              <w:rPr>
                <w:rFonts w:hint="eastAsia"/>
                <w:lang w:eastAsia="zh-CN"/>
              </w:rPr>
            </w:pPr>
          </w:p>
        </w:tc>
        <w:tc>
          <w:tcPr>
            <w:tcW w:w="1581" w:type="dxa"/>
            <w:noWrap w:val="0"/>
            <w:vAlign w:val="top"/>
          </w:tcPr>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r>
              <w:rPr>
                <w:rFonts w:hint="eastAsia"/>
              </w:rPr>
              <w:t>西华县</w:t>
            </w:r>
            <w:r>
              <w:rPr>
                <w:rFonts w:hint="eastAsia"/>
                <w:lang w:eastAsia="zh-CN"/>
              </w:rPr>
              <w:t>工信局科技股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89" w:type="dxa"/>
            <w:noWrap w:val="0"/>
            <w:vAlign w:val="top"/>
          </w:tcPr>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rPr>
                <w:rFonts w:hint="eastAsia"/>
                <w:lang w:val="en-US" w:eastAsia="zh-CN"/>
              </w:rPr>
            </w:pPr>
          </w:p>
          <w:p>
            <w:pPr>
              <w:pStyle w:val="6"/>
              <w:ind w:firstLine="0" w:firstLineChars="0"/>
              <w:jc w:val="center"/>
              <w:rPr>
                <w:rFonts w:hint="eastAsia" w:eastAsia="宋体"/>
                <w:lang w:val="en-US" w:eastAsia="zh-CN"/>
              </w:rPr>
            </w:pPr>
            <w:r>
              <w:rPr>
                <w:rFonts w:hint="eastAsia"/>
                <w:lang w:val="en-US" w:eastAsia="zh-CN"/>
              </w:rPr>
              <w:t>6</w:t>
            </w:r>
          </w:p>
        </w:tc>
        <w:tc>
          <w:tcPr>
            <w:tcW w:w="980" w:type="dxa"/>
            <w:noWrap w:val="0"/>
            <w:vAlign w:val="top"/>
          </w:tcPr>
          <w:p>
            <w:pPr>
              <w:pStyle w:val="6"/>
              <w:ind w:firstLine="0" w:firstLineChars="0"/>
              <w:rPr>
                <w:rFonts w:hint="eastAsia"/>
              </w:rPr>
            </w:pPr>
          </w:p>
        </w:tc>
        <w:tc>
          <w:tcPr>
            <w:tcW w:w="1908" w:type="dxa"/>
            <w:noWrap w:val="0"/>
            <w:vAlign w:val="top"/>
          </w:tcPr>
          <w:p>
            <w:pPr>
              <w:pStyle w:val="6"/>
              <w:ind w:firstLine="0" w:firstLineChars="0"/>
              <w:rPr>
                <w:rFonts w:hint="eastAsia"/>
              </w:rPr>
            </w:pPr>
            <w:r>
              <w:rPr>
                <w:rFonts w:hint="eastAsia"/>
              </w:rPr>
              <w:t>在技术交易中从事代理或者居间服务的中介机构和从事经纪业务的人员，欺骗委托人 的或者与当事人一方串通欺骗另一方当事人的</w:t>
            </w:r>
          </w:p>
        </w:tc>
        <w:tc>
          <w:tcPr>
            <w:tcW w:w="4367" w:type="dxa"/>
            <w:noWrap w:val="0"/>
            <w:vAlign w:val="top"/>
          </w:tcPr>
          <w:p>
            <w:pPr>
              <w:pStyle w:val="6"/>
              <w:ind w:firstLine="0" w:firstLineChars="0"/>
              <w:rPr>
                <w:rFonts w:hint="eastAsia"/>
              </w:rPr>
            </w:pPr>
            <w:r>
              <w:rPr>
                <w:rFonts w:hint="eastAsia"/>
              </w:rPr>
              <w:t>《中华人民共和国促进科技成果转化法》第三十六条：“在技术交易中从事代理或者居间服务的中介机构和从事经纪业务的人员，欺骗委托人 的或者与当事人一方串通欺骗另一方当事人的，责令改正，予以警告，处依法承担民事赔偿责任外，没收违法所得，并处以罚款；情节严重的依法吊销营业执照和资格证书；构成犯罪的，依法追究刑事责任。《河南省促进科技成果转化条例》第三十三条：“当事人有下列行为之一，有关法律、法规对行政处罚有明确规定的，从其规定未作规定的，由科学技术行政部门给予行政处罚，有违法所得的，应当没收违法所得，可并处一万元以上三万元以下的罚款；无违法所得的，可并处一千元以上五千元以下的罚款。给他人构成经济损失的，依法承担民事赔偿责任；构成犯罪的，依法追究刑事责任。””</w:t>
            </w:r>
          </w:p>
        </w:tc>
        <w:tc>
          <w:tcPr>
            <w:tcW w:w="1581" w:type="dxa"/>
            <w:noWrap w:val="0"/>
            <w:vAlign w:val="top"/>
          </w:tcPr>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p>
          <w:p>
            <w:pPr>
              <w:pStyle w:val="6"/>
              <w:spacing w:line="240" w:lineRule="auto"/>
              <w:ind w:firstLine="0" w:firstLineChars="0"/>
              <w:jc w:val="center"/>
              <w:rPr>
                <w:rFonts w:hint="eastAsia"/>
              </w:rPr>
            </w:pPr>
            <w:r>
              <w:rPr>
                <w:rFonts w:hint="eastAsia"/>
              </w:rPr>
              <w:t>西华县</w:t>
            </w:r>
            <w:r>
              <w:rPr>
                <w:rFonts w:hint="eastAsia"/>
                <w:lang w:eastAsia="zh-CN"/>
              </w:rPr>
              <w:t>工信局科技股</w:t>
            </w:r>
          </w:p>
        </w:tc>
      </w:tr>
    </w:tbl>
    <w:p>
      <w:pPr>
        <w:jc w:val="left"/>
        <w:rPr>
          <w:rFonts w:hint="eastAsia" w:ascii="宋体" w:hAnsi="宋体"/>
          <w:kern w:val="0"/>
          <w:szCs w:val="21"/>
        </w:rPr>
      </w:pPr>
    </w:p>
    <w:p>
      <w:pPr>
        <w:jc w:val="left"/>
        <w:rPr>
          <w:rFonts w:hint="eastAsia" w:ascii="宋体" w:hAnsi="宋体"/>
          <w:kern w:val="0"/>
          <w:szCs w:val="21"/>
        </w:rPr>
      </w:pPr>
    </w:p>
    <w:p>
      <w:pPr>
        <w:jc w:val="left"/>
        <w:rPr>
          <w:rFonts w:hint="eastAsia" w:ascii="宋体" w:hAnsi="宋体"/>
          <w:kern w:val="0"/>
          <w:szCs w:val="21"/>
        </w:rPr>
      </w:pPr>
    </w:p>
    <w:p>
      <w:pPr>
        <w:jc w:val="left"/>
        <w:rPr>
          <w:rFonts w:hint="eastAsia" w:ascii="宋体" w:hAnsi="宋体"/>
          <w:kern w:val="0"/>
          <w:szCs w:val="21"/>
        </w:rPr>
      </w:pPr>
    </w:p>
    <w:p>
      <w:pPr>
        <w:jc w:val="left"/>
        <w:rPr>
          <w:rFonts w:hint="eastAsia" w:ascii="宋体" w:hAnsi="宋体"/>
          <w:kern w:val="0"/>
          <w:szCs w:val="21"/>
        </w:rPr>
      </w:pPr>
    </w:p>
    <w:p>
      <w:pPr>
        <w:jc w:val="left"/>
        <w:rPr>
          <w:rFonts w:hint="eastAsia" w:ascii="宋体" w:hAnsi="宋体"/>
          <w:kern w:val="0"/>
          <w:szCs w:val="21"/>
        </w:rPr>
      </w:pPr>
    </w:p>
    <w:p>
      <w:pPr>
        <w:jc w:val="left"/>
        <w:rPr>
          <w:rFonts w:hint="eastAsia" w:ascii="宋体" w:hAnsi="宋体"/>
          <w:kern w:val="0"/>
          <w:szCs w:val="21"/>
        </w:rPr>
      </w:pPr>
    </w:p>
    <w:p>
      <w:pPr>
        <w:jc w:val="left"/>
        <w:rPr>
          <w:rFonts w:hint="eastAsia" w:ascii="宋体" w:hAnsi="宋体"/>
          <w:kern w:val="0"/>
          <w:szCs w:val="21"/>
        </w:rPr>
      </w:pPr>
    </w:p>
    <w:p>
      <w:pPr>
        <w:jc w:val="left"/>
        <w:rPr>
          <w:rFonts w:hint="eastAsia" w:ascii="宋体" w:hAnsi="宋体"/>
          <w:kern w:val="0"/>
          <w:szCs w:val="21"/>
        </w:rPr>
      </w:pPr>
    </w:p>
    <w:p>
      <w:pPr>
        <w:jc w:val="left"/>
        <w:rPr>
          <w:rFonts w:hint="eastAsia" w:ascii="宋体" w:hAnsi="宋体"/>
          <w:kern w:val="0"/>
          <w:szCs w:val="21"/>
        </w:rPr>
      </w:pPr>
    </w:p>
    <w:p>
      <w:pPr>
        <w:jc w:val="left"/>
        <w:rPr>
          <w:rFonts w:hint="eastAsia" w:ascii="宋体" w:hAnsi="宋体"/>
          <w:kern w:val="0"/>
          <w:szCs w:val="21"/>
        </w:rPr>
      </w:pPr>
    </w:p>
    <w:p>
      <w:pPr>
        <w:jc w:val="left"/>
        <w:rPr>
          <w:rFonts w:hint="eastAsia" w:ascii="宋体" w:hAnsi="宋体"/>
          <w:kern w:val="0"/>
          <w:szCs w:val="21"/>
        </w:rPr>
      </w:pPr>
    </w:p>
    <w:p>
      <w:pPr>
        <w:jc w:val="left"/>
        <w:rPr>
          <w:rFonts w:hint="eastAsia" w:ascii="宋体" w:hAnsi="宋体"/>
          <w:kern w:val="0"/>
          <w:szCs w:val="21"/>
        </w:rPr>
      </w:pPr>
    </w:p>
    <w:p>
      <w:pPr>
        <w:jc w:val="left"/>
        <w:rPr>
          <w:rFonts w:hint="eastAsia" w:ascii="宋体" w:hAnsi="宋体"/>
          <w:kern w:val="0"/>
          <w:szCs w:val="21"/>
        </w:rPr>
      </w:pPr>
    </w:p>
    <w:p>
      <w:pPr>
        <w:jc w:val="left"/>
        <w:rPr>
          <w:rFonts w:hint="eastAsia" w:ascii="宋体" w:hAnsi="宋体"/>
          <w:kern w:val="0"/>
          <w:szCs w:val="21"/>
        </w:rPr>
      </w:pPr>
    </w:p>
    <w:p>
      <w:pPr>
        <w:jc w:val="left"/>
        <w:rPr>
          <w:rFonts w:hint="eastAsia" w:ascii="宋体" w:hAnsi="宋体"/>
          <w:kern w:val="0"/>
          <w:szCs w:val="21"/>
        </w:rPr>
      </w:pPr>
    </w:p>
    <w:p>
      <w:pPr>
        <w:jc w:val="left"/>
        <w:rPr>
          <w:rFonts w:hint="eastAsia" w:ascii="宋体" w:hAnsi="宋体"/>
          <w:kern w:val="0"/>
          <w:szCs w:val="21"/>
        </w:rPr>
      </w:pPr>
    </w:p>
    <w:p>
      <w:pPr>
        <w:jc w:val="left"/>
        <w:rPr>
          <w:rFonts w:hint="eastAsia" w:ascii="宋体" w:hAnsi="宋体"/>
          <w:kern w:val="0"/>
          <w:szCs w:val="21"/>
        </w:rPr>
      </w:pPr>
    </w:p>
    <w:p>
      <w:pPr>
        <w:jc w:val="left"/>
        <w:rPr>
          <w:rFonts w:hint="eastAsia" w:ascii="宋体" w:hAnsi="宋体"/>
          <w:kern w:val="0"/>
          <w:szCs w:val="21"/>
        </w:rPr>
      </w:pPr>
    </w:p>
    <w:p>
      <w:pPr>
        <w:jc w:val="left"/>
        <w:rPr>
          <w:rFonts w:hint="eastAsia" w:ascii="宋体" w:hAnsi="宋体"/>
          <w:kern w:val="0"/>
          <w:szCs w:val="21"/>
        </w:rPr>
      </w:pPr>
    </w:p>
    <w:p>
      <w:pPr>
        <w:jc w:val="left"/>
        <w:rPr>
          <w:rFonts w:hint="eastAsia" w:ascii="宋体" w:hAnsi="宋体"/>
          <w:kern w:val="0"/>
          <w:szCs w:val="21"/>
        </w:rPr>
      </w:pPr>
    </w:p>
    <w:p>
      <w:pPr>
        <w:jc w:val="left"/>
        <w:rPr>
          <w:rFonts w:hint="eastAsia" w:ascii="宋体" w:hAnsi="宋体"/>
          <w:kern w:val="0"/>
          <w:szCs w:val="21"/>
        </w:rPr>
      </w:pPr>
    </w:p>
    <w:p>
      <w:pPr>
        <w:jc w:val="left"/>
        <w:rPr>
          <w:rFonts w:hint="eastAsia" w:ascii="宋体" w:hAnsi="宋体"/>
          <w:kern w:val="0"/>
          <w:szCs w:val="21"/>
        </w:rPr>
      </w:pPr>
    </w:p>
    <w:p>
      <w:pPr>
        <w:widowControl w:val="0"/>
        <w:numPr>
          <w:ilvl w:val="0"/>
          <w:numId w:val="0"/>
        </w:numPr>
        <w:jc w:val="both"/>
        <w:rPr>
          <w:rFonts w:hint="default" w:ascii="仿宋" w:hAnsi="仿宋" w:eastAsia="仿宋" w:cs="仿宋"/>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黑体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E844E4"/>
    <w:rsid w:val="13EF5835"/>
    <w:rsid w:val="15D10726"/>
    <w:rsid w:val="25490E67"/>
    <w:rsid w:val="25B45E2A"/>
    <w:rsid w:val="2AF76E2B"/>
    <w:rsid w:val="314518D8"/>
    <w:rsid w:val="382856A9"/>
    <w:rsid w:val="3C7B32B0"/>
    <w:rsid w:val="41C20D2F"/>
    <w:rsid w:val="45E919AB"/>
    <w:rsid w:val="483414B0"/>
    <w:rsid w:val="4C7C51A3"/>
    <w:rsid w:val="4D6F5015"/>
    <w:rsid w:val="51AC7430"/>
    <w:rsid w:val="546930DE"/>
    <w:rsid w:val="6498548B"/>
    <w:rsid w:val="7B0F3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2019-12-05T09:52:00Z</cp:lastPrinted>
  <dcterms:modified xsi:type="dcterms:W3CDTF">2019-12-27T09:25:05Z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