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7"/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2020年度西华县</w:t>
      </w: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8"/>
          <w:szCs w:val="48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西夏镇部门预算公开说明</w:t>
      </w: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二零二零年六月</w:t>
      </w: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目录</w:t>
      </w:r>
    </w:p>
    <w:p>
      <w:pPr>
        <w:pStyle w:val="7"/>
        <w:spacing w:before="0" w:beforeAutospacing="0" w:after="0" w:afterAutospacing="0"/>
        <w:jc w:val="both"/>
        <w:rPr>
          <w:rFonts w:hint="eastAsia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8"/>
          <w:lang w:val="en-US" w:eastAsia="zh-CN"/>
        </w:rPr>
        <w:t>第一部分 西华县西夏镇概况</w:t>
      </w:r>
    </w:p>
    <w:p>
      <w:pPr>
        <w:pStyle w:val="7"/>
        <w:numPr>
          <w:ilvl w:val="0"/>
          <w:numId w:val="1"/>
        </w:numPr>
        <w:spacing w:before="0" w:beforeAutospacing="0" w:after="0" w:afterAutospacing="0"/>
        <w:jc w:val="both"/>
        <w:rPr>
          <w:rFonts w:hint="eastAsia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8"/>
          <w:lang w:val="en-US" w:eastAsia="zh-CN"/>
        </w:rPr>
        <w:t>西夏镇概况</w:t>
      </w:r>
    </w:p>
    <w:p>
      <w:pPr>
        <w:pStyle w:val="7"/>
        <w:numPr>
          <w:ilvl w:val="0"/>
          <w:numId w:val="1"/>
        </w:numPr>
        <w:spacing w:before="0" w:beforeAutospacing="0" w:after="0" w:afterAutospacing="0"/>
        <w:jc w:val="both"/>
        <w:rPr>
          <w:rFonts w:hint="eastAsia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000000"/>
          <w:sz w:val="28"/>
          <w:szCs w:val="28"/>
          <w:lang w:val="en-US" w:eastAsia="zh-CN"/>
        </w:rPr>
        <w:t>部门预算单位构成</w:t>
      </w:r>
    </w:p>
    <w:p>
      <w:pPr>
        <w:widowControl/>
        <w:spacing w:line="315" w:lineRule="atLeast"/>
        <w:jc w:val="both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</w:pPr>
      <w:r>
        <w:rPr>
          <w:rFonts w:hint="eastAsia"/>
          <w:b/>
          <w:bCs/>
          <w:color w:val="000000"/>
          <w:sz w:val="28"/>
          <w:szCs w:val="28"/>
          <w:lang w:val="en-US" w:eastAsia="zh-CN"/>
        </w:rPr>
        <w:t xml:space="preserve">第二部分 </w:t>
      </w:r>
      <w:r>
        <w:rPr>
          <w:rFonts w:hint="eastAsia" w:ascii="仿宋" w:hAnsi="宋体" w:eastAsia="仿宋" w:cs="宋体"/>
          <w:b/>
          <w:bCs/>
          <w:kern w:val="0"/>
          <w:sz w:val="28"/>
          <w:szCs w:val="28"/>
        </w:rPr>
        <w:t>西夏镇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  <w:lang w:val="en-US" w:eastAsia="zh-CN"/>
        </w:rPr>
        <w:t>020</w:t>
      </w: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年度部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门预算情况说明</w:t>
      </w:r>
    </w:p>
    <w:p>
      <w:pPr>
        <w:widowControl/>
        <w:spacing w:line="315" w:lineRule="atLeast"/>
        <w:jc w:val="both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eastAsia="zh-CN"/>
        </w:rPr>
        <w:t>第三部分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eastAsia="zh-CN"/>
        </w:rPr>
        <w:t>名词解释</w:t>
      </w:r>
    </w:p>
    <w:p>
      <w:pPr>
        <w:widowControl/>
        <w:spacing w:line="315" w:lineRule="atLeast"/>
        <w:ind w:firstLine="320" w:firstLineChars="10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附件：</w:t>
      </w:r>
      <w:r>
        <w:rPr>
          <w:rFonts w:ascii="仿宋" w:hAnsi="宋体" w:eastAsia="仿宋" w:cs="宋体"/>
          <w:spacing w:val="-32"/>
          <w:kern w:val="0"/>
          <w:sz w:val="32"/>
          <w:szCs w:val="32"/>
        </w:rPr>
        <w:t> </w:t>
      </w: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西夏镇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ascii="仿宋" w:hAnsi="宋体" w:eastAsia="仿宋" w:cs="宋体"/>
          <w:spacing w:val="-116"/>
          <w:kern w:val="0"/>
          <w:sz w:val="32"/>
          <w:szCs w:val="32"/>
        </w:rPr>
        <w:t xml:space="preserve">  </w:t>
      </w:r>
      <w:r>
        <w:rPr>
          <w:rFonts w:hint="eastAsia" w:ascii="仿宋" w:hAnsi="宋体" w:eastAsia="仿宋" w:cs="宋体"/>
          <w:kern w:val="0"/>
          <w:sz w:val="32"/>
          <w:szCs w:val="32"/>
        </w:rPr>
        <w:t>年度部门预算表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一、部门收支总表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二、部门收入总表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三、部门支出总表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四、财政拨款收支总表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五、一般公共预算支出表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六、一般公共预算基本支出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明细</w:t>
      </w:r>
      <w:r>
        <w:rPr>
          <w:rFonts w:hint="eastAsia" w:ascii="仿宋" w:hAnsi="宋体" w:eastAsia="仿宋" w:cs="宋体"/>
          <w:kern w:val="0"/>
          <w:sz w:val="32"/>
          <w:szCs w:val="32"/>
        </w:rPr>
        <w:t>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七</w:t>
      </w:r>
      <w:r>
        <w:rPr>
          <w:rFonts w:hint="eastAsia" w:ascii="仿宋" w:hAnsi="宋体" w:eastAsia="仿宋" w:cs="宋体"/>
          <w:kern w:val="0"/>
          <w:sz w:val="32"/>
          <w:szCs w:val="32"/>
        </w:rPr>
        <w:t>、政府性基金预算支出表</w:t>
      </w:r>
    </w:p>
    <w:p>
      <w:pPr>
        <w:widowControl/>
        <w:spacing w:line="315" w:lineRule="atLeast"/>
        <w:ind w:right="51" w:firstLine="96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八</w:t>
      </w:r>
      <w:r>
        <w:rPr>
          <w:rFonts w:hint="eastAsia" w:ascii="仿宋" w:hAnsi="宋体" w:eastAsia="仿宋" w:cs="宋体"/>
          <w:kern w:val="0"/>
          <w:sz w:val="32"/>
          <w:szCs w:val="32"/>
        </w:rPr>
        <w:t>、一般公共预算“三公”经费支出表</w:t>
      </w:r>
    </w:p>
    <w:p>
      <w:pPr>
        <w:widowControl/>
        <w:spacing w:line="315" w:lineRule="atLeast"/>
        <w:ind w:left="101" w:right="521" w:firstLine="640"/>
        <w:jc w:val="left"/>
        <w:rPr>
          <w:rFonts w:ascii="宋体" w:cs="宋体"/>
          <w:kern w:val="0"/>
          <w:sz w:val="24"/>
        </w:rPr>
      </w:pPr>
    </w:p>
    <w:p>
      <w:pPr>
        <w:widowControl/>
        <w:spacing w:line="315" w:lineRule="atLeast"/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</w:p>
    <w:p>
      <w:pPr>
        <w:pStyle w:val="7"/>
        <w:spacing w:before="0" w:beforeAutospacing="0" w:after="0" w:afterAutospacing="0"/>
        <w:jc w:val="both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7"/>
        <w:spacing w:before="0" w:beforeAutospacing="0" w:after="0" w:afterAutospacing="0"/>
        <w:jc w:val="center"/>
        <w:rPr>
          <w:color w:val="000000"/>
          <w:sz w:val="21"/>
          <w:szCs w:val="21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 xml:space="preserve">                                                    </w:t>
      </w:r>
      <w:r>
        <w:rPr>
          <w:rFonts w:hint="eastAsia"/>
          <w:b/>
          <w:bCs/>
          <w:color w:val="000000"/>
          <w:sz w:val="44"/>
          <w:szCs w:val="44"/>
        </w:rPr>
        <w:t>西夏镇20</w:t>
      </w: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20</w:t>
      </w:r>
      <w:r>
        <w:rPr>
          <w:rFonts w:hint="eastAsia"/>
          <w:b/>
          <w:bCs/>
          <w:color w:val="000000"/>
          <w:sz w:val="44"/>
          <w:szCs w:val="44"/>
        </w:rPr>
        <w:t>年预算基本情况说明</w:t>
      </w:r>
    </w:p>
    <w:p>
      <w:pPr>
        <w:widowControl/>
        <w:spacing w:line="315" w:lineRule="atLeast"/>
        <w:jc w:val="center"/>
        <w:rPr>
          <w:rFonts w:ascii="宋体" w:hAns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 第一部分</w:t>
      </w:r>
    </w:p>
    <w:p>
      <w:pPr>
        <w:widowControl/>
        <w:spacing w:before="100" w:beforeAutospacing="1" w:after="100" w:afterAutospacing="1" w:line="453" w:lineRule="atLeast"/>
        <w:rPr>
          <w:rFonts w:ascii="黑体" w:hAnsi="宋体" w:eastAsia="黑体" w:cs="黑体"/>
          <w:color w:val="000000"/>
          <w:kern w:val="0"/>
          <w:sz w:val="44"/>
          <w:szCs w:val="4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一、西夏镇概况</w:t>
      </w:r>
      <w:r>
        <w:rPr>
          <w:rFonts w:hint="eastAsia" w:ascii="黑体" w:hAnsi="宋体" w:eastAsia="黑体" w:cs="黑体"/>
          <w:color w:val="000000"/>
          <w:kern w:val="0"/>
          <w:sz w:val="44"/>
          <w:szCs w:val="44"/>
        </w:rPr>
        <w:t> </w:t>
      </w:r>
    </w:p>
    <w:p>
      <w:pPr>
        <w:widowControl/>
        <w:spacing w:line="56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西夏镇位于西华县西部，距城15公里。东与黄泛区农场塔界，南与商水县隔河相望，西与逍遥镇为邻，北与艾岗乡接壤有27个行政村、64个自然村、201个村民组，7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46</w:t>
      </w:r>
      <w:r>
        <w:rPr>
          <w:rFonts w:hint="eastAsia" w:ascii="仿宋" w:hAnsi="仿宋" w:eastAsia="仿宋" w:cs="仿宋"/>
          <w:kern w:val="0"/>
          <w:sz w:val="32"/>
          <w:szCs w:val="32"/>
        </w:rPr>
        <w:t>00多人，总面积73平方公里，耕地76000亩。该乡南临沙河，北靠颍河，为夹河套地带，土壤肥沃。</w:t>
      </w:r>
    </w:p>
    <w:p>
      <w:pPr>
        <w:widowControl/>
        <w:spacing w:before="100" w:beforeAutospacing="1" w:after="100" w:afterAutospacing="1" w:line="453" w:lineRule="atLeast"/>
        <w:rPr>
          <w:rFonts w:ascii="仿宋_GB2312" w:hAnsi="仿宋_GB2312" w:eastAsia="仿宋_GB2312" w:cs="仿宋_GB2312"/>
          <w:kern w:val="0"/>
          <w:sz w:val="24"/>
        </w:rPr>
      </w:pPr>
    </w:p>
    <w:p>
      <w:pPr>
        <w:widowControl/>
        <w:spacing w:line="315" w:lineRule="atLeast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二、</w:t>
      </w: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预算单位构成</w:t>
      </w:r>
    </w:p>
    <w:p>
      <w:pPr>
        <w:widowControl/>
        <w:spacing w:line="315" w:lineRule="atLeast"/>
        <w:ind w:firstLine="300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人民政府属行政单位，编制人员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77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人，其中：行政编制3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人，实有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32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人，事业编制人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，实有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人。本单位无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其它纳入预算的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二级机构。</w:t>
      </w:r>
      <w:r>
        <w:rPr>
          <w:rFonts w:hint="eastAsia" w:ascii="仿宋_GB2312" w:hAnsi="仿宋_GB2312" w:eastAsia="仿宋_GB2312" w:cs="仿宋_GB2312"/>
          <w:kern w:val="0"/>
          <w:sz w:val="15"/>
          <w:szCs w:val="15"/>
        </w:rPr>
        <w:t> </w:t>
      </w:r>
    </w:p>
    <w:p>
      <w:pPr>
        <w:widowControl/>
        <w:spacing w:line="315" w:lineRule="atLeast"/>
        <w:jc w:val="center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 第二部分</w:t>
      </w:r>
    </w:p>
    <w:p>
      <w:pPr>
        <w:widowControl/>
        <w:spacing w:line="315" w:lineRule="atLeast"/>
        <w:jc w:val="center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年度部门预算情况说明</w:t>
      </w:r>
    </w:p>
    <w:p>
      <w:pPr>
        <w:widowControl/>
        <w:numPr>
          <w:ilvl w:val="0"/>
          <w:numId w:val="2"/>
        </w:numPr>
        <w:spacing w:line="315" w:lineRule="atLeast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收入支出预算总体情况说明</w:t>
      </w:r>
    </w:p>
    <w:p>
      <w:pPr>
        <w:widowControl/>
        <w:numPr>
          <w:ilvl w:val="0"/>
          <w:numId w:val="0"/>
        </w:numPr>
        <w:spacing w:line="315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西夏镇2020年收入总计2143.01万元，支出总计2143.01万元，与 2019年相比，收支总计各项减少763.37万元，减少35.6%。其中工资福利支出中增加27.57万元，对个人家庭福利支出增加336.17万元，项目支出减少1152.34万元；收支减少原因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项目资金减少（美丽乡村项目、扶贫项目资金等）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numPr>
          <w:ilvl w:val="0"/>
          <w:numId w:val="0"/>
        </w:numPr>
        <w:spacing w:line="315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spacing w:line="315" w:lineRule="atLeast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/>
        <w:spacing w:line="315" w:lineRule="atLeast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、收入预算总体情况说明</w:t>
      </w:r>
    </w:p>
    <w:p>
      <w:pPr>
        <w:widowControl/>
        <w:spacing w:line="560" w:lineRule="atLeast"/>
        <w:ind w:firstLine="640"/>
        <w:jc w:val="lef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年收入合计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2143.01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万元，其中：一般公共预算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拨款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555.21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，政府性基金预算拨款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587.8万元。</w:t>
      </w:r>
    </w:p>
    <w:p>
      <w:pPr>
        <w:widowControl/>
        <w:spacing w:line="560" w:lineRule="atLeast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、支出预算总体情况说明</w:t>
      </w:r>
    </w:p>
    <w:p>
      <w:pPr>
        <w:widowControl/>
        <w:spacing w:line="560" w:lineRule="atLeast"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年支出合计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2143.01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万元，其中：基本支出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1325.21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万元（工资福利支出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471.95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22.02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%；对个人和家庭补助支出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673.47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31.43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%，商品和服务支出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179.79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8.39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%），项目支出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817.8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万元(重点项目支出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817.8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38.16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%)。</w:t>
      </w:r>
    </w:p>
    <w:p>
      <w:pPr>
        <w:widowControl/>
        <w:spacing w:line="560" w:lineRule="atLeast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ascii="仿宋_GB2312" w:hAnsi="仿宋_GB2312" w:eastAsia="仿宋_GB2312" w:cs="仿宋_GB2312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年一般公共预算基本支出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2143.01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  <w:lang w:val="en-US" w:eastAsia="zh-CN"/>
        </w:rPr>
        <w:t>1145.42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万元，主要包括：基本工资、津贴补贴、社会保障缴费、绩效工资、其他工资福利支出、离休费、退休费、生活补助、 医疗费、其他对个人和家庭的补助支出；</w:t>
      </w: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  <w:lang w:val="en-US" w:eastAsia="zh-CN"/>
        </w:rPr>
        <w:t>179.79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万元，主要包括：办公费、印刷费、咨询费、水费、电费、邮电费、物业管理费、差旅费、维修（护）费、租赁费、会议费、培训费、公务接待费、专用材料费、劳务费、委托业务费、福利费、公务用车运 行维护费、其他商品和服务支出、办公设备购置、专用设备购置、大型修缮、其他资本性支出。</w:t>
      </w:r>
    </w:p>
    <w:p>
      <w:pPr>
        <w:widowControl/>
        <w:spacing w:line="315" w:lineRule="atLeast"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 五、预算收支增减变化情况说明</w:t>
      </w:r>
    </w:p>
    <w:p>
      <w:pPr>
        <w:widowControl/>
        <w:spacing w:line="315" w:lineRule="atLeast"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西夏镇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年一般公共预算收入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2143.01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万元，较201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年完成数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2906.38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减少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763.37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减少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原因主要是：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项目资金减少（美丽乡村项目、扶贫项目资金等）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西夏亭镇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政府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年一般公共预算基本支出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2143.01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万元，其中：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1145.42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医疗费、助学金、奖励金、住房公积金、提租补贴、购房补贴、其他对个人和家庭的补助支出；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179.79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行维护费、其他交通费用、税金及附加费用、其他商品和服务支出、办公设备购置、专用设备购置、大型修缮、信息网络及软件购置更新、其他资本性支出。</w:t>
      </w:r>
    </w:p>
    <w:p>
      <w:pPr>
        <w:widowControl/>
        <w:spacing w:line="315" w:lineRule="atLeast"/>
        <w:jc w:val="left"/>
        <w:rPr>
          <w:rFonts w:ascii="仿宋" w:hAnsi="宋体" w:eastAsia="仿宋" w:cs="宋体"/>
          <w:b/>
          <w:bCs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七、政府性基金预算支出情况说明</w:t>
      </w:r>
    </w:p>
    <w:p>
      <w:pPr>
        <w:widowControl/>
        <w:spacing w:line="315" w:lineRule="atLeast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西夏亭镇政府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年使用政府性基金预算拨款安排的支出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587.8万元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widowControl/>
        <w:spacing w:line="560" w:lineRule="atLeast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八、</w:t>
      </w:r>
      <w:r>
        <w:rPr>
          <w:rFonts w:ascii="仿宋" w:hAnsi="宋体" w:eastAsia="仿宋" w:cs="宋体"/>
          <w:b/>
          <w:bCs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西夏镇政府</w:t>
      </w: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年“三公”经费预算为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3.8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年“三公”经费支出预算数与</w:t>
      </w:r>
      <w:r>
        <w:rPr>
          <w:rFonts w:ascii="仿宋" w:hAnsi="宋体" w:eastAsia="仿宋" w:cs="宋体"/>
          <w:kern w:val="0"/>
          <w:sz w:val="32"/>
          <w:szCs w:val="32"/>
        </w:rPr>
        <w:t>201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宋体" w:eastAsia="仿宋" w:cs="宋体"/>
          <w:kern w:val="0"/>
          <w:sz w:val="32"/>
          <w:szCs w:val="32"/>
        </w:rPr>
        <w:t>年相比持平。</w:t>
      </w:r>
    </w:p>
    <w:p>
      <w:pPr>
        <w:widowControl/>
        <w:spacing w:line="315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具体支出情况如下：</w:t>
      </w:r>
    </w:p>
    <w:p>
      <w:pPr>
        <w:widowControl/>
        <w:spacing w:line="315" w:lineRule="atLeast"/>
        <w:ind w:firstLine="638"/>
        <w:jc w:val="left"/>
        <w:rPr>
          <w:rFonts w:ascii="宋体" w:cs="宋体"/>
          <w:b w:val="0"/>
          <w:bCs w:val="0"/>
          <w:kern w:val="0"/>
          <w:sz w:val="24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（一）因公出国（境）费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万元</w:t>
      </w:r>
      <w:r>
        <w:rPr>
          <w:rFonts w:hint="eastAsia" w:ascii="仿宋" w:hAnsi="宋体" w:eastAsia="仿宋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万元，其中，公务用车购置费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万元；公务用车运行维护费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万元，主要用于开展工作所需公务用车的燃料费、维修费、过路过桥费、保险费、安全奖励费用等支出。公务用车运行维护费预算数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相</w:t>
      </w:r>
      <w:r>
        <w:rPr>
          <w:rFonts w:hint="eastAsia" w:ascii="仿宋" w:hAnsi="宋体" w:eastAsia="仿宋" w:cs="宋体"/>
          <w:kern w:val="0"/>
          <w:sz w:val="32"/>
          <w:szCs w:val="32"/>
        </w:rPr>
        <w:t>比</w:t>
      </w:r>
      <w:r>
        <w:rPr>
          <w:rFonts w:ascii="仿宋" w:hAnsi="宋体" w:eastAsia="仿宋" w:cs="宋体"/>
          <w:kern w:val="0"/>
          <w:sz w:val="32"/>
          <w:szCs w:val="32"/>
        </w:rPr>
        <w:t>201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宋体" w:eastAsia="仿宋" w:cs="宋体"/>
          <w:kern w:val="0"/>
          <w:sz w:val="32"/>
          <w:szCs w:val="32"/>
        </w:rPr>
        <w:t>年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增加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0万元</w:t>
      </w:r>
      <w:r>
        <w:rPr>
          <w:rFonts w:hint="eastAsia" w:ascii="仿宋" w:hAnsi="宋体" w:eastAsia="仿宋" w:cs="宋体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" w:hAnsi="宋体" w:eastAsia="仿宋" w:cs="宋体"/>
          <w:b w:val="0"/>
          <w:bCs w:val="0"/>
          <w:spacing w:val="-1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ind w:firstLine="321" w:firstLineChars="100"/>
        <w:jc w:val="left"/>
        <w:rPr>
          <w:rFonts w:ascii="仿宋" w:hAnsi="宋体" w:eastAsia="仿宋" w:cs="宋体"/>
          <w:b/>
          <w:bCs/>
          <w:kern w:val="0"/>
          <w:sz w:val="32"/>
          <w:szCs w:val="32"/>
        </w:rPr>
      </w:pPr>
      <w:r>
        <w:rPr>
          <w:rFonts w:hint="eastAsia" w:ascii="仿宋" w:hAnsi="宋体" w:eastAsia="仿宋" w:cs="宋体"/>
          <w:b/>
          <w:bCs/>
          <w:kern w:val="0"/>
          <w:sz w:val="32"/>
          <w:szCs w:val="32"/>
          <w:lang w:eastAsia="zh-CN"/>
        </w:rPr>
        <w:t>九</w:t>
      </w:r>
      <w:r>
        <w:rPr>
          <w:rFonts w:hint="eastAsia" w:ascii="仿宋" w:hAnsi="宋体" w:eastAsia="仿宋" w:cs="宋体"/>
          <w:b/>
          <w:bCs/>
          <w:kern w:val="0"/>
          <w:sz w:val="32"/>
          <w:szCs w:val="32"/>
        </w:rPr>
        <w:t>、其他重要事项的情况说明</w:t>
      </w:r>
    </w:p>
    <w:p>
      <w:pPr>
        <w:widowControl/>
        <w:spacing w:line="315" w:lineRule="atLeast"/>
        <w:jc w:val="left"/>
        <w:rPr>
          <w:rFonts w:ascii="仿宋" w:hAnsi="宋体" w:eastAsia="仿宋" w:cs="宋体"/>
          <w:kern w:val="0"/>
          <w:sz w:val="32"/>
          <w:szCs w:val="32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（一）机关运行经费支出情况</w:t>
      </w:r>
    </w:p>
    <w:p>
      <w:pPr>
        <w:widowControl/>
        <w:spacing w:line="560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西夏镇政府</w:t>
      </w: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年一般公共预算基本支出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1555.21</w:t>
      </w:r>
      <w:r>
        <w:rPr>
          <w:rFonts w:hint="eastAsia" w:ascii="仿宋" w:hAnsi="宋体" w:eastAsia="仿宋" w:cs="宋体"/>
          <w:kern w:val="0"/>
          <w:sz w:val="32"/>
          <w:szCs w:val="32"/>
        </w:rPr>
        <w:t>元，其中：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  <w:lang w:val="en-US" w:eastAsia="zh-CN"/>
        </w:rPr>
        <w:t>1325.21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医疗费、助学金、奖励金、住房公积金、提租补贴、购房补贴、其他对个人和家庭的补助支出；</w:t>
      </w:r>
      <w:r>
        <w:rPr>
          <w:rFonts w:hint="eastAsia" w:ascii="仿宋" w:hAnsi="宋体" w:eastAsia="仿宋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179.79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行维护费、其他交通费用、税金及附加费用、其他商品和服务支出、办公设备购置、专用设备购置、大型修缮、信息网络及软件购置更新、其他资本性支出。</w:t>
      </w:r>
    </w:p>
    <w:p>
      <w:pPr>
        <w:spacing w:line="360" w:lineRule="auto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（二）、政府采购支出情况。</w:t>
      </w:r>
    </w:p>
    <w:p>
      <w:pPr>
        <w:spacing w:line="360" w:lineRule="auto"/>
        <w:ind w:firstLine="640" w:firstLineChars="200"/>
        <w:rPr>
          <w:rFonts w:hint="default" w:ascii="仿宋" w:hAnsi="仿宋" w:eastAsia="仿宋" w:cs="仿宋"/>
          <w:sz w:val="32"/>
          <w:lang w:val="en-US" w:eastAsia="zh-CN"/>
        </w:rPr>
      </w:pP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</w:rPr>
        <w:t>年政府采购预算安排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万元，其中：政府采购货物预算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万元、政府采购工程预算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万元、政府采购服务预算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万元。</w:t>
      </w:r>
    </w:p>
    <w:p>
      <w:pPr>
        <w:spacing w:line="360" w:lineRule="auto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（三）</w:t>
      </w:r>
      <w:r>
        <w:rPr>
          <w:rFonts w:hint="eastAsia" w:ascii="仿宋" w:hAnsi="宋体" w:eastAsia="仿宋" w:cs="宋体"/>
          <w:kern w:val="0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</w:rPr>
        <w:t>国有资产占用情况表</w:t>
      </w:r>
    </w:p>
    <w:p>
      <w:pPr>
        <w:spacing w:line="360" w:lineRule="auto"/>
        <w:ind w:firstLine="640"/>
        <w:rPr>
          <w:rFonts w:ascii="仿宋" w:hAnsi="仿宋" w:eastAsia="仿宋" w:cs="仿宋"/>
          <w:sz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</w:rPr>
        <w:t>年度，</w:t>
      </w:r>
      <w:r>
        <w:rPr>
          <w:rFonts w:hint="eastAsia" w:ascii="仿宋" w:hAnsi="宋体" w:eastAsia="仿宋" w:cs="宋体"/>
          <w:kern w:val="0"/>
          <w:sz w:val="32"/>
          <w:szCs w:val="32"/>
        </w:rPr>
        <w:t>西华县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西夏镇政府</w:t>
      </w:r>
      <w:r>
        <w:rPr>
          <w:rFonts w:hint="eastAsia" w:ascii="仿宋" w:hAnsi="仿宋" w:eastAsia="仿宋" w:cs="仿宋"/>
          <w:sz w:val="32"/>
        </w:rPr>
        <w:t>共有车辆</w:t>
      </w:r>
      <w:r>
        <w:rPr>
          <w:rFonts w:ascii="仿宋" w:hAnsi="仿宋" w:eastAsia="仿宋" w:cs="仿宋"/>
          <w:sz w:val="32"/>
        </w:rPr>
        <w:t>1</w:t>
      </w:r>
      <w:r>
        <w:rPr>
          <w:rFonts w:hint="eastAsia" w:ascii="仿宋" w:hAnsi="仿宋" w:eastAsia="仿宋" w:cs="仿宋"/>
          <w:sz w:val="32"/>
        </w:rPr>
        <w:t>辆，为一般公务用车</w:t>
      </w:r>
      <w:r>
        <w:rPr>
          <w:rFonts w:hint="eastAsia" w:ascii="仿宋" w:hAnsi="仿宋" w:eastAsia="仿宋" w:cs="仿宋"/>
          <w:sz w:val="32"/>
          <w:lang w:val="en-US" w:eastAsia="zh-CN"/>
        </w:rPr>
        <w:t>,</w:t>
      </w:r>
      <w:r>
        <w:rPr>
          <w:rFonts w:hint="eastAsia" w:ascii="仿宋" w:hAnsi="仿宋" w:eastAsia="仿宋" w:cs="仿宋"/>
          <w:sz w:val="32"/>
        </w:rPr>
        <w:t>单位价值</w:t>
      </w:r>
      <w:r>
        <w:rPr>
          <w:rFonts w:ascii="仿宋" w:hAnsi="仿宋" w:eastAsia="仿宋" w:cs="仿宋"/>
          <w:sz w:val="32"/>
        </w:rPr>
        <w:t>100</w:t>
      </w:r>
      <w:r>
        <w:rPr>
          <w:rFonts w:hint="eastAsia" w:ascii="仿宋" w:hAnsi="仿宋" w:eastAsia="仿宋" w:cs="仿宋"/>
          <w:sz w:val="32"/>
        </w:rPr>
        <w:t>万元以上专用设备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台（套）。</w:t>
      </w:r>
    </w:p>
    <w:p>
      <w:pPr>
        <w:spacing w:line="360" w:lineRule="auto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（四）、重点绩效评价结果等预算绩效情况说明。</w:t>
      </w:r>
    </w:p>
    <w:p>
      <w:pPr>
        <w:widowControl/>
        <w:spacing w:line="315" w:lineRule="atLeast"/>
        <w:ind w:firstLine="638"/>
        <w:jc w:val="left"/>
        <w:rPr>
          <w:rFonts w:hint="default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我单位</w:t>
      </w: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</w:rPr>
        <w:t>年重点项目支出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万元，用于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0（当年没有重点项目支出的单位，请写本单位2020年度未安排重点项目支出资金，所以未开展绩效评价工作。</w:t>
      </w:r>
    </w:p>
    <w:p>
      <w:pPr>
        <w:widowControl/>
        <w:spacing w:line="315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ascii="仿宋" w:hAnsi="宋体" w:eastAsia="仿宋" w:cs="宋体"/>
          <w:kern w:val="0"/>
          <w:sz w:val="32"/>
          <w:szCs w:val="32"/>
        </w:rPr>
        <w:t> </w:t>
      </w:r>
    </w:p>
    <w:p>
      <w:pPr>
        <w:widowControl/>
        <w:spacing w:line="315" w:lineRule="atLeast"/>
        <w:ind w:firstLine="640"/>
        <w:jc w:val="left"/>
        <w:rPr>
          <w:rFonts w:hint="eastAsia" w:ascii="仿宋_GB2312" w:eastAsia="仿宋_GB2312"/>
          <w:sz w:val="32"/>
          <w:szCs w:val="32"/>
        </w:rPr>
      </w:pPr>
    </w:p>
    <w:p>
      <w:pPr>
        <w:pStyle w:val="8"/>
        <w:spacing w:before="0" w:beforeAutospacing="0" w:after="0" w:afterAutospacing="0"/>
        <w:rPr>
          <w:color w:val="000000"/>
          <w:sz w:val="21"/>
          <w:szCs w:val="21"/>
        </w:rPr>
      </w:pPr>
    </w:p>
    <w:p>
      <w:pPr>
        <w:pStyle w:val="8"/>
        <w:spacing w:before="0" w:beforeAutospacing="0" w:after="0" w:afterAutospacing="0"/>
        <w:rPr>
          <w:color w:val="000000"/>
          <w:sz w:val="21"/>
          <w:szCs w:val="21"/>
        </w:rPr>
      </w:pPr>
    </w:p>
    <w:p>
      <w:pPr>
        <w:pStyle w:val="7"/>
        <w:spacing w:before="0" w:beforeAutospacing="0" w:after="0" w:afterAutospacing="0"/>
        <w:jc w:val="center"/>
        <w:rPr>
          <w:sz w:val="21"/>
          <w:szCs w:val="21"/>
        </w:rPr>
      </w:pPr>
      <w:r>
        <w:rPr>
          <w:rFonts w:hint="eastAsia" w:ascii="黑体" w:hAnsi="黑体" w:eastAsia="黑体"/>
          <w:sz w:val="32"/>
          <w:szCs w:val="32"/>
        </w:rPr>
        <w:t>名词解释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一、财政拨款收入：是指市级财政当年拨付的资金。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二、事业收入：是指事业单位开展专业活动及辅助活动所取 得的收入。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三、其他收入：是指部门取得的除“财政拨款”、“事业收入”、“事业单位经营收入”等以外的收入。 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 支差额的基金）弥补当年收支缺口的资金。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五、上年结转和结余：是指以前年度支出预算因客观条件变化未执行完毕、结转到本年度按有关规定继续使用的资金，既包括财政拨款结转和结余，也包括事业收入、经营收入、其他收入的结转和结余。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六、基本支出：是指为保障机构正常运转、完成日常工作任务所必需的开支，其内容包括人员经费和日常公用经费两部分。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七、项目支出：是指在基本支出之外，为完成特定的行政工作任务或事业发展目标所发生的支出。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八、一般公共服务：</w:t>
      </w:r>
      <w:r>
        <w:rPr>
          <w:rFonts w:hint="eastAsia" w:ascii="仿宋_GB2312" w:eastAsia="仿宋_GB2312"/>
          <w:color w:val="000000"/>
          <w:sz w:val="32"/>
          <w:szCs w:val="32"/>
        </w:rPr>
        <w:t>是指中共周口市委宣传部用于保障机构正常运行</w:t>
      </w:r>
      <w:r>
        <w:rPr>
          <w:rFonts w:hint="eastAsia"/>
          <w:color w:val="000000"/>
          <w:sz w:val="32"/>
          <w:szCs w:val="32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</w:rPr>
        <w:t>开展</w:t>
      </w:r>
      <w:r>
        <w:rPr>
          <w:rFonts w:hint="eastAsia"/>
          <w:color w:val="000000"/>
          <w:sz w:val="32"/>
          <w:szCs w:val="32"/>
        </w:rPr>
        <w:t>宣传思想文化、新闻监督、舆情管控</w:t>
      </w:r>
      <w:r>
        <w:rPr>
          <w:rFonts w:hint="eastAsia" w:ascii="仿宋_GB2312" w:eastAsia="仿宋_GB2312"/>
          <w:color w:val="000000"/>
          <w:sz w:val="32"/>
          <w:szCs w:val="32"/>
        </w:rPr>
        <w:t>等活动的支出</w:t>
      </w:r>
      <w:r>
        <w:rPr>
          <w:rFonts w:hint="eastAsia"/>
          <w:color w:val="000000"/>
          <w:sz w:val="32"/>
          <w:szCs w:val="32"/>
        </w:rPr>
        <w:t>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（一）行政运行（项）：是指为</w:t>
      </w:r>
      <w:r>
        <w:rPr>
          <w:rFonts w:hint="eastAsia" w:ascii="仿宋_GB2312" w:eastAsia="仿宋_GB2312"/>
          <w:color w:val="000000"/>
          <w:sz w:val="32"/>
          <w:szCs w:val="32"/>
        </w:rPr>
        <w:t>保障中共周口市委宣传部各行政机构正</w:t>
      </w:r>
      <w:r>
        <w:rPr>
          <w:rFonts w:hint="eastAsia"/>
          <w:color w:val="000000"/>
          <w:sz w:val="32"/>
          <w:szCs w:val="32"/>
        </w:rPr>
        <w:t>常运转、完成日常工作任务安排的支出。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（二）一般行政管理事务（项）：是指中共周口市委宣传部机关的项目支出。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（三）事业运行（项）：是指事业单位用于保障机构正常运转的基本支出。</w:t>
      </w:r>
    </w:p>
    <w:p>
      <w:pPr>
        <w:pStyle w:val="9"/>
        <w:spacing w:before="0" w:beforeAutospacing="0" w:after="0" w:afterAutospacing="0"/>
        <w:ind w:firstLine="640"/>
        <w:jc w:val="both"/>
        <w:rPr>
          <w:color w:val="000000"/>
          <w:sz w:val="21"/>
          <w:szCs w:val="21"/>
        </w:rPr>
      </w:pPr>
      <w:r>
        <w:rPr>
          <w:rFonts w:hint="eastAsia"/>
          <w:color w:val="000000"/>
          <w:sz w:val="32"/>
          <w:szCs w:val="32"/>
        </w:rPr>
        <w:t>九、“三公”经费：是指纳入市级财政预算管理，部门使用财政拨款安排的因公出国（境）费、公务用车购置及运行费和公务接待费。其中，因公出国（境）费反映单位</w:t>
      </w:r>
      <w:r>
        <w:rPr>
          <w:rStyle w:val="10"/>
          <w:rFonts w:hint="eastAsia"/>
          <w:b w:val="0"/>
          <w:bCs/>
          <w:sz w:val="30"/>
          <w:szCs w:val="30"/>
        </w:rPr>
        <w:t>公务</w:t>
      </w:r>
      <w:r>
        <w:rPr>
          <w:rFonts w:hint="eastAsia"/>
          <w:color w:val="000000"/>
          <w:sz w:val="32"/>
          <w:szCs w:val="32"/>
        </w:rPr>
        <w:t>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pStyle w:val="9"/>
        <w:spacing w:before="0" w:beforeAutospacing="0" w:after="0" w:afterAutospacing="0"/>
        <w:ind w:firstLine="640"/>
        <w:jc w:val="both"/>
        <w:rPr>
          <w:rFonts w:hint="eastAsia"/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十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pStyle w:val="9"/>
        <w:spacing w:before="0" w:beforeAutospacing="0" w:after="0" w:afterAutospacing="0"/>
        <w:ind w:firstLine="640"/>
        <w:jc w:val="both"/>
      </w:pPr>
    </w:p>
    <w:p>
      <w:pPr>
        <w:pStyle w:val="9"/>
        <w:spacing w:before="0" w:beforeAutospacing="0" w:after="0" w:afterAutospacing="0"/>
        <w:ind w:firstLine="640"/>
        <w:jc w:val="both"/>
      </w:pPr>
    </w:p>
    <w:p>
      <w:pPr>
        <w:pStyle w:val="9"/>
        <w:spacing w:before="0" w:beforeAutospacing="0" w:after="0" w:afterAutospacing="0"/>
        <w:ind w:firstLine="640"/>
        <w:jc w:val="both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4">
            <o:LockedField>false</o:LockedField>
          </o:OLEObject>
        </w:object>
      </w:r>
    </w:p>
    <w:p>
      <w:pPr>
        <w:pStyle w:val="9"/>
        <w:spacing w:before="0" w:beforeAutospacing="0" w:after="0" w:afterAutospacing="0"/>
        <w:jc w:val="both"/>
        <w:rPr>
          <w:rFonts w:hint="eastAsia"/>
          <w:color w:val="000000"/>
          <w:sz w:val="32"/>
          <w:szCs w:val="32"/>
        </w:rPr>
      </w:pPr>
    </w:p>
    <w:tbl>
      <w:tblPr>
        <w:tblStyle w:val="5"/>
        <w:tblW w:w="216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36"/>
        <w:gridCol w:w="2613"/>
        <w:gridCol w:w="3978"/>
        <w:gridCol w:w="1940"/>
        <w:gridCol w:w="1183"/>
        <w:gridCol w:w="1183"/>
        <w:gridCol w:w="1874"/>
        <w:gridCol w:w="1923"/>
        <w:gridCol w:w="1972"/>
        <w:gridCol w:w="1923"/>
        <w:gridCol w:w="1940"/>
        <w:gridCol w:w="1430"/>
        <w:gridCol w:w="1545"/>
        <w:gridCol w:w="1792"/>
        <w:gridCol w:w="1907"/>
        <w:gridCol w:w="1956"/>
        <w:gridCol w:w="1611"/>
        <w:gridCol w:w="1594"/>
        <w:gridCol w:w="29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136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613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78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40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83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83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4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3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72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3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40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30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07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11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94" w:type="dxa"/>
            <w:shd w:val="clear" w:color="auto" w:fill="auto"/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预算01表</w:t>
            </w:r>
          </w:p>
        </w:tc>
      </w:tr>
    </w:tbl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DF488E"/>
    <w:multiLevelType w:val="singleLevel"/>
    <w:tmpl w:val="5EDF488E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EDF528E"/>
    <w:multiLevelType w:val="singleLevel"/>
    <w:tmpl w:val="5EDF528E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243590"/>
    <w:rsid w:val="002931A6"/>
    <w:rsid w:val="005E3517"/>
    <w:rsid w:val="00755620"/>
    <w:rsid w:val="00760939"/>
    <w:rsid w:val="00765313"/>
    <w:rsid w:val="00802C91"/>
    <w:rsid w:val="00895FD3"/>
    <w:rsid w:val="00971ABA"/>
    <w:rsid w:val="00D7566C"/>
    <w:rsid w:val="00F1209D"/>
    <w:rsid w:val="00FD4BA7"/>
    <w:rsid w:val="09102853"/>
    <w:rsid w:val="0F351F2C"/>
    <w:rsid w:val="11C014D5"/>
    <w:rsid w:val="124453F0"/>
    <w:rsid w:val="150C0018"/>
    <w:rsid w:val="15641030"/>
    <w:rsid w:val="161B6F9B"/>
    <w:rsid w:val="16E61CAA"/>
    <w:rsid w:val="17DF009E"/>
    <w:rsid w:val="188D7DDA"/>
    <w:rsid w:val="194B3EE1"/>
    <w:rsid w:val="1B3A70EC"/>
    <w:rsid w:val="21116B44"/>
    <w:rsid w:val="22DD22CA"/>
    <w:rsid w:val="26A03DC0"/>
    <w:rsid w:val="27B83947"/>
    <w:rsid w:val="27FE762A"/>
    <w:rsid w:val="29006DF9"/>
    <w:rsid w:val="2AA84FBA"/>
    <w:rsid w:val="2B99781A"/>
    <w:rsid w:val="2C1E10F8"/>
    <w:rsid w:val="2ED04012"/>
    <w:rsid w:val="31CC1EAE"/>
    <w:rsid w:val="366C75ED"/>
    <w:rsid w:val="3812081F"/>
    <w:rsid w:val="39E02F67"/>
    <w:rsid w:val="3A2F5E8D"/>
    <w:rsid w:val="3A5D2DF3"/>
    <w:rsid w:val="3F1D3724"/>
    <w:rsid w:val="417A21E6"/>
    <w:rsid w:val="42777AD0"/>
    <w:rsid w:val="45214F7E"/>
    <w:rsid w:val="4C4112C9"/>
    <w:rsid w:val="4FA85228"/>
    <w:rsid w:val="59411E79"/>
    <w:rsid w:val="616D1275"/>
    <w:rsid w:val="643D0738"/>
    <w:rsid w:val="65A9546B"/>
    <w:rsid w:val="66FD462F"/>
    <w:rsid w:val="67C211B2"/>
    <w:rsid w:val="68970E8A"/>
    <w:rsid w:val="68972556"/>
    <w:rsid w:val="6AE74DD3"/>
    <w:rsid w:val="6B212045"/>
    <w:rsid w:val="6B935F81"/>
    <w:rsid w:val="6E5A1B9B"/>
    <w:rsid w:val="71B90175"/>
    <w:rsid w:val="72657DD6"/>
    <w:rsid w:val="73660D20"/>
    <w:rsid w:val="73CD3995"/>
    <w:rsid w:val="786569EC"/>
    <w:rsid w:val="78AB723B"/>
    <w:rsid w:val="795768DB"/>
    <w:rsid w:val="7B3A38D9"/>
    <w:rsid w:val="7E233204"/>
    <w:rsid w:val="7E5C5F78"/>
    <w:rsid w:val="7EE64C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标题 1 Char"/>
    <w:link w:val="2"/>
    <w:qFormat/>
    <w:uiPriority w:val="0"/>
    <w:rPr>
      <w:b/>
      <w:kern w:val="44"/>
      <w:sz w:val="44"/>
    </w:rPr>
  </w:style>
  <w:style w:type="character" w:customStyle="1" w:styleId="11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12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13">
    <w:name w:val="font2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4">
    <w:name w:val="font1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01"/>
    <w:basedOn w:val="6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6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4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283</Words>
  <Characters>1616</Characters>
  <Lines>13</Lines>
  <Paragraphs>3</Paragraphs>
  <TotalTime>3</TotalTime>
  <ScaleCrop>false</ScaleCrop>
  <LinksUpToDate>false</LinksUpToDate>
  <CharactersWithSpaces>1896</CharactersWithSpaces>
  <Application>WPS Office_11.1.0.9748_F1E327BC-269C-435d-A152-05C5408002CA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戏谑</cp:lastModifiedBy>
  <cp:lastPrinted>2020-06-17T02:23:00Z</cp:lastPrinted>
  <dcterms:modified xsi:type="dcterms:W3CDTF">2020-06-18T00:46:44Z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2052-11.1.0.9748</vt:lpwstr>
  </property>
</Properties>
</file>