
<file path=[Content_Types].xml><?xml version="1.0" encoding="utf-8"?>
<Types xmlns="http://schemas.openxmlformats.org/package/2006/content-types">
  <Default Extension="xml" ContentType="application/xml"/>
  <Default Extension="bin" ContentType="application/vnd.openxmlformats-officedocument.oleObject"/>
  <Default Extension="png" ContentType="image/png"/>
  <Default Extension="emf" ContentType="image/x-emf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/>
    <w:p/>
    <w:p/>
    <w:p>
      <w:pPr>
        <w:jc w:val="center"/>
        <w:rPr>
          <w:b/>
          <w:sz w:val="36"/>
          <w:szCs w:val="36"/>
        </w:rPr>
      </w:pPr>
    </w:p>
    <w:p>
      <w:pPr>
        <w:ind w:firstLine="2610" w:firstLineChars="500"/>
        <w:jc w:val="both"/>
        <w:rPr>
          <w:rFonts w:ascii="仿宋" w:hAnsi="仿宋" w:eastAsia="仿宋"/>
          <w:b/>
          <w:sz w:val="52"/>
          <w:szCs w:val="52"/>
        </w:rPr>
      </w:pPr>
      <w:r>
        <w:rPr>
          <w:rFonts w:ascii="仿宋" w:hAnsi="仿宋" w:eastAsia="仿宋"/>
          <w:b/>
          <w:sz w:val="52"/>
          <w:szCs w:val="52"/>
        </w:rPr>
        <w:t>20</w:t>
      </w:r>
      <w:r>
        <w:rPr>
          <w:rFonts w:hint="eastAsia" w:ascii="仿宋" w:hAnsi="仿宋" w:eastAsia="仿宋"/>
          <w:b/>
          <w:sz w:val="52"/>
          <w:szCs w:val="52"/>
          <w:lang w:val="en-US" w:eastAsia="zh-CN"/>
        </w:rPr>
        <w:t>20</w:t>
      </w:r>
      <w:r>
        <w:rPr>
          <w:rFonts w:hint="eastAsia" w:ascii="仿宋" w:hAnsi="仿宋" w:eastAsia="仿宋"/>
          <w:b/>
          <w:sz w:val="52"/>
          <w:szCs w:val="52"/>
        </w:rPr>
        <w:t>年度西华县</w:t>
      </w:r>
    </w:p>
    <w:p>
      <w:pPr>
        <w:jc w:val="center"/>
        <w:rPr>
          <w:rFonts w:ascii="仿宋" w:hAnsi="仿宋" w:eastAsia="仿宋"/>
          <w:b/>
          <w:sz w:val="52"/>
          <w:szCs w:val="52"/>
        </w:rPr>
      </w:pPr>
      <w:r>
        <w:rPr>
          <w:rFonts w:hint="eastAsia" w:ascii="仿宋" w:hAnsi="仿宋" w:eastAsia="仿宋"/>
          <w:b/>
          <w:sz w:val="52"/>
          <w:szCs w:val="52"/>
          <w:lang w:eastAsia="zh-CN"/>
        </w:rPr>
        <w:t>东王营乡</w:t>
      </w:r>
      <w:r>
        <w:rPr>
          <w:rFonts w:hint="eastAsia" w:ascii="仿宋" w:hAnsi="仿宋" w:eastAsia="仿宋"/>
          <w:b/>
          <w:sz w:val="52"/>
          <w:szCs w:val="52"/>
        </w:rPr>
        <w:t>部门预算公开说明</w:t>
      </w:r>
    </w:p>
    <w:p>
      <w:pPr>
        <w:jc w:val="center"/>
        <w:rPr>
          <w:b/>
          <w:sz w:val="36"/>
          <w:szCs w:val="36"/>
        </w:rPr>
      </w:pPr>
    </w:p>
    <w:p>
      <w:pPr>
        <w:jc w:val="center"/>
        <w:rPr>
          <w:b/>
          <w:sz w:val="36"/>
          <w:szCs w:val="36"/>
        </w:rPr>
      </w:pPr>
    </w:p>
    <w:p>
      <w:pPr>
        <w:jc w:val="center"/>
        <w:rPr>
          <w:b/>
          <w:sz w:val="36"/>
          <w:szCs w:val="36"/>
        </w:rPr>
      </w:pPr>
    </w:p>
    <w:p/>
    <w:p/>
    <w:p/>
    <w:p/>
    <w:p/>
    <w:p/>
    <w:p/>
    <w:p/>
    <w:p/>
    <w:p/>
    <w:p/>
    <w:p/>
    <w:p/>
    <w:p/>
    <w:p/>
    <w:p/>
    <w:p/>
    <w:p/>
    <w:p>
      <w:pPr>
        <w:rPr>
          <w:rFonts w:hint="default" w:eastAsia="宋体"/>
          <w:sz w:val="52"/>
          <w:szCs w:val="52"/>
          <w:lang w:val="en-US" w:eastAsia="zh-CN"/>
        </w:rPr>
      </w:pPr>
      <w:r>
        <w:rPr>
          <w:rFonts w:hint="eastAsia"/>
          <w:lang w:val="en-US" w:eastAsia="zh-CN"/>
        </w:rPr>
        <w:t xml:space="preserve">                      </w:t>
      </w:r>
      <w:r>
        <w:rPr>
          <w:rFonts w:hint="eastAsia"/>
          <w:b/>
          <w:bCs/>
          <w:sz w:val="44"/>
          <w:szCs w:val="44"/>
          <w:lang w:val="en-US" w:eastAsia="zh-CN"/>
        </w:rPr>
        <w:t>二零二零年六月</w:t>
      </w:r>
    </w:p>
    <w:p/>
    <w:p/>
    <w:p/>
    <w:p/>
    <w:p/>
    <w:p/>
    <w:p/>
    <w:p/>
    <w:p/>
    <w:p/>
    <w:p/>
    <w:p/>
    <w:p/>
    <w:tbl>
      <w:tblPr>
        <w:tblStyle w:val="8"/>
        <w:tblW w:w="8306" w:type="dxa"/>
        <w:tblCellSpacing w:w="0" w:type="dxa"/>
        <w:tblInd w:w="0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306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0" w:type="dxa"/>
        </w:trPr>
        <w:tc>
          <w:tcPr>
            <w:tcW w:w="8306" w:type="dxa"/>
          </w:tcPr>
          <w:p/>
          <w:tbl>
            <w:tblPr>
              <w:tblStyle w:val="8"/>
              <w:tblW w:w="7827" w:type="dxa"/>
              <w:jc w:val="center"/>
              <w:tblCellSpacing w:w="0" w:type="dxa"/>
              <w:tblLayout w:type="fixed"/>
              <w:tblCellMar>
                <w:top w:w="0" w:type="dxa"/>
                <w:left w:w="0" w:type="dxa"/>
                <w:bottom w:w="0" w:type="dxa"/>
                <w:right w:w="0" w:type="dxa"/>
              </w:tblCellMar>
            </w:tblPr>
            <w:tblGrid>
              <w:gridCol w:w="7827"/>
            </w:tblGrid>
            <w:tr>
              <w:tblPrEx>
                <w:tblCellMar>
                  <w:top w:w="0" w:type="dxa"/>
                  <w:left w:w="0" w:type="dxa"/>
                  <w:bottom w:w="0" w:type="dxa"/>
                  <w:right w:w="0" w:type="dxa"/>
                </w:tblCellMar>
              </w:tblPrEx>
              <w:trPr>
                <w:trHeight w:val="5400" w:hRule="atLeast"/>
                <w:tblCellSpacing w:w="0" w:type="dxa"/>
                <w:jc w:val="center"/>
              </w:trPr>
              <w:tc>
                <w:tcPr>
                  <w:tcW w:w="7827" w:type="dxa"/>
                </w:tcPr>
                <w:p>
                  <w:pPr>
                    <w:widowControl/>
                    <w:spacing w:line="315" w:lineRule="atLeast"/>
                    <w:ind w:right="51" w:firstLine="2530" w:firstLineChars="450"/>
                    <w:rPr>
                      <w:rFonts w:ascii="仿宋" w:hAnsi="宋体" w:eastAsia="仿宋" w:cs="宋体"/>
                      <w:b/>
                      <w:kern w:val="0"/>
                      <w:sz w:val="56"/>
                      <w:szCs w:val="56"/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56"/>
                      <w:szCs w:val="56"/>
                    </w:rPr>
                    <w:t>目</w:t>
                  </w:r>
                  <w:r>
                    <w:rPr>
                      <w:rFonts w:ascii="仿宋" w:hAnsi="宋体" w:eastAsia="仿宋" w:cs="宋体"/>
                      <w:b/>
                      <w:spacing w:val="2"/>
                      <w:kern w:val="0"/>
                      <w:sz w:val="56"/>
                      <w:szCs w:val="56"/>
                    </w:rPr>
                    <w:t> </w:t>
                  </w: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56"/>
                      <w:szCs w:val="56"/>
                    </w:rPr>
                    <w:t>录</w:t>
                  </w:r>
                </w:p>
                <w:p>
                  <w:pPr>
                    <w:widowControl/>
                    <w:spacing w:line="315" w:lineRule="atLeast"/>
                    <w:ind w:left="-142" w:right="51" w:firstLine="39"/>
                    <w:jc w:val="center"/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</w:pPr>
                </w:p>
                <w:p>
                  <w:pPr>
                    <w:widowControl/>
                    <w:spacing w:line="315" w:lineRule="atLeast"/>
                    <w:ind w:left="-142" w:right="51" w:firstLine="161" w:firstLineChars="50"/>
                    <w:rPr>
                      <w:rFonts w:ascii="仿宋" w:hAnsi="宋体" w:eastAsia="仿宋" w:cs="宋体"/>
                      <w:b/>
                      <w:kern w:val="0"/>
                      <w:sz w:val="56"/>
                      <w:szCs w:val="56"/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32"/>
                      <w:szCs w:val="32"/>
                    </w:rPr>
                    <w:t>第一部分西华县</w:t>
                  </w: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32"/>
                      <w:szCs w:val="32"/>
                      <w:lang w:val="en-US" w:eastAsia="zh-CN"/>
                    </w:rPr>
                    <w:t>东王营乡</w:t>
                  </w: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32"/>
                      <w:szCs w:val="32"/>
                    </w:rPr>
                    <w:t>概况</w:t>
                  </w:r>
                </w:p>
                <w:p>
                  <w:pPr>
                    <w:widowControl/>
                    <w:spacing w:line="315" w:lineRule="atLeast"/>
                    <w:ind w:right="3569" w:firstLine="640" w:firstLineChars="200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一、主要职能</w:t>
                  </w:r>
                </w:p>
                <w:p>
                  <w:pPr>
                    <w:widowControl/>
                    <w:spacing w:line="315" w:lineRule="atLeast"/>
                    <w:ind w:right="3569"/>
                    <w:jc w:val="center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 xml:space="preserve"> 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二、部门预算单位构成</w:t>
                  </w:r>
                </w:p>
                <w:p>
                  <w:pPr>
                    <w:widowControl/>
                    <w:spacing w:line="315" w:lineRule="atLeast"/>
                    <w:ind w:left="31680" w:right="522" w:hanging="964" w:hangingChars="300"/>
                    <w:jc w:val="left"/>
                    <w:rPr>
                      <w:rFonts w:ascii="宋体" w:cs="宋体"/>
                      <w:b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32"/>
                      <w:szCs w:val="32"/>
                    </w:rPr>
                    <w:t>第二部分</w:t>
                  </w:r>
                  <w:r>
                    <w:rPr>
                      <w:rFonts w:ascii="仿宋" w:hAnsi="宋体" w:eastAsia="仿宋" w:cs="宋体"/>
                      <w:b/>
                      <w:kern w:val="0"/>
                      <w:sz w:val="32"/>
                      <w:szCs w:val="32"/>
                    </w:rPr>
                    <w:t xml:space="preserve"> </w:t>
                  </w: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32"/>
                      <w:szCs w:val="32"/>
                    </w:rPr>
                    <w:t>西华县</w:t>
                  </w: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32"/>
                      <w:szCs w:val="32"/>
                      <w:lang w:val="en-US" w:eastAsia="zh-CN"/>
                    </w:rPr>
                    <w:t>东王营乡</w:t>
                  </w:r>
                  <w:r>
                    <w:rPr>
                      <w:rFonts w:ascii="仿宋" w:hAnsi="宋体" w:eastAsia="仿宋" w:cs="宋体"/>
                      <w:b/>
                      <w:kern w:val="0"/>
                      <w:sz w:val="32"/>
                      <w:szCs w:val="32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32"/>
                      <w:szCs w:val="32"/>
                      <w:lang w:val="en-US" w:eastAsia="zh-CN"/>
                    </w:rPr>
                    <w:t>20</w:t>
                  </w:r>
                  <w:r>
                    <w:rPr>
                      <w:rFonts w:ascii="仿宋" w:hAnsi="宋体" w:eastAsia="仿宋" w:cs="宋体"/>
                      <w:b/>
                      <w:spacing w:val="-119"/>
                      <w:kern w:val="0"/>
                      <w:sz w:val="32"/>
                      <w:szCs w:val="32"/>
                    </w:rPr>
                    <w:t> </w:t>
                  </w: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32"/>
                      <w:szCs w:val="32"/>
                    </w:rPr>
                    <w:t>年度部门预算情况说明</w:t>
                  </w:r>
                  <w:r>
                    <w:rPr>
                      <w:rFonts w:ascii="宋体" w:hAnsi="宋体" w:cs="宋体"/>
                      <w:b/>
                      <w:kern w:val="0"/>
                      <w:sz w:val="24"/>
                    </w:rPr>
                    <w:t xml:space="preserve">          </w:t>
                  </w:r>
                </w:p>
                <w:p>
                  <w:pPr>
                    <w:widowControl/>
                    <w:spacing w:line="315" w:lineRule="atLeast"/>
                    <w:ind w:right="522"/>
                    <w:jc w:val="left"/>
                    <w:rPr>
                      <w:rFonts w:ascii="宋体" w:cs="宋体"/>
                      <w:b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32"/>
                      <w:szCs w:val="32"/>
                    </w:rPr>
                    <w:t>第三部分</w:t>
                  </w:r>
                  <w:r>
                    <w:rPr>
                      <w:rFonts w:ascii="仿宋" w:hAnsi="宋体" w:eastAsia="仿宋" w:cs="宋体"/>
                      <w:b/>
                      <w:spacing w:val="-32"/>
                      <w:kern w:val="0"/>
                      <w:sz w:val="32"/>
                      <w:szCs w:val="32"/>
                    </w:rPr>
                    <w:t> </w:t>
                  </w: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32"/>
                      <w:szCs w:val="32"/>
                    </w:rPr>
                    <w:t>名词解释</w:t>
                  </w:r>
                </w:p>
                <w:p>
                  <w:pPr>
                    <w:widowControl/>
                    <w:spacing w:line="315" w:lineRule="atLeast"/>
                    <w:ind w:firstLine="320" w:firstLineChars="10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附件：</w:t>
                  </w:r>
                  <w:r>
                    <w:rPr>
                      <w:rFonts w:ascii="仿宋" w:hAnsi="宋体" w:eastAsia="仿宋" w:cs="宋体"/>
                      <w:spacing w:val="-32"/>
                      <w:kern w:val="0"/>
                      <w:sz w:val="32"/>
                      <w:szCs w:val="32"/>
                    </w:rPr>
                    <w:t> 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西华县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东王营乡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20</w:t>
                  </w:r>
                  <w:r>
                    <w:rPr>
                      <w:rFonts w:ascii="仿宋" w:hAnsi="宋体" w:eastAsia="仿宋" w:cs="宋体"/>
                      <w:spacing w:val="-116"/>
                      <w:kern w:val="0"/>
                      <w:sz w:val="32"/>
                      <w:szCs w:val="32"/>
                    </w:rPr>
                    <w:t xml:space="preserve">   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年度部门预算表</w:t>
                  </w:r>
                </w:p>
                <w:p>
                  <w:pPr>
                    <w:widowControl/>
                    <w:spacing w:line="315" w:lineRule="atLeast"/>
                    <w:ind w:right="51" w:firstLine="96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一、部门收支总表</w:t>
                  </w:r>
                </w:p>
                <w:p>
                  <w:pPr>
                    <w:widowControl/>
                    <w:spacing w:line="315" w:lineRule="atLeast"/>
                    <w:ind w:right="51" w:firstLine="96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二、部门收入总表</w:t>
                  </w:r>
                </w:p>
                <w:p>
                  <w:pPr>
                    <w:widowControl/>
                    <w:spacing w:line="315" w:lineRule="atLeast"/>
                    <w:ind w:right="51" w:firstLine="96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三、部门支出总表</w:t>
                  </w:r>
                </w:p>
                <w:p>
                  <w:pPr>
                    <w:widowControl/>
                    <w:spacing w:line="315" w:lineRule="atLeast"/>
                    <w:ind w:right="51" w:firstLine="96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四、财政拨款收支总表</w:t>
                  </w:r>
                </w:p>
                <w:p>
                  <w:pPr>
                    <w:widowControl/>
                    <w:spacing w:line="315" w:lineRule="atLeast"/>
                    <w:ind w:right="51" w:firstLine="96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五、一般公共预算支出表</w:t>
                  </w:r>
                </w:p>
                <w:p>
                  <w:pPr>
                    <w:widowControl/>
                    <w:spacing w:line="315" w:lineRule="atLeast"/>
                    <w:ind w:right="51" w:firstLine="96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六、一般公共预算基本支出表</w:t>
                  </w:r>
                </w:p>
                <w:p>
                  <w:pPr>
                    <w:widowControl/>
                    <w:spacing w:line="315" w:lineRule="atLeast"/>
                    <w:ind w:right="51" w:firstLine="96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七、一般公共预算“三公”经费支出表</w:t>
                  </w:r>
                </w:p>
                <w:p>
                  <w:pPr>
                    <w:widowControl/>
                    <w:spacing w:line="315" w:lineRule="atLeast"/>
                    <w:ind w:right="51" w:firstLine="96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八、政府性基金预算支出表</w:t>
                  </w:r>
                </w:p>
                <w:p>
                  <w:pPr>
                    <w:widowControl/>
                    <w:spacing w:line="315" w:lineRule="atLeast"/>
                    <w:ind w:left="101" w:right="521" w:firstLine="64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 </w:t>
                  </w:r>
                </w:p>
                <w:p>
                  <w:pPr>
                    <w:widowControl/>
                    <w:spacing w:line="315" w:lineRule="atLeast"/>
                    <w:ind w:firstLine="640"/>
                    <w:jc w:val="center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 </w:t>
                  </w:r>
                </w:p>
                <w:p>
                  <w:pPr>
                    <w:spacing w:line="360" w:lineRule="auto"/>
                    <w:ind w:firstLine="2831" w:firstLineChars="641"/>
                    <w:rPr>
                      <w:rFonts w:ascii="仿宋" w:hAnsi="仿宋" w:eastAsia="仿宋" w:cs="仿宋"/>
                      <w:b/>
                      <w:sz w:val="44"/>
                    </w:rPr>
                  </w:pPr>
                  <w:r>
                    <w:rPr>
                      <w:rFonts w:hint="eastAsia" w:ascii="仿宋" w:hAnsi="仿宋" w:eastAsia="仿宋" w:cs="仿宋"/>
                      <w:b/>
                      <w:sz w:val="44"/>
                    </w:rPr>
                    <w:t>第一部分</w:t>
                  </w:r>
                </w:p>
                <w:p>
                  <w:pPr>
                    <w:spacing w:line="360" w:lineRule="auto"/>
                    <w:ind w:firstLine="442"/>
                    <w:jc w:val="center"/>
                    <w:rPr>
                      <w:rFonts w:ascii="仿宋" w:hAnsi="仿宋" w:eastAsia="仿宋" w:cs="仿宋"/>
                      <w:b/>
                      <w:sz w:val="44"/>
                    </w:rPr>
                  </w:pPr>
                </w:p>
                <w:p>
                  <w:pPr>
                    <w:spacing w:line="360" w:lineRule="auto"/>
                    <w:jc w:val="center"/>
                    <w:rPr>
                      <w:rFonts w:ascii="仿宋" w:hAnsi="仿宋" w:eastAsia="仿宋" w:cs="仿宋"/>
                      <w:b/>
                      <w:sz w:val="44"/>
                    </w:rPr>
                  </w:pPr>
                  <w:r>
                    <w:rPr>
                      <w:rFonts w:hint="eastAsia" w:ascii="仿宋" w:hAnsi="仿宋" w:eastAsia="仿宋" w:cs="仿宋"/>
                      <w:b/>
                      <w:sz w:val="44"/>
                    </w:rPr>
                    <w:t>西华县</w:t>
                  </w:r>
                  <w:r>
                    <w:rPr>
                      <w:rFonts w:hint="eastAsia" w:ascii="仿宋" w:hAnsi="仿宋" w:eastAsia="仿宋" w:cs="仿宋"/>
                      <w:b/>
                      <w:sz w:val="44"/>
                      <w:lang w:val="en-US" w:eastAsia="zh-CN"/>
                    </w:rPr>
                    <w:t>东王营乡</w:t>
                  </w:r>
                  <w:r>
                    <w:rPr>
                      <w:rFonts w:hint="eastAsia" w:ascii="仿宋" w:hAnsi="仿宋" w:eastAsia="仿宋" w:cs="仿宋"/>
                      <w:b/>
                      <w:sz w:val="44"/>
                    </w:rPr>
                    <w:t>职责</w:t>
                  </w:r>
                </w:p>
                <w:p>
                  <w:pPr>
                    <w:spacing w:line="360" w:lineRule="auto"/>
                    <w:ind w:firstLine="640"/>
                    <w:rPr>
                      <w:rFonts w:ascii="仿宋" w:hAnsi="仿宋" w:eastAsia="仿宋" w:cs="仿宋"/>
                      <w:sz w:val="32"/>
                    </w:rPr>
                  </w:pPr>
                </w:p>
                <w:p>
                  <w:pPr>
                    <w:spacing w:line="360" w:lineRule="auto"/>
                    <w:jc w:val="left"/>
                    <w:rPr>
                      <w:rFonts w:ascii="仿宋" w:hAnsi="仿宋" w:eastAsia="仿宋" w:cs="仿宋"/>
                      <w:b/>
                      <w:sz w:val="32"/>
                    </w:rPr>
                  </w:pPr>
                  <w:r>
                    <w:rPr>
                      <w:rFonts w:hint="eastAsia" w:ascii="仿宋" w:hAnsi="仿宋" w:eastAsia="仿宋" w:cs="仿宋"/>
                      <w:b/>
                      <w:sz w:val="32"/>
                    </w:rPr>
                    <w:t>一、西华县</w:t>
                  </w: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32"/>
                      <w:szCs w:val="32"/>
                      <w:lang w:val="en-US" w:eastAsia="zh-CN"/>
                    </w:rPr>
                    <w:t>东王营乡</w:t>
                  </w:r>
                  <w:r>
                    <w:rPr>
                      <w:rFonts w:hint="eastAsia" w:ascii="仿宋" w:hAnsi="仿宋" w:eastAsia="仿宋" w:cs="仿宋"/>
                      <w:b/>
                      <w:sz w:val="32"/>
                    </w:rPr>
                    <w:t>部门概况和主要职责</w:t>
                  </w:r>
                </w:p>
                <w:p>
                  <w:pPr>
                    <w:spacing w:line="360" w:lineRule="auto"/>
                    <w:jc w:val="left"/>
                    <w:rPr>
                      <w:rFonts w:ascii="仿宋" w:hAnsi="仿宋" w:eastAsia="仿宋" w:cs="仿宋"/>
                      <w:sz w:val="32"/>
                      <w:szCs w:val="32"/>
                    </w:rPr>
                  </w:pPr>
                  <w:r>
                    <w:rPr>
                      <w:rFonts w:hint="eastAsia" w:ascii="仿宋" w:hAnsi="仿宋" w:eastAsia="仿宋" w:cs="仿宋"/>
                      <w:sz w:val="36"/>
                      <w:szCs w:val="36"/>
                    </w:rPr>
                    <w:t>（</w:t>
                  </w:r>
                  <w:r>
                    <w:rPr>
                      <w:rFonts w:hint="eastAsia" w:ascii="仿宋" w:hAnsi="仿宋" w:eastAsia="仿宋" w:cs="仿宋"/>
                      <w:sz w:val="32"/>
                      <w:szCs w:val="32"/>
                    </w:rPr>
                    <w:t>一）概况</w:t>
                  </w:r>
                </w:p>
                <w:p>
                  <w:pPr>
                    <w:pStyle w:val="14"/>
                    <w:spacing w:before="0" w:beforeAutospacing="0" w:after="0" w:afterAutospacing="0"/>
                    <w:ind w:firstLine="640" w:firstLineChars="200"/>
                    <w:rPr>
                      <w:rFonts w:ascii="仿宋" w:hAnsi="仿宋" w:eastAsia="仿宋" w:cs="宋体"/>
                      <w:color w:val="000000"/>
                      <w:sz w:val="17"/>
                      <w:szCs w:val="17"/>
                    </w:rPr>
                  </w:pPr>
                  <w:r>
                    <w:rPr>
                      <w:rFonts w:hint="eastAsia" w:ascii="仿宋" w:hAnsi="仿宋" w:eastAsia="仿宋" w:cs="仿宋"/>
                      <w:color w:val="333333"/>
                      <w:kern w:val="2"/>
                      <w:sz w:val="32"/>
                      <w:szCs w:val="32"/>
                    </w:rPr>
                    <w:t>东王营乡政府共有编制73人，其中：行政编制28人，事业编制45人。目前，乡政府在职人员62人，退休人员27人。</w:t>
                  </w:r>
                </w:p>
                <w:p>
                  <w:pPr>
                    <w:spacing w:line="360" w:lineRule="auto"/>
                    <w:jc w:val="left"/>
                    <w:rPr>
                      <w:rFonts w:hint="default" w:ascii="仿宋" w:hAnsi="仿宋" w:eastAsia="仿宋" w:cs="仿宋"/>
                      <w:sz w:val="32"/>
                      <w:szCs w:val="32"/>
                      <w:lang w:val="en-US" w:eastAsia="zh-CN"/>
                    </w:rPr>
                  </w:pPr>
                  <w:r>
                    <w:rPr>
                      <w:rFonts w:hint="eastAsia" w:ascii="仿宋" w:hAnsi="仿宋" w:eastAsia="仿宋" w:cs="仿宋"/>
                      <w:sz w:val="32"/>
                      <w:szCs w:val="32"/>
                    </w:rPr>
                    <w:t>（二）主要职责</w:t>
                  </w:r>
                </w:p>
                <w:p>
                  <w:pPr>
                    <w:kinsoku w:val="0"/>
                    <w:spacing w:line="360" w:lineRule="auto"/>
                    <w:ind w:firstLine="640" w:firstLineChars="200"/>
                    <w:jc w:val="left"/>
                    <w:textAlignment w:val="baseline"/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</w:pPr>
                  <w:r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  <w:t>1.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</w:rPr>
                    <w:t>拟定和执行全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  <w:lang w:eastAsia="zh-CN"/>
                    </w:rPr>
                    <w:t>乡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</w:rPr>
                    <w:t>财政税收的发展战略、中长期规划、改革方案及有关政策；参与制定各项宏观经济政策；提出运用财税政策实施宏观调控和综合平衡社会财力的建议。</w:t>
                  </w:r>
                </w:p>
                <w:p>
                  <w:pPr>
                    <w:kinsoku w:val="0"/>
                    <w:spacing w:line="360" w:lineRule="auto"/>
                    <w:ind w:firstLine="640" w:firstLineChars="200"/>
                    <w:jc w:val="left"/>
                    <w:textAlignment w:val="baseline"/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</w:pPr>
                  <w:r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  <w:t>2.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</w:rPr>
                    <w:t>拟定全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  <w:lang w:eastAsia="zh-CN"/>
                    </w:rPr>
                    <w:t>乡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</w:rPr>
                    <w:t>财政、国有资产管理、财务、会计管理的地方性法规和行政规章草案并组织实施；组织参加县政府债务的谈判与磋商，并草签有关协议。</w:t>
                  </w:r>
                  <w:r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  <w:t xml:space="preserve"> </w:t>
                  </w:r>
                </w:p>
                <w:p>
                  <w:pPr>
                    <w:kinsoku w:val="0"/>
                    <w:spacing w:line="360" w:lineRule="auto"/>
                    <w:ind w:firstLine="640" w:firstLineChars="200"/>
                    <w:jc w:val="left"/>
                    <w:textAlignment w:val="baseline"/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</w:pPr>
                  <w:r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  <w:t>3.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</w:rPr>
                    <w:t>编制年度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  <w:lang w:eastAsia="zh-CN"/>
                    </w:rPr>
                    <w:t>乡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</w:rPr>
                    <w:t>级预决算草案并组织实施；受县政府委托，向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  <w:lang w:eastAsia="zh-CN"/>
                    </w:rPr>
                    <w:t>乡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</w:rPr>
                    <w:t>人民代表大会报告全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  <w:lang w:eastAsia="zh-CN"/>
                    </w:rPr>
                    <w:t>乡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</w:rPr>
                    <w:t>预算及其执行情况，向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  <w:lang w:eastAsia="zh-CN"/>
                    </w:rPr>
                    <w:t>乡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</w:rPr>
                    <w:t>人大常委会报告决算；管理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  <w:lang w:eastAsia="zh-CN"/>
                    </w:rPr>
                    <w:t>乡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</w:rPr>
                    <w:t>级各项财政收入、预算外资金和财政专户；管理有关县级政府性基金；会同有关部门办理行政事业性收费、政府性基金立项、审批及申报工作。</w:t>
                  </w:r>
                </w:p>
                <w:p>
                  <w:pPr>
                    <w:kinsoku w:val="0"/>
                    <w:spacing w:line="360" w:lineRule="auto"/>
                    <w:ind w:firstLine="640" w:firstLineChars="200"/>
                    <w:jc w:val="left"/>
                    <w:textAlignment w:val="baseline"/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</w:pPr>
                  <w:r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  <w:t>4.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</w:rPr>
                    <w:t>根据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  <w:lang w:eastAsia="zh-CN"/>
                    </w:rPr>
                    <w:t>乡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</w:rPr>
                    <w:t>级预算安排，确定财政税收收入计划；在国家规定的权限内，提出对全县财政影响较大的临时特案减免税的建议。</w:t>
                  </w:r>
                  <w:r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  <w:t xml:space="preserve"> </w:t>
                  </w:r>
                </w:p>
                <w:p>
                  <w:pPr>
                    <w:kinsoku w:val="0"/>
                    <w:spacing w:line="360" w:lineRule="auto"/>
                    <w:ind w:firstLine="640" w:firstLineChars="200"/>
                    <w:jc w:val="left"/>
                    <w:textAlignment w:val="baseline"/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</w:pPr>
                  <w:r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  <w:t>5.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</w:rPr>
                    <w:t>管理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  <w:lang w:eastAsia="zh-CN"/>
                    </w:rPr>
                    <w:t>乡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</w:rPr>
                    <w:t>级财政公共支出；拟定和执行政府采购政策；制定需要全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  <w:lang w:eastAsia="zh-CN"/>
                    </w:rPr>
                    <w:t>乡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</w:rPr>
                    <w:t>统一规定的开支标准和管理办法；监督执行《行政单位财务规则》和《事业单位财务规则》。</w:t>
                  </w:r>
                </w:p>
                <w:p>
                  <w:pPr>
                    <w:kinsoku w:val="0"/>
                    <w:spacing w:line="360" w:lineRule="auto"/>
                    <w:ind w:firstLine="640" w:firstLineChars="200"/>
                    <w:jc w:val="left"/>
                    <w:textAlignment w:val="baseline"/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</w:pPr>
                  <w:r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  <w:t>6.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</w:rPr>
                    <w:t>负责行政、事业单位国有资产管理工作。</w:t>
                  </w:r>
                </w:p>
                <w:p>
                  <w:pPr>
                    <w:kinsoku w:val="0"/>
                    <w:spacing w:line="360" w:lineRule="auto"/>
                    <w:ind w:firstLine="645"/>
                    <w:jc w:val="left"/>
                    <w:textAlignment w:val="baseline"/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</w:pPr>
                  <w:r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  <w:t>7.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</w:rPr>
                    <w:t>负责全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  <w:lang w:eastAsia="zh-CN"/>
                    </w:rPr>
                    <w:t>乡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</w:rPr>
                    <w:t>企业财务制度的制定、监督和管理，监督执行《企业财务通则》；拟定国有资产管理的有关政策和规章；负责国有企业的资产管理，指导财产评估业务；负责县属企业国有资产收益的收缴和使用。</w:t>
                  </w:r>
                  <w:r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  <w:t xml:space="preserve"> </w:t>
                  </w:r>
                </w:p>
                <w:p>
                  <w:pPr>
                    <w:kinsoku w:val="0"/>
                    <w:spacing w:line="360" w:lineRule="auto"/>
                    <w:ind w:firstLine="645"/>
                    <w:jc w:val="left"/>
                    <w:textAlignment w:val="baseline"/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</w:pPr>
                  <w:r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  <w:t>8.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</w:rPr>
                    <w:t>负责全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  <w:lang w:eastAsia="zh-CN"/>
                    </w:rPr>
                    <w:t>乡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</w:rPr>
                    <w:t>财税管理工作；指导全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  <w:lang w:eastAsia="zh-CN"/>
                    </w:rPr>
                    <w:t>乡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</w:rPr>
                    <w:t>乡镇财政建设工作。</w:t>
                  </w:r>
                  <w:r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  <w:t xml:space="preserve"> </w:t>
                  </w:r>
                </w:p>
                <w:p>
                  <w:pPr>
                    <w:kinsoku w:val="0"/>
                    <w:spacing w:line="360" w:lineRule="auto"/>
                    <w:ind w:firstLine="645"/>
                    <w:jc w:val="left"/>
                    <w:textAlignment w:val="baseline"/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</w:pPr>
                  <w:r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  <w:t>9.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</w:rPr>
                    <w:t>拟定全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  <w:lang w:eastAsia="zh-CN"/>
                    </w:rPr>
                    <w:t>乡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</w:rPr>
                    <w:t>基本建设财务制度，管理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  <w:lang w:eastAsia="zh-CN"/>
                    </w:rPr>
                    <w:t>乡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</w:rPr>
                    <w:t>级财政基本建设支出，负责小城镇建设资金与财务管理。</w:t>
                  </w:r>
                  <w:r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  <w:t xml:space="preserve"> </w:t>
                  </w:r>
                </w:p>
                <w:p>
                  <w:pPr>
                    <w:kinsoku w:val="0"/>
                    <w:spacing w:line="360" w:lineRule="auto"/>
                    <w:ind w:firstLine="645"/>
                    <w:jc w:val="left"/>
                    <w:textAlignment w:val="baseline"/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</w:pPr>
                  <w:r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  <w:t>10.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</w:rPr>
                    <w:t>拟定和执行国家社会保障资金的财务管理制度，管理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  <w:lang w:eastAsia="zh-CN"/>
                    </w:rPr>
                    <w:t>乡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</w:rPr>
                    <w:t>级财政社会保障支出；组织实施对社会保障资金使用的财政监督。</w:t>
                  </w:r>
                  <w:r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  <w:t xml:space="preserve"> </w:t>
                  </w:r>
                </w:p>
                <w:p>
                  <w:pPr>
                    <w:kinsoku w:val="0"/>
                    <w:spacing w:line="360" w:lineRule="auto"/>
                    <w:ind w:firstLine="645"/>
                    <w:jc w:val="left"/>
                    <w:textAlignment w:val="baseline"/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</w:pPr>
                  <w:r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  <w:t>11.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</w:rPr>
                    <w:t>执行国家国内、国外债务管理的方针政策和国债发行计划；拟定地方性有关政策及配套办法，组织参加政府外债的谈判与磋商，管理政府债务。</w:t>
                  </w:r>
                  <w:r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  <w:t xml:space="preserve"> </w:t>
                  </w:r>
                </w:p>
                <w:p>
                  <w:pPr>
                    <w:kinsoku w:val="0"/>
                    <w:spacing w:line="360" w:lineRule="auto"/>
                    <w:ind w:firstLine="645"/>
                    <w:jc w:val="left"/>
                    <w:textAlignment w:val="baseline"/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</w:pPr>
                  <w:r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  <w:t>12.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</w:rPr>
                    <w:t>参与全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  <w:lang w:eastAsia="zh-CN"/>
                    </w:rPr>
                    <w:t>乡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</w:rPr>
                    <w:t>住房制度和土地使用制度改革，拟定并监督执行住房资金、国有土地出让金收益财务管理、会计核算办法，指导监督有关部门管理住房资金。</w:t>
                  </w:r>
                  <w:r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  <w:t xml:space="preserve"> </w:t>
                  </w:r>
                </w:p>
                <w:p>
                  <w:pPr>
                    <w:kinsoku w:val="0"/>
                    <w:spacing w:line="360" w:lineRule="auto"/>
                    <w:ind w:firstLine="645"/>
                    <w:jc w:val="left"/>
                    <w:textAlignment w:val="baseline"/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</w:pPr>
                  <w:r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  <w:t>13.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</w:rPr>
                    <w:t>管理全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  <w:lang w:eastAsia="zh-CN"/>
                    </w:rPr>
                    <w:t>乡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</w:rPr>
                    <w:t>会计工作，监督执行会计规章制度、《企业会计准则》，监督执行政府总预算、行政和事业单位及分行业的会计制度；指导和监督注册会计师和会计师事务所的业务；指导和管理社会审计。</w:t>
                  </w:r>
                  <w:r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  <w:t xml:space="preserve"> </w:t>
                  </w:r>
                </w:p>
                <w:p>
                  <w:pPr>
                    <w:kinsoku w:val="0"/>
                    <w:spacing w:line="360" w:lineRule="auto"/>
                    <w:ind w:firstLine="640" w:firstLineChars="200"/>
                    <w:jc w:val="left"/>
                    <w:textAlignment w:val="baseline"/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</w:pPr>
                  <w:r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  <w:t>14.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</w:rPr>
                    <w:t>监督财税方针政策、法律法规、行政规章的执行情况；检查反映财政收支管理中的重大问题；提出加强财政管理的政策建议；负责对经中介机构审计的国有企业年度会计报表的核查工作。</w:t>
                  </w:r>
                  <w:r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  <w:t xml:space="preserve"> </w:t>
                  </w:r>
                </w:p>
                <w:p>
                  <w:pPr>
                    <w:kinsoku w:val="0"/>
                    <w:spacing w:line="360" w:lineRule="auto"/>
                    <w:ind w:right="-361" w:rightChars="-172" w:firstLine="640" w:firstLineChars="200"/>
                    <w:jc w:val="left"/>
                    <w:textAlignment w:val="baseline"/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</w:pPr>
                  <w:r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  <w:t>15.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</w:rPr>
                    <w:t>制定全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  <w:lang w:eastAsia="zh-CN"/>
                    </w:rPr>
                    <w:t>乡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</w:rPr>
                    <w:t>财政科学研究、教育规划，组织财政人员培训；负责财政信息和财政宣传工作。</w:t>
                  </w:r>
                  <w:r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  <w:t xml:space="preserve">    </w:t>
                  </w:r>
                </w:p>
                <w:p>
                  <w:pPr>
                    <w:kinsoku w:val="0"/>
                    <w:spacing w:line="360" w:lineRule="auto"/>
                    <w:ind w:right="-361" w:rightChars="-172" w:firstLine="480" w:firstLineChars="150"/>
                    <w:jc w:val="left"/>
                    <w:textAlignment w:val="baseline"/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</w:pPr>
                  <w:r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  <w:t xml:space="preserve"> 16.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</w:rPr>
                    <w:t>承办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  <w:lang w:eastAsia="zh-CN"/>
                    </w:rPr>
                    <w:t>乡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</w:rPr>
                    <w:t>政府交办的其他事项。</w:t>
                  </w:r>
                  <w:r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  <w:t xml:space="preserve"> </w:t>
                  </w:r>
                </w:p>
                <w:p>
                  <w:pPr>
                    <w:spacing w:line="360" w:lineRule="auto"/>
                    <w:rPr>
                      <w:rFonts w:ascii="仿宋" w:hAnsi="仿宋" w:eastAsia="仿宋" w:cs="仿宋"/>
                      <w:b/>
                      <w:sz w:val="32"/>
                      <w:szCs w:val="32"/>
                    </w:rPr>
                  </w:pPr>
                  <w:r>
                    <w:rPr>
                      <w:rFonts w:hint="eastAsia" w:ascii="仿宋" w:hAnsi="仿宋" w:eastAsia="仿宋" w:cs="仿宋"/>
                      <w:b/>
                      <w:sz w:val="32"/>
                      <w:szCs w:val="32"/>
                    </w:rPr>
                    <w:t>二、部门预算单位构成。</w:t>
                  </w:r>
                </w:p>
                <w:p>
                  <w:pPr>
                    <w:pStyle w:val="3"/>
                    <w:bidi w:val="0"/>
                    <w:rPr>
                      <w:rFonts w:hint="eastAsia"/>
                      <w:lang w:val="en-US" w:eastAsia="zh-CN"/>
                    </w:rPr>
                  </w:pPr>
                  <w:r>
                    <w:rPr>
                      <w:rFonts w:hint="eastAsia" w:ascii="仿宋" w:hAnsi="仿宋" w:eastAsia="仿宋" w:cs="宋体"/>
                      <w:color w:val="000000"/>
                      <w:spacing w:val="2"/>
                      <w:sz w:val="32"/>
                      <w:szCs w:val="32"/>
                      <w:lang w:eastAsia="zh-CN"/>
                    </w:rPr>
                    <w:t>东王营乡政府</w:t>
                  </w:r>
                  <w:r>
                    <w:rPr>
                      <w:rFonts w:hint="eastAsia" w:ascii="仿宋" w:hAnsi="仿宋" w:eastAsia="仿宋" w:cs="宋体"/>
                      <w:color w:val="000000"/>
                      <w:spacing w:val="2"/>
                      <w:sz w:val="32"/>
                      <w:szCs w:val="32"/>
                    </w:rPr>
                    <w:t>部门预算包括</w:t>
                  </w:r>
                  <w:r>
                    <w:rPr>
                      <w:rFonts w:hint="eastAsia" w:ascii="仿宋" w:hAnsi="仿宋" w:eastAsia="仿宋" w:cs="宋体"/>
                      <w:color w:val="000000"/>
                      <w:spacing w:val="2"/>
                      <w:sz w:val="32"/>
                      <w:szCs w:val="32"/>
                      <w:lang w:eastAsia="zh-CN"/>
                    </w:rPr>
                    <w:t>行政</w:t>
                  </w:r>
                  <w:r>
                    <w:rPr>
                      <w:rFonts w:hint="eastAsia" w:ascii="仿宋" w:hAnsi="仿宋" w:eastAsia="仿宋" w:cs="宋体"/>
                      <w:color w:val="000000"/>
                      <w:spacing w:val="2"/>
                      <w:sz w:val="32"/>
                      <w:szCs w:val="32"/>
                    </w:rPr>
                    <w:t>预算和事业</w:t>
                  </w:r>
                  <w:r>
                    <w:rPr>
                      <w:rFonts w:hint="eastAsia" w:ascii="仿宋" w:hAnsi="仿宋" w:eastAsia="仿宋" w:cs="宋体"/>
                      <w:color w:val="000000"/>
                      <w:spacing w:val="-1"/>
                      <w:sz w:val="32"/>
                      <w:szCs w:val="32"/>
                    </w:rPr>
                    <w:t>单位预算。</w:t>
                  </w:r>
                  <w:r>
                    <w:rPr>
                      <w:rFonts w:hint="eastAsia" w:ascii="仿宋" w:hAnsi="仿宋" w:eastAsia="仿宋" w:cs="宋体"/>
                      <w:bCs/>
                      <w:color w:val="000000"/>
                      <w:sz w:val="32"/>
                      <w:szCs w:val="32"/>
                      <w:lang w:eastAsia="zh-CN"/>
                    </w:rPr>
                    <w:t>东王营乡政府</w:t>
                  </w:r>
                  <w:r>
                    <w:rPr>
                      <w:rFonts w:hint="eastAsia" w:ascii="仿宋" w:hAnsi="仿宋" w:eastAsia="仿宋" w:cs="宋体"/>
                      <w:bCs/>
                      <w:color w:val="000000"/>
                      <w:sz w:val="32"/>
                      <w:szCs w:val="32"/>
                    </w:rPr>
                    <w:t>共设</w:t>
                  </w:r>
                  <w:r>
                    <w:rPr>
                      <w:rFonts w:hint="eastAsia" w:ascii="仿宋" w:hAnsi="仿宋" w:eastAsia="仿宋" w:cs="宋体"/>
                      <w:bCs/>
                      <w:color w:val="000000"/>
                      <w:sz w:val="32"/>
                      <w:szCs w:val="32"/>
                      <w:lang w:eastAsia="zh-CN"/>
                    </w:rPr>
                    <w:t>：</w:t>
                  </w:r>
                  <w:r>
                    <w:rPr>
                      <w:rFonts w:hint="eastAsia" w:ascii="仿宋" w:hAnsi="仿宋" w:eastAsia="仿宋" w:cs="宋体"/>
                      <w:bCs/>
                      <w:color w:val="000000"/>
                      <w:sz w:val="32"/>
                      <w:szCs w:val="32"/>
                    </w:rPr>
                    <w:t>行政</w:t>
                  </w:r>
                  <w:r>
                    <w:rPr>
                      <w:rFonts w:hint="eastAsia" w:ascii="仿宋" w:hAnsi="仿宋" w:eastAsia="仿宋" w:cs="宋体"/>
                      <w:bCs/>
                      <w:color w:val="000000"/>
                      <w:sz w:val="32"/>
                      <w:szCs w:val="32"/>
                      <w:lang w:eastAsia="zh-CN"/>
                    </w:rPr>
                    <w:t>单位</w:t>
                  </w:r>
                  <w:r>
                    <w:rPr>
                      <w:rFonts w:hint="eastAsia" w:ascii="仿宋" w:hAnsi="仿宋" w:eastAsia="仿宋" w:cs="宋体"/>
                      <w:bCs/>
                      <w:color w:val="000000"/>
                      <w:sz w:val="32"/>
                      <w:szCs w:val="32"/>
                      <w:lang w:val="en-US" w:eastAsia="zh-CN"/>
                    </w:rPr>
                    <w:t>1</w:t>
                  </w:r>
                  <w:r>
                    <w:rPr>
                      <w:rFonts w:hint="eastAsia" w:ascii="仿宋" w:hAnsi="仿宋" w:eastAsia="仿宋" w:cs="宋体"/>
                      <w:bCs/>
                      <w:color w:val="000000"/>
                      <w:sz w:val="32"/>
                      <w:szCs w:val="32"/>
                    </w:rPr>
                    <w:t>个、事业单位</w:t>
                  </w:r>
                  <w:r>
                    <w:rPr>
                      <w:rFonts w:hint="eastAsia" w:ascii="仿宋" w:hAnsi="仿宋" w:eastAsia="仿宋" w:cs="宋体"/>
                      <w:bCs/>
                      <w:color w:val="000000"/>
                      <w:sz w:val="32"/>
                      <w:szCs w:val="32"/>
                      <w:lang w:val="en-US" w:eastAsia="zh-CN"/>
                    </w:rPr>
                    <w:t>4</w:t>
                  </w:r>
                  <w:r>
                    <w:rPr>
                      <w:rFonts w:hint="eastAsia" w:ascii="仿宋" w:hAnsi="仿宋" w:eastAsia="仿宋" w:cs="宋体"/>
                      <w:bCs/>
                      <w:color w:val="000000"/>
                      <w:sz w:val="32"/>
                      <w:szCs w:val="32"/>
                    </w:rPr>
                    <w:t>个</w:t>
                  </w:r>
                  <w:r>
                    <w:rPr>
                      <w:rFonts w:hint="eastAsia"/>
                    </w:rPr>
                    <w:t>：</w:t>
                  </w:r>
                  <w:r>
                    <w:rPr>
                      <w:rFonts w:hint="eastAsia"/>
                      <w:lang w:eastAsia="zh-CN"/>
                    </w:rPr>
                    <w:t>计划生育服务中心、村镇建设服务中心、农业服务中心、文化服务中心、</w:t>
                  </w:r>
                </w:p>
                <w:p>
                  <w:pPr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  <w:between w:val="none" w:color="auto" w:sz="0" w:space="0"/>
                    </w:pBdr>
                    <w:spacing w:line="360" w:lineRule="auto"/>
                    <w:ind w:left="121" w:right="118" w:firstLine="360"/>
                    <w:rPr>
                      <w:rFonts w:hint="eastAsia" w:ascii="仿宋_GB2312" w:hAnsi="仿宋_GB2312" w:eastAsia="仿宋_GB2312" w:cs="仿宋_GB2312"/>
                      <w:spacing w:val="-3"/>
                      <w:sz w:val="32"/>
                      <w:szCs w:val="32"/>
                      <w:lang w:val="en-US" w:eastAsia="zh-CN"/>
                    </w:rPr>
                  </w:pPr>
                  <w:r>
                    <w:rPr>
                      <w:rFonts w:hint="eastAsia" w:ascii="仿宋" w:hAnsi="仿宋" w:eastAsia="仿宋" w:cs="宋体"/>
                      <w:bCs/>
                      <w:color w:val="000000"/>
                      <w:sz w:val="32"/>
                      <w:szCs w:val="32"/>
                    </w:rPr>
                    <w:t>。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</w:rPr>
                    <w:t>本预算为汇总预算，纳入本部门</w:t>
                  </w:r>
                  <w:r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  <w:t xml:space="preserve"> 20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  <w:lang w:val="en-US" w:eastAsia="zh-CN"/>
                    </w:rPr>
                    <w:t>20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</w:rPr>
                    <w:t>年度部门预算编报范围的预算单位名单如下：</w:t>
                  </w:r>
                  <w:r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  <w:t xml:space="preserve"> </w:t>
                  </w:r>
                  <w:r>
                    <w:rPr>
                      <w:rFonts w:hint="eastAsia" w:ascii="仿宋_GB2312" w:hAnsi="仿宋_GB2312" w:eastAsia="仿宋_GB2312" w:cs="仿宋_GB2312"/>
                      <w:spacing w:val="-3"/>
                      <w:sz w:val="32"/>
                      <w:szCs w:val="32"/>
                      <w:lang w:val="en-US" w:eastAsia="zh-CN"/>
                    </w:rPr>
                    <w:t>行政内设机构设置7个：（1）党政办公室（2）党建工作办公室（3）经济建设办公室（4）社会事务办公室（5）应急管理办公室（6）“三农”工作办公室（7）文化旅游工作办公室。事业机构设置4个：（1）党政综合便民服务中心（2）社会治安综合治理中心（3）综合行政执法队（4）退役军人服务站</w:t>
                  </w:r>
                </w:p>
                <w:p>
                  <w:pPr>
                    <w:pStyle w:val="4"/>
                    <w:kinsoku w:val="0"/>
                    <w:overflowPunct w:val="0"/>
                    <w:snapToGrid w:val="0"/>
                    <w:spacing w:line="360" w:lineRule="auto"/>
                    <w:ind w:left="121" w:right="118" w:firstLine="360"/>
                    <w:rPr>
                      <w:rFonts w:ascii="仿宋" w:hAnsi="仿宋" w:eastAsia="仿宋" w:cs="宋体"/>
                      <w:color w:val="000000"/>
                      <w:spacing w:val="-1"/>
                      <w:sz w:val="32"/>
                      <w:szCs w:val="32"/>
                    </w:rPr>
                  </w:pPr>
                </w:p>
                <w:p>
                  <w:pPr>
                    <w:pStyle w:val="3"/>
                    <w:bidi w:val="0"/>
                    <w:rPr>
                      <w:rFonts w:hint="eastAsia"/>
                      <w:lang w:val="en-US" w:eastAsia="zh-CN"/>
                    </w:rPr>
                  </w:pPr>
                </w:p>
                <w:p>
                  <w:pPr>
                    <w:widowControl/>
                    <w:spacing w:line="315" w:lineRule="atLeast"/>
                    <w:ind w:firstLine="2831" w:firstLineChars="641"/>
                    <w:rPr>
                      <w:rFonts w:ascii="宋体" w:cs="宋体"/>
                      <w:b/>
                      <w:kern w:val="0"/>
                      <w:sz w:val="44"/>
                      <w:szCs w:val="44"/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44"/>
                      <w:szCs w:val="44"/>
                    </w:rPr>
                    <w:t>第二部分</w:t>
                  </w:r>
                </w:p>
                <w:p>
                  <w:pPr>
                    <w:widowControl/>
                    <w:spacing w:line="315" w:lineRule="atLeast"/>
                    <w:jc w:val="center"/>
                    <w:rPr>
                      <w:rFonts w:ascii="仿宋" w:hAnsi="宋体" w:eastAsia="仿宋" w:cs="宋体"/>
                      <w:b/>
                      <w:kern w:val="0"/>
                      <w:sz w:val="44"/>
                      <w:szCs w:val="44"/>
                    </w:rPr>
                  </w:pPr>
                </w:p>
                <w:p>
                  <w:pPr>
                    <w:widowControl/>
                    <w:spacing w:line="315" w:lineRule="atLeast"/>
                    <w:jc w:val="center"/>
                    <w:rPr>
                      <w:rFonts w:ascii="仿宋" w:hAnsi="宋体" w:eastAsia="仿宋" w:cs="宋体"/>
                      <w:b/>
                      <w:kern w:val="0"/>
                      <w:sz w:val="44"/>
                      <w:szCs w:val="44"/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44"/>
                      <w:szCs w:val="44"/>
                    </w:rPr>
                    <w:t>西华县</w:t>
                  </w: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44"/>
                      <w:szCs w:val="44"/>
                      <w:lang w:eastAsia="zh-CN"/>
                    </w:rPr>
                    <w:t>东王营乡政府</w:t>
                  </w:r>
                  <w:r>
                    <w:rPr>
                      <w:rFonts w:ascii="仿宋" w:hAnsi="宋体" w:eastAsia="仿宋" w:cs="宋体"/>
                      <w:b/>
                      <w:kern w:val="0"/>
                      <w:sz w:val="44"/>
                      <w:szCs w:val="44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44"/>
                      <w:szCs w:val="44"/>
                      <w:lang w:val="en-US" w:eastAsia="zh-CN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44"/>
                      <w:szCs w:val="44"/>
                    </w:rPr>
                    <w:t>年度部门预算情况</w:t>
                  </w:r>
                </w:p>
                <w:p>
                  <w:pPr>
                    <w:widowControl/>
                    <w:spacing w:line="315" w:lineRule="atLeast"/>
                    <w:jc w:val="center"/>
                    <w:rPr>
                      <w:rFonts w:ascii="宋体" w:cs="宋体"/>
                      <w:b/>
                      <w:kern w:val="0"/>
                      <w:sz w:val="44"/>
                      <w:szCs w:val="44"/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44"/>
                      <w:szCs w:val="44"/>
                    </w:rPr>
                    <w:t>说</w:t>
                  </w:r>
                  <w:r>
                    <w:rPr>
                      <w:rFonts w:ascii="仿宋" w:hAnsi="宋体" w:eastAsia="仿宋" w:cs="宋体"/>
                      <w:b/>
                      <w:kern w:val="0"/>
                      <w:sz w:val="44"/>
                      <w:szCs w:val="44"/>
                    </w:rPr>
                    <w:t xml:space="preserve">    </w:t>
                  </w: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44"/>
                      <w:szCs w:val="44"/>
                    </w:rPr>
                    <w:t>明</w:t>
                  </w:r>
                </w:p>
                <w:p>
                  <w:pPr>
                    <w:widowControl/>
                    <w:spacing w:line="315" w:lineRule="atLeast"/>
                    <w:ind w:firstLine="64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 </w:t>
                  </w:r>
                </w:p>
                <w:p>
                  <w:pPr>
                    <w:widowControl/>
                    <w:spacing w:line="315" w:lineRule="atLeast"/>
                    <w:ind w:firstLine="640"/>
                    <w:jc w:val="left"/>
                    <w:rPr>
                      <w:rFonts w:ascii="宋体" w:cs="宋体"/>
                      <w:b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32"/>
                      <w:szCs w:val="32"/>
                    </w:rPr>
                    <w:t>一、收入支出预算总体情况说明</w:t>
                  </w:r>
                </w:p>
                <w:p>
                  <w:pPr>
                    <w:widowControl/>
                    <w:spacing w:line="315" w:lineRule="atLeast"/>
                    <w:ind w:firstLine="640"/>
                    <w:jc w:val="left"/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西华县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东王营乡政府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年收入总计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1016.38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万元，支出总计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1016.38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万元，与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201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9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年相比，收、支总计各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eastAsia="zh-CN"/>
                    </w:rPr>
                    <w:t>减少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342.26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eastAsia="zh-CN"/>
                    </w:rPr>
                    <w:t>减少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25.19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%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。其中工资福利支出中增加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50.74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万元，商品服务支出增加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19.2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万元，对个人家庭福利支出增加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168.03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万元，项目支出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eastAsia="zh-CN"/>
                    </w:rPr>
                    <w:t>减少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1274.71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万元；收支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eastAsia="zh-CN"/>
                    </w:rPr>
                    <w:t>减少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原因是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扶贫项目减少。</w:t>
                  </w:r>
                </w:p>
                <w:p>
                  <w:pPr>
                    <w:widowControl/>
                    <w:spacing w:line="315" w:lineRule="atLeast"/>
                    <w:ind w:firstLine="640"/>
                    <w:jc w:val="left"/>
                    <w:rPr>
                      <w:rFonts w:ascii="宋体" w:cs="宋体"/>
                      <w:b/>
                      <w:bCs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bCs/>
                      <w:kern w:val="0"/>
                      <w:sz w:val="32"/>
                      <w:szCs w:val="32"/>
                    </w:rPr>
                    <w:t>二、收入预算总体情况说明</w:t>
                  </w:r>
                </w:p>
                <w:p>
                  <w:pPr>
                    <w:widowControl/>
                    <w:spacing w:line="560" w:lineRule="atLeast"/>
                    <w:ind w:firstLine="64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西华县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东王营乡政府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年收入合计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1016.38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万元，其中：一般公共预算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942.38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万元；政府性基金收入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74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万元。</w:t>
                  </w:r>
                </w:p>
                <w:p>
                  <w:pPr>
                    <w:widowControl/>
                    <w:spacing w:line="560" w:lineRule="atLeast"/>
                    <w:ind w:firstLine="640"/>
                    <w:jc w:val="left"/>
                    <w:rPr>
                      <w:rFonts w:ascii="宋体" w:cs="宋体"/>
                      <w:b/>
                      <w:bCs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bCs/>
                      <w:kern w:val="0"/>
                      <w:sz w:val="32"/>
                      <w:szCs w:val="32"/>
                    </w:rPr>
                    <w:t>三、支出预算总体情况说明</w:t>
                  </w:r>
                </w:p>
                <w:p>
                  <w:pPr>
                    <w:jc w:val="left"/>
                    <w:rPr>
                      <w:rFonts w:ascii="仿宋" w:hAnsi="仿宋" w:eastAsia="仿宋" w:cs="宋体"/>
                      <w:color w:val="000000"/>
                      <w:sz w:val="17"/>
                      <w:szCs w:val="17"/>
                    </w:rPr>
                  </w:pP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西华县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  <w:lang w:val="en-US" w:eastAsia="zh-CN"/>
                    </w:rPr>
                    <w:t>东王营乡政府</w:t>
                  </w:r>
                  <w:r>
                    <w:rPr>
                      <w:rFonts w:ascii="仿宋" w:hAnsi="仿宋" w:eastAsia="仿宋" w:cs="宋体"/>
                      <w:color w:val="000000"/>
                      <w:sz w:val="32"/>
                      <w:szCs w:val="32"/>
                    </w:rPr>
                    <w:t>20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  <w:lang w:val="en-US" w:eastAsia="zh-CN"/>
                    </w:rPr>
                    <w:t>20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年支出预算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  <w:lang w:val="en-US" w:eastAsia="zh-CN"/>
                    </w:rPr>
                    <w:t>1016.38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万元，按经济用途划分为：一是基本支出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  <w:lang w:val="en-US" w:eastAsia="zh-CN"/>
                    </w:rPr>
                    <w:t>942.38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万元，占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  <w:lang w:val="en-US" w:eastAsia="zh-CN"/>
                    </w:rPr>
                    <w:t>92.72</w:t>
                  </w:r>
                  <w:r>
                    <w:rPr>
                      <w:rFonts w:ascii="仿宋" w:hAnsi="仿宋" w:eastAsia="仿宋" w:cs="宋体"/>
                      <w:color w:val="000000"/>
                      <w:sz w:val="32"/>
                      <w:szCs w:val="32"/>
                    </w:rPr>
                    <w:t>%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，其中工资福利支出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  <w:lang w:val="en-US" w:eastAsia="zh-CN"/>
                    </w:rPr>
                    <w:t>399.18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万元，占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  <w:lang w:val="en-US" w:eastAsia="zh-CN"/>
                    </w:rPr>
                    <w:t>39.27</w:t>
                  </w:r>
                  <w:r>
                    <w:rPr>
                      <w:rFonts w:ascii="仿宋" w:hAnsi="仿宋" w:eastAsia="仿宋" w:cs="宋体"/>
                      <w:color w:val="000000"/>
                      <w:sz w:val="32"/>
                      <w:szCs w:val="32"/>
                    </w:rPr>
                    <w:t>%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；对个人和家庭的补助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  <w:lang w:val="en-US" w:eastAsia="zh-CN"/>
                    </w:rPr>
                    <w:t>394.9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万元，占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  <w:lang w:val="en-US" w:eastAsia="zh-CN"/>
                    </w:rPr>
                    <w:t>38.85</w:t>
                  </w:r>
                  <w:r>
                    <w:rPr>
                      <w:rFonts w:ascii="仿宋" w:hAnsi="仿宋" w:eastAsia="仿宋" w:cs="宋体"/>
                      <w:color w:val="000000"/>
                      <w:sz w:val="32"/>
                      <w:szCs w:val="32"/>
                    </w:rPr>
                    <w:t>%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；商品服务支出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  <w:lang w:val="en-US" w:eastAsia="zh-CN"/>
                    </w:rPr>
                    <w:t>148.3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万元，占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  <w:lang w:val="en-US" w:eastAsia="zh-CN"/>
                    </w:rPr>
                    <w:t>14.59</w:t>
                  </w:r>
                  <w:r>
                    <w:rPr>
                      <w:rFonts w:ascii="仿宋" w:hAnsi="仿宋" w:eastAsia="仿宋" w:cs="宋体"/>
                      <w:color w:val="000000"/>
                      <w:sz w:val="32"/>
                      <w:szCs w:val="32"/>
                    </w:rPr>
                    <w:t>%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；二是项目支出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  <w:lang w:val="en-US" w:eastAsia="zh-CN"/>
                    </w:rPr>
                    <w:t>74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万元，占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  <w:lang w:val="en-US" w:eastAsia="zh-CN"/>
                    </w:rPr>
                    <w:t>7.28</w:t>
                  </w:r>
                  <w:r>
                    <w:rPr>
                      <w:rFonts w:ascii="仿宋" w:hAnsi="仿宋" w:eastAsia="仿宋" w:cs="宋体"/>
                      <w:color w:val="000000"/>
                      <w:sz w:val="32"/>
                      <w:szCs w:val="32"/>
                    </w:rPr>
                    <w:t>%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，其中经常性项目支出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  <w:lang w:val="en-US" w:eastAsia="zh-CN"/>
                    </w:rPr>
                    <w:t>0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万元，占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  <w:lang w:val="en-US" w:eastAsia="zh-CN"/>
                    </w:rPr>
                    <w:t>0</w:t>
                  </w:r>
                  <w:r>
                    <w:rPr>
                      <w:rFonts w:ascii="仿宋" w:hAnsi="仿宋" w:eastAsia="仿宋" w:cs="宋体"/>
                      <w:color w:val="000000"/>
                      <w:sz w:val="32"/>
                      <w:szCs w:val="32"/>
                    </w:rPr>
                    <w:t>%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；重点项目支出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  <w:lang w:val="en-US" w:eastAsia="zh-CN"/>
                    </w:rPr>
                    <w:t>74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万元，占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  <w:lang w:val="en-US" w:eastAsia="zh-CN"/>
                    </w:rPr>
                    <w:t>100</w:t>
                  </w:r>
                  <w:r>
                    <w:rPr>
                      <w:rFonts w:ascii="仿宋" w:hAnsi="仿宋" w:eastAsia="仿宋" w:cs="宋体"/>
                      <w:color w:val="000000"/>
                      <w:sz w:val="32"/>
                      <w:szCs w:val="32"/>
                    </w:rPr>
                    <w:t>%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。主要用途是：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  <w:lang w:val="en-US" w:eastAsia="zh-CN"/>
                    </w:rPr>
                    <w:t>基本建设支出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。</w:t>
                  </w:r>
                  <w:r>
                    <w:rPr>
                      <w:rFonts w:ascii="仿宋" w:hAnsi="宋体" w:eastAsia="仿宋" w:cs="宋体"/>
                      <w:color w:val="000000"/>
                      <w:sz w:val="32"/>
                      <w:szCs w:val="32"/>
                    </w:rPr>
                    <w:t> </w:t>
                  </w:r>
                </w:p>
                <w:p>
                  <w:pPr>
                    <w:widowControl/>
                    <w:spacing w:line="560" w:lineRule="atLeast"/>
                    <w:ind w:firstLine="640"/>
                    <w:jc w:val="left"/>
                    <w:rPr>
                      <w:rFonts w:ascii="宋体" w:cs="宋体"/>
                      <w:b/>
                      <w:bCs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bCs/>
                      <w:kern w:val="0"/>
                      <w:sz w:val="32"/>
                      <w:szCs w:val="32"/>
                    </w:rPr>
                    <w:t>四、财政拨款收入支出预算总体情况说明</w:t>
                  </w:r>
                </w:p>
                <w:p>
                  <w:pPr>
                    <w:widowControl/>
                    <w:spacing w:line="315" w:lineRule="atLeast"/>
                    <w:ind w:firstLine="640"/>
                    <w:jc w:val="left"/>
                    <w:rPr>
                      <w:rFonts w:hint="default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西华县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eastAsia="zh-CN"/>
                    </w:rPr>
                    <w:t>东王营乡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政府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年收入总计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1016.38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万元，支出总计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1016.38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万元，与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19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年相比收、支总计各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eastAsia="zh-CN"/>
                    </w:rPr>
                    <w:t>减少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1066.74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eastAsia="zh-CN"/>
                    </w:rPr>
                    <w:t>减少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51.21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%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。其中工资福利支出中增加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20.74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万元，商品服务支出增加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19.2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万元，对个人家庭福利支出增加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168.03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万元，项目支出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eastAsia="zh-CN"/>
                    </w:rPr>
                    <w:t>减少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1274.71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万元。收支增加原因是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扶贫项目减少。</w:t>
                  </w:r>
                </w:p>
                <w:p>
                  <w:pPr>
                    <w:widowControl/>
                    <w:spacing w:line="560" w:lineRule="atLeast"/>
                    <w:ind w:firstLine="64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bCs/>
                      <w:kern w:val="0"/>
                      <w:sz w:val="32"/>
                      <w:szCs w:val="32"/>
                    </w:rPr>
                    <w:t>五、一般公共预算支出预算情况说明</w:t>
                  </w:r>
                </w:p>
                <w:p>
                  <w:pPr>
                    <w:widowControl/>
                    <w:spacing w:line="360" w:lineRule="auto"/>
                    <w:ind w:firstLine="640"/>
                    <w:jc w:val="left"/>
                    <w:rPr>
                      <w:rFonts w:hint="default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西华县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eastAsia="zh-CN"/>
                    </w:rPr>
                    <w:t>东王营乡政府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年一般公共预算支出年初预算为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1016.38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万元。主要用于以下方面：一般公共服务（类）行政运行支出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459.14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万元，占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45.17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%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；社会保障和就业（类）归口管理行政单位离退休支出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53.37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万元，占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5.25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%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；卫生健康支出（类）行政单位医疗支出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23.01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万元，占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2.26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%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；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eastAsia="zh-CN"/>
                    </w:rPr>
                    <w:t>城乡社区支出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74万元，占7.28%；农林水支出360.28万元占35.45%；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住房保障支出（类）住房改革支出（款）住房公积金支出（项）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22.58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万元，占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2.22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%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eastAsia="zh-CN"/>
                    </w:rPr>
                    <w:t>；灾害防治及应急管理支出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24万元，占2.36%。</w:t>
                  </w:r>
                </w:p>
                <w:p>
                  <w:pPr>
                    <w:widowControl/>
                    <w:spacing w:line="560" w:lineRule="atLeast"/>
                    <w:ind w:firstLine="640"/>
                    <w:jc w:val="left"/>
                    <w:rPr>
                      <w:rFonts w:hint="eastAsia" w:ascii="仿宋" w:hAnsi="宋体" w:eastAsia="仿宋" w:cs="宋体"/>
                      <w:b/>
                      <w:bCs/>
                      <w:kern w:val="0"/>
                      <w:sz w:val="32"/>
                      <w:szCs w:val="32"/>
                    </w:rPr>
                  </w:pPr>
                </w:p>
                <w:p>
                  <w:pPr>
                    <w:widowControl/>
                    <w:spacing w:line="560" w:lineRule="atLeast"/>
                    <w:ind w:firstLine="640"/>
                    <w:jc w:val="left"/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bCs/>
                      <w:kern w:val="0"/>
                      <w:sz w:val="32"/>
                      <w:szCs w:val="32"/>
                    </w:rPr>
                    <w:t>六、一般公共预算基本支出预算情况说明</w:t>
                  </w:r>
                </w:p>
                <w:p>
                  <w:pPr>
                    <w:widowControl/>
                    <w:spacing w:line="560" w:lineRule="atLeast"/>
                    <w:ind w:firstLine="640"/>
                    <w:jc w:val="left"/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西华县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东王营政府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年一般公共预算基本支出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942.38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万元，其中：</w:t>
                  </w:r>
                  <w:r>
                    <w:rPr>
                      <w:rFonts w:hint="eastAsia" w:ascii="仿宋" w:hAnsi="宋体" w:eastAsia="仿宋" w:cs="宋体"/>
                      <w:b/>
                      <w:bCs/>
                      <w:spacing w:val="-1"/>
                      <w:kern w:val="0"/>
                      <w:sz w:val="32"/>
                      <w:szCs w:val="32"/>
                    </w:rPr>
                    <w:t>人员经费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794.08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万元，主要包括：基本工资、津贴补贴、奖金、机关事业单位基本养老保险缴费支出、社会保障缴费、伙食补助费、绩效工资、其他工资福利支出、离休费、退休费、退职（役）费、抚恤金、生活补助、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 xml:space="preserve"> 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医疗费、助学金、奖励金、住房公积金、提租补贴、购房补贴、其他对个人和家庭的补助支出；</w:t>
                  </w:r>
                  <w:r>
                    <w:rPr>
                      <w:rFonts w:hint="eastAsia" w:ascii="仿宋" w:hAnsi="宋体" w:eastAsia="仿宋" w:cs="宋体"/>
                      <w:b/>
                      <w:bCs/>
                      <w:spacing w:val="-1"/>
                      <w:kern w:val="0"/>
                      <w:sz w:val="32"/>
                      <w:szCs w:val="32"/>
                    </w:rPr>
                    <w:t>公用经费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148.3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主要包括：办公费、印刷费、咨询费、手续费、水费、电费、邮电费、取暖费、物业管理费、差旅费、因公出国（境）费、维修（护）费、租赁费、会议费、培训费、公务接待费、专用材料费、劳务费、委托业务费、工会经费、福利费、公务用车运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 xml:space="preserve"> 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行维护费、其他交通费用、税金及附加费用、其他商品和服务支出、办公设备购置、专用设备购置、大型修缮、信息网络及软件购置更新、其他资本性支出。</w:t>
                  </w:r>
                </w:p>
                <w:p>
                  <w:pPr>
                    <w:widowControl/>
                    <w:spacing w:line="315" w:lineRule="atLeast"/>
                    <w:jc w:val="left"/>
                    <w:rPr>
                      <w:rFonts w:ascii="仿宋" w:hAnsi="宋体" w:eastAsia="仿宋" w:cs="宋体"/>
                      <w:b/>
                      <w:bCs/>
                      <w:kern w:val="0"/>
                      <w:sz w:val="32"/>
                      <w:szCs w:val="32"/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bCs/>
                      <w:kern w:val="0"/>
                      <w:sz w:val="32"/>
                      <w:szCs w:val="32"/>
                    </w:rPr>
                    <w:t>七、政府性基金预算支出情况说明</w:t>
                  </w:r>
                </w:p>
                <w:p>
                  <w:pPr>
                    <w:widowControl/>
                    <w:spacing w:line="315" w:lineRule="atLeast"/>
                    <w:jc w:val="left"/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eastAsia="zh-CN"/>
                    </w:rPr>
                    <w:t>东王营乡政府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年使用政府性基金预算拨款安排的支出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0万元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。</w:t>
                  </w:r>
                </w:p>
                <w:p>
                  <w:pPr>
                    <w:widowControl/>
                    <w:spacing w:line="560" w:lineRule="atLeast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bCs/>
                      <w:kern w:val="0"/>
                      <w:sz w:val="32"/>
                      <w:szCs w:val="32"/>
                    </w:rPr>
                    <w:t>八、</w:t>
                  </w:r>
                  <w:r>
                    <w:rPr>
                      <w:rFonts w:ascii="仿宋" w:hAnsi="宋体" w:eastAsia="仿宋" w:cs="宋体"/>
                      <w:b/>
                      <w:bCs/>
                      <w:kern w:val="0"/>
                      <w:sz w:val="32"/>
                      <w:szCs w:val="32"/>
                    </w:rPr>
                    <w:t xml:space="preserve"> </w:t>
                  </w:r>
                  <w:r>
                    <w:rPr>
                      <w:rFonts w:hint="eastAsia" w:ascii="仿宋" w:hAnsi="宋体" w:eastAsia="仿宋" w:cs="宋体"/>
                      <w:b/>
                      <w:bCs/>
                      <w:kern w:val="0"/>
                      <w:sz w:val="32"/>
                      <w:szCs w:val="32"/>
                    </w:rPr>
                    <w:t>“三公”经费支出预算情况说明</w:t>
                  </w:r>
                </w:p>
                <w:p>
                  <w:pPr>
                    <w:widowControl/>
                    <w:spacing w:line="560" w:lineRule="atLeast"/>
                    <w:ind w:firstLine="64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西华县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东王营乡政府</w:t>
                  </w:r>
                  <w:r>
                    <w:rPr>
                      <w:rFonts w:ascii="仿宋" w:hAnsi="仿宋" w:eastAsia="仿宋" w:cs="仿宋"/>
                      <w:kern w:val="0"/>
                      <w:sz w:val="32"/>
                      <w:szCs w:val="32"/>
                    </w:rPr>
                    <w:t>20</w:t>
                  </w:r>
                  <w:r>
                    <w:rPr>
                      <w:rFonts w:hint="eastAsia" w:ascii="仿宋" w:hAnsi="仿宋" w:eastAsia="仿宋" w:cs="仿宋"/>
                      <w:kern w:val="0"/>
                      <w:sz w:val="32"/>
                      <w:szCs w:val="32"/>
                      <w:lang w:val="en-US" w:eastAsia="zh-CN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年“三公”经费预算为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3.8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万元。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年“三公”经费支出预算数与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201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9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年相比持平。</w:t>
                  </w:r>
                </w:p>
                <w:p>
                  <w:pPr>
                    <w:widowControl/>
                    <w:spacing w:line="315" w:lineRule="atLeast"/>
                    <w:ind w:firstLine="64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具体支出情况如下：</w:t>
                  </w:r>
                </w:p>
                <w:p>
                  <w:pPr>
                    <w:widowControl/>
                    <w:spacing w:line="315" w:lineRule="atLeast"/>
                    <w:ind w:firstLine="638"/>
                    <w:jc w:val="left"/>
                    <w:rPr>
                      <w:rFonts w:ascii="宋体" w:cs="宋体"/>
                      <w:b w:val="0"/>
                      <w:bCs w:val="0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b w:val="0"/>
                      <w:bCs w:val="0"/>
                      <w:spacing w:val="-1"/>
                      <w:kern w:val="0"/>
                      <w:sz w:val="32"/>
                      <w:szCs w:val="32"/>
                    </w:rPr>
                    <w:t>（一）因公出国（境）费</w:t>
                  </w:r>
                  <w:r>
                    <w:rPr>
                      <w:rFonts w:hint="eastAsia" w:ascii="仿宋" w:hAnsi="宋体" w:eastAsia="仿宋" w:cs="宋体"/>
                      <w:b w:val="0"/>
                      <w:bCs w:val="0"/>
                      <w:kern w:val="0"/>
                      <w:sz w:val="32"/>
                      <w:szCs w:val="32"/>
                      <w:lang w:val="en-US" w:eastAsia="zh-CN"/>
                    </w:rPr>
                    <w:t>0</w:t>
                  </w:r>
                  <w:r>
                    <w:rPr>
                      <w:rFonts w:hint="eastAsia" w:ascii="仿宋" w:hAnsi="宋体" w:eastAsia="仿宋" w:cs="宋体"/>
                      <w:b w:val="0"/>
                      <w:bCs w:val="0"/>
                      <w:spacing w:val="-1"/>
                      <w:kern w:val="0"/>
                      <w:sz w:val="32"/>
                      <w:szCs w:val="32"/>
                    </w:rPr>
                    <w:t>万元</w:t>
                  </w:r>
                  <w:r>
                    <w:rPr>
                      <w:rFonts w:hint="eastAsia" w:ascii="仿宋" w:hAnsi="宋体" w:eastAsia="仿宋" w:cs="宋体"/>
                      <w:b w:val="0"/>
                      <w:bCs w:val="0"/>
                      <w:kern w:val="0"/>
                      <w:sz w:val="32"/>
                      <w:szCs w:val="32"/>
                    </w:rPr>
                    <w:t>。</w:t>
                  </w:r>
                </w:p>
                <w:p>
                  <w:pPr>
                    <w:widowControl/>
                    <w:spacing w:line="315" w:lineRule="atLeast"/>
                    <w:ind w:firstLine="638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b w:val="0"/>
                      <w:bCs w:val="0"/>
                      <w:spacing w:val="-1"/>
                      <w:kern w:val="0"/>
                      <w:sz w:val="32"/>
                      <w:szCs w:val="32"/>
                    </w:rPr>
                    <w:t>（二）公务用车购置及运行费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万元，其中，公务用车购置费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万元；公务用车运行维护费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1.8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万元，主要用于开展工作所需公务用车的燃料费、维修费、过路过桥费、保险费、安全奖励费用等支出。公务用车运行维护费预算数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相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比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201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9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年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相等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。</w:t>
                  </w:r>
                </w:p>
                <w:p>
                  <w:pPr>
                    <w:widowControl/>
                    <w:spacing w:line="315" w:lineRule="atLeast"/>
                    <w:ind w:firstLine="638"/>
                    <w:jc w:val="left"/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</w:pPr>
                  <w:r>
                    <w:rPr>
                      <w:rFonts w:hint="eastAsia" w:ascii="仿宋" w:hAnsi="宋体" w:eastAsia="仿宋" w:cs="宋体"/>
                      <w:b w:val="0"/>
                      <w:bCs w:val="0"/>
                      <w:spacing w:val="-1"/>
                      <w:kern w:val="0"/>
                      <w:sz w:val="32"/>
                      <w:szCs w:val="32"/>
                    </w:rPr>
                    <w:t>（三）公务接待费</w:t>
                  </w:r>
                  <w:r>
                    <w:rPr>
                      <w:rFonts w:hint="eastAsia" w:ascii="仿宋" w:hAnsi="宋体" w:eastAsia="仿宋" w:cs="宋体"/>
                      <w:b w:val="0"/>
                      <w:bCs w:val="0"/>
                      <w:kern w:val="0"/>
                      <w:sz w:val="32"/>
                      <w:szCs w:val="32"/>
                      <w:lang w:val="en-US" w:eastAsia="zh-CN"/>
                    </w:rPr>
                    <w:t>2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万元。</w:t>
                  </w:r>
                </w:p>
                <w:p>
                  <w:pPr>
                    <w:widowControl/>
                    <w:spacing w:line="315" w:lineRule="atLeast"/>
                    <w:jc w:val="left"/>
                    <w:rPr>
                      <w:rFonts w:ascii="仿宋" w:hAnsi="宋体" w:eastAsia="仿宋" w:cs="宋体"/>
                      <w:b/>
                      <w:bCs/>
                      <w:kern w:val="0"/>
                      <w:sz w:val="32"/>
                      <w:szCs w:val="32"/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bCs/>
                      <w:kern w:val="0"/>
                      <w:sz w:val="32"/>
                      <w:szCs w:val="32"/>
                    </w:rPr>
                    <w:t>九、其他重要事项的情况说明</w:t>
                  </w:r>
                </w:p>
                <w:p>
                  <w:pPr>
                    <w:widowControl/>
                    <w:spacing w:line="315" w:lineRule="atLeast"/>
                    <w:jc w:val="left"/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（一）机关运行经费支出情况</w:t>
                  </w:r>
                </w:p>
                <w:p>
                  <w:pPr>
                    <w:widowControl/>
                    <w:spacing w:line="560" w:lineRule="atLeast"/>
                    <w:ind w:firstLine="64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西华县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东王营乡政府</w:t>
                  </w:r>
                  <w:r>
                    <w:rPr>
                      <w:rFonts w:ascii="仿宋" w:hAnsi="仿宋" w:eastAsia="仿宋" w:cs="仿宋"/>
                      <w:kern w:val="0"/>
                      <w:sz w:val="32"/>
                      <w:szCs w:val="32"/>
                    </w:rPr>
                    <w:t>20</w:t>
                  </w:r>
                  <w:r>
                    <w:rPr>
                      <w:rFonts w:hint="eastAsia" w:ascii="仿宋" w:hAnsi="仿宋" w:eastAsia="仿宋" w:cs="仿宋"/>
                      <w:kern w:val="0"/>
                      <w:sz w:val="32"/>
                      <w:szCs w:val="32"/>
                      <w:lang w:val="en-US" w:eastAsia="zh-CN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年一般公共预算基本支出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942.38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元，其中：</w:t>
                  </w:r>
                  <w:r>
                    <w:rPr>
                      <w:rFonts w:hint="eastAsia" w:ascii="仿宋" w:hAnsi="宋体" w:eastAsia="仿宋" w:cs="宋体"/>
                      <w:b/>
                      <w:bCs/>
                      <w:spacing w:val="-1"/>
                      <w:kern w:val="0"/>
                      <w:sz w:val="32"/>
                      <w:szCs w:val="32"/>
                    </w:rPr>
                    <w:t>人员经费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794.08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万元，主要包括：基本工资、津贴补贴、奖金、机关事业单位基本养老保险缴费支出、社会保障缴费、伙食补助费、绩效工资、其他工资福利支出、离休费、退休费、退职（役）费、抚恤金、生活补助、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 xml:space="preserve"> 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医疗费、助学金、奖励金、住房公积金、提租补贴、购房补贴、其他对个人和家庭的补助支出；</w:t>
                  </w:r>
                  <w:r>
                    <w:rPr>
                      <w:rFonts w:hint="eastAsia" w:ascii="仿宋" w:hAnsi="宋体" w:eastAsia="仿宋" w:cs="宋体"/>
                      <w:b/>
                      <w:bCs/>
                      <w:spacing w:val="-1"/>
                      <w:kern w:val="0"/>
                      <w:sz w:val="32"/>
                      <w:szCs w:val="32"/>
                    </w:rPr>
                    <w:t>公用经费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148.3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主要包括：办公费、印刷费、咨询费、手续费、水费、电费、邮电费、取暖费、物业管理费、差旅费、因公出国（境）费、维修（护）费、租赁费、会议费、培训费、公务接待费、专用材料费、劳务费、委托业务费、工会经费、福利费、公务用车运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 xml:space="preserve"> 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行维护费、其他交通费用、税金及附加费用、其他商品和服务支出、办公设备购置、专用设备购置、大型修缮、信息网络及软件购置更新、其他资本性支出。</w:t>
                  </w:r>
                </w:p>
                <w:p>
                  <w:pPr>
                    <w:spacing w:line="360" w:lineRule="auto"/>
                    <w:rPr>
                      <w:rFonts w:ascii="仿宋" w:hAnsi="仿宋" w:eastAsia="仿宋" w:cs="仿宋"/>
                      <w:sz w:val="32"/>
                    </w:rPr>
                  </w:pPr>
                  <w:r>
                    <w:rPr>
                      <w:rFonts w:hint="eastAsia" w:ascii="仿宋" w:hAnsi="仿宋" w:eastAsia="仿宋" w:cs="仿宋"/>
                      <w:sz w:val="32"/>
                    </w:rPr>
                    <w:t>（二）、政府采购支出情况。</w:t>
                  </w:r>
                </w:p>
                <w:p>
                  <w:pPr>
                    <w:spacing w:line="360" w:lineRule="auto"/>
                    <w:ind w:firstLine="640" w:firstLineChars="200"/>
                    <w:rPr>
                      <w:rFonts w:hint="default" w:ascii="仿宋" w:hAnsi="仿宋" w:eastAsia="仿宋" w:cs="仿宋"/>
                      <w:sz w:val="32"/>
                      <w:lang w:val="en-US" w:eastAsia="zh-CN"/>
                    </w:rPr>
                  </w:pPr>
                  <w:r>
                    <w:rPr>
                      <w:rFonts w:ascii="仿宋" w:hAnsi="仿宋" w:eastAsia="仿宋" w:cs="仿宋"/>
                      <w:kern w:val="0"/>
                      <w:sz w:val="32"/>
                      <w:szCs w:val="32"/>
                    </w:rPr>
                    <w:t>20</w:t>
                  </w:r>
                  <w:r>
                    <w:rPr>
                      <w:rFonts w:hint="eastAsia" w:ascii="仿宋" w:hAnsi="仿宋" w:eastAsia="仿宋" w:cs="仿宋"/>
                      <w:kern w:val="0"/>
                      <w:sz w:val="32"/>
                      <w:szCs w:val="32"/>
                      <w:lang w:val="en-US" w:eastAsia="zh-CN"/>
                    </w:rPr>
                    <w:t>20</w:t>
                  </w:r>
                  <w:r>
                    <w:rPr>
                      <w:rFonts w:hint="eastAsia" w:ascii="仿宋" w:hAnsi="仿宋" w:eastAsia="仿宋" w:cs="仿宋"/>
                      <w:sz w:val="32"/>
                    </w:rPr>
                    <w:t>年政府采购预算安排</w:t>
                  </w:r>
                  <w:r>
                    <w:rPr>
                      <w:rFonts w:hint="eastAsia" w:ascii="仿宋" w:hAnsi="仿宋" w:eastAsia="仿宋" w:cs="仿宋"/>
                      <w:sz w:val="32"/>
                      <w:lang w:val="en-US" w:eastAsia="zh-CN"/>
                    </w:rPr>
                    <w:t>0</w:t>
                  </w:r>
                  <w:r>
                    <w:rPr>
                      <w:rFonts w:hint="eastAsia" w:ascii="仿宋" w:hAnsi="仿宋" w:eastAsia="仿宋" w:cs="仿宋"/>
                      <w:sz w:val="32"/>
                    </w:rPr>
                    <w:t>万元，其中：政府采购货物预算</w:t>
                  </w:r>
                  <w:r>
                    <w:rPr>
                      <w:rFonts w:hint="eastAsia" w:ascii="仿宋" w:hAnsi="仿宋" w:eastAsia="仿宋" w:cs="仿宋"/>
                      <w:sz w:val="32"/>
                      <w:lang w:val="en-US" w:eastAsia="zh-CN"/>
                    </w:rPr>
                    <w:t>0</w:t>
                  </w:r>
                  <w:r>
                    <w:rPr>
                      <w:rFonts w:hint="eastAsia" w:ascii="仿宋" w:hAnsi="仿宋" w:eastAsia="仿宋" w:cs="仿宋"/>
                      <w:sz w:val="32"/>
                    </w:rPr>
                    <w:t>万元、政府采购工程预算</w:t>
                  </w:r>
                  <w:r>
                    <w:rPr>
                      <w:rFonts w:hint="eastAsia" w:ascii="仿宋" w:hAnsi="仿宋" w:eastAsia="仿宋" w:cs="仿宋"/>
                      <w:sz w:val="32"/>
                      <w:lang w:val="en-US" w:eastAsia="zh-CN"/>
                    </w:rPr>
                    <w:t>0</w:t>
                  </w:r>
                  <w:r>
                    <w:rPr>
                      <w:rFonts w:hint="eastAsia" w:ascii="仿宋" w:hAnsi="仿宋" w:eastAsia="仿宋" w:cs="仿宋"/>
                      <w:sz w:val="32"/>
                    </w:rPr>
                    <w:t>万元、政府采购服务预算</w:t>
                  </w:r>
                  <w:r>
                    <w:rPr>
                      <w:rFonts w:hint="eastAsia" w:ascii="仿宋" w:hAnsi="仿宋" w:eastAsia="仿宋" w:cs="仿宋"/>
                      <w:sz w:val="32"/>
                      <w:lang w:val="en-US" w:eastAsia="zh-CN"/>
                    </w:rPr>
                    <w:t>0</w:t>
                  </w:r>
                  <w:r>
                    <w:rPr>
                      <w:rFonts w:hint="eastAsia" w:ascii="仿宋" w:hAnsi="仿宋" w:eastAsia="仿宋" w:cs="仿宋"/>
                      <w:sz w:val="32"/>
                    </w:rPr>
                    <w:t>万元。</w:t>
                  </w:r>
                </w:p>
                <w:p>
                  <w:pPr>
                    <w:spacing w:line="360" w:lineRule="auto"/>
                    <w:rPr>
                      <w:rFonts w:ascii="仿宋" w:hAnsi="仿宋" w:eastAsia="仿宋" w:cs="仿宋"/>
                      <w:sz w:val="32"/>
                    </w:rPr>
                  </w:pPr>
                  <w:r>
                    <w:rPr>
                      <w:rFonts w:hint="eastAsia" w:ascii="仿宋" w:hAnsi="仿宋" w:eastAsia="仿宋" w:cs="仿宋"/>
                      <w:sz w:val="32"/>
                    </w:rPr>
                    <w:t>（三）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、</w:t>
                  </w:r>
                  <w:r>
                    <w:rPr>
                      <w:rFonts w:hint="eastAsia" w:ascii="仿宋" w:hAnsi="仿宋" w:eastAsia="仿宋" w:cs="仿宋"/>
                      <w:sz w:val="32"/>
                    </w:rPr>
                    <w:t>国有资产占用情况表</w:t>
                  </w:r>
                </w:p>
                <w:p>
                  <w:pPr>
                    <w:spacing w:line="360" w:lineRule="auto"/>
                    <w:ind w:firstLine="640"/>
                    <w:rPr>
                      <w:rFonts w:ascii="仿宋" w:hAnsi="仿宋" w:eastAsia="仿宋" w:cs="仿宋"/>
                      <w:sz w:val="32"/>
                    </w:rPr>
                  </w:pPr>
                  <w:r>
                    <w:rPr>
                      <w:rFonts w:ascii="仿宋" w:hAnsi="仿宋" w:eastAsia="仿宋" w:cs="仿宋"/>
                      <w:kern w:val="0"/>
                      <w:sz w:val="32"/>
                      <w:szCs w:val="32"/>
                    </w:rPr>
                    <w:t>20</w:t>
                  </w:r>
                  <w:r>
                    <w:rPr>
                      <w:rFonts w:hint="eastAsia" w:ascii="仿宋" w:hAnsi="仿宋" w:eastAsia="仿宋" w:cs="仿宋"/>
                      <w:kern w:val="0"/>
                      <w:sz w:val="32"/>
                      <w:szCs w:val="32"/>
                      <w:lang w:val="en-US" w:eastAsia="zh-CN"/>
                    </w:rPr>
                    <w:t>20</w:t>
                  </w:r>
                  <w:r>
                    <w:rPr>
                      <w:rFonts w:hint="eastAsia" w:ascii="仿宋" w:hAnsi="仿宋" w:eastAsia="仿宋" w:cs="仿宋"/>
                      <w:sz w:val="32"/>
                    </w:rPr>
                    <w:t>年度，</w:t>
                  </w:r>
                  <w:r>
                    <w:rPr>
                      <w:rFonts w:hint="eastAsia" w:ascii="仿宋" w:hAnsi="仿宋" w:eastAsia="仿宋" w:cs="仿宋"/>
                      <w:sz w:val="32"/>
                      <w:lang w:val="en-US" w:eastAsia="zh-CN"/>
                    </w:rPr>
                    <w:t>东王营乡政府</w:t>
                  </w:r>
                  <w:r>
                    <w:rPr>
                      <w:rFonts w:hint="eastAsia" w:ascii="仿宋" w:hAnsi="仿宋" w:eastAsia="仿宋" w:cs="仿宋"/>
                      <w:sz w:val="32"/>
                    </w:rPr>
                    <w:t>共有车辆</w:t>
                  </w:r>
                  <w:r>
                    <w:rPr>
                      <w:rFonts w:ascii="仿宋" w:hAnsi="仿宋" w:eastAsia="仿宋" w:cs="仿宋"/>
                      <w:sz w:val="32"/>
                    </w:rPr>
                    <w:t>1</w:t>
                  </w:r>
                  <w:r>
                    <w:rPr>
                      <w:rFonts w:hint="eastAsia" w:ascii="仿宋" w:hAnsi="仿宋" w:eastAsia="仿宋" w:cs="仿宋"/>
                      <w:sz w:val="32"/>
                    </w:rPr>
                    <w:t>辆，为一般公务用车。单位价值</w:t>
                  </w:r>
                  <w:r>
                    <w:rPr>
                      <w:rFonts w:hint="eastAsia" w:ascii="仿宋" w:hAnsi="仿宋" w:eastAsia="仿宋" w:cs="仿宋"/>
                      <w:sz w:val="32"/>
                      <w:lang w:val="en-US" w:eastAsia="zh-CN"/>
                    </w:rPr>
                    <w:t>12.6</w:t>
                  </w:r>
                  <w:r>
                    <w:rPr>
                      <w:rFonts w:hint="eastAsia" w:ascii="仿宋" w:hAnsi="仿宋" w:eastAsia="仿宋" w:cs="仿宋"/>
                      <w:sz w:val="32"/>
                    </w:rPr>
                    <w:t>万元以上通用设备</w:t>
                  </w:r>
                  <w:r>
                    <w:rPr>
                      <w:rFonts w:hint="eastAsia" w:ascii="仿宋" w:hAnsi="仿宋" w:eastAsia="仿宋" w:cs="仿宋"/>
                      <w:sz w:val="32"/>
                      <w:lang w:val="en-US" w:eastAsia="zh-CN"/>
                    </w:rPr>
                    <w:t>1</w:t>
                  </w:r>
                  <w:r>
                    <w:rPr>
                      <w:rFonts w:hint="eastAsia" w:ascii="仿宋" w:hAnsi="仿宋" w:eastAsia="仿宋" w:cs="仿宋"/>
                      <w:sz w:val="32"/>
                    </w:rPr>
                    <w:t>台（套），单位价值</w:t>
                  </w:r>
                  <w:r>
                    <w:rPr>
                      <w:rFonts w:ascii="仿宋" w:hAnsi="仿宋" w:eastAsia="仿宋" w:cs="仿宋"/>
                      <w:sz w:val="32"/>
                    </w:rPr>
                    <w:t>100</w:t>
                  </w:r>
                  <w:r>
                    <w:rPr>
                      <w:rFonts w:hint="eastAsia" w:ascii="仿宋" w:hAnsi="仿宋" w:eastAsia="仿宋" w:cs="仿宋"/>
                      <w:sz w:val="32"/>
                    </w:rPr>
                    <w:t>万元以上专用设备</w:t>
                  </w:r>
                  <w:r>
                    <w:rPr>
                      <w:rFonts w:hint="eastAsia" w:ascii="仿宋" w:hAnsi="仿宋" w:eastAsia="仿宋" w:cs="仿宋"/>
                      <w:sz w:val="32"/>
                      <w:lang w:val="en-US" w:eastAsia="zh-CN"/>
                    </w:rPr>
                    <w:t>0</w:t>
                  </w:r>
                  <w:r>
                    <w:rPr>
                      <w:rFonts w:hint="eastAsia" w:ascii="仿宋" w:hAnsi="仿宋" w:eastAsia="仿宋" w:cs="仿宋"/>
                      <w:sz w:val="32"/>
                    </w:rPr>
                    <w:t>台（套）。</w:t>
                  </w:r>
                </w:p>
                <w:p>
                  <w:pPr>
                    <w:spacing w:line="360" w:lineRule="auto"/>
                    <w:rPr>
                      <w:rFonts w:ascii="仿宋" w:hAnsi="仿宋" w:eastAsia="仿宋" w:cs="仿宋"/>
                      <w:sz w:val="32"/>
                    </w:rPr>
                  </w:pPr>
                  <w:r>
                    <w:rPr>
                      <w:rFonts w:hint="eastAsia" w:ascii="仿宋" w:hAnsi="仿宋" w:eastAsia="仿宋" w:cs="仿宋"/>
                      <w:sz w:val="32"/>
                    </w:rPr>
                    <w:t>（四）、重点绩效评价结果等预算绩效情况说明。</w:t>
                  </w:r>
                </w:p>
                <w:p>
                  <w:pPr>
                    <w:widowControl/>
                    <w:spacing w:line="315" w:lineRule="atLeast"/>
                    <w:ind w:firstLine="638"/>
                    <w:jc w:val="left"/>
                    <w:rPr>
                      <w:rFonts w:hint="default" w:ascii="仿宋" w:hAnsi="仿宋" w:eastAsia="仿宋" w:cs="仿宋"/>
                      <w:kern w:val="0"/>
                      <w:sz w:val="32"/>
                      <w:szCs w:val="32"/>
                      <w:lang w:val="en-US" w:eastAsia="zh-CN"/>
                    </w:rPr>
                  </w:pPr>
                  <w:r>
                    <w:rPr>
                      <w:rFonts w:hint="eastAsia" w:ascii="仿宋" w:hAnsi="仿宋" w:eastAsia="仿宋" w:cs="仿宋"/>
                      <w:kern w:val="0"/>
                      <w:sz w:val="32"/>
                      <w:szCs w:val="32"/>
                    </w:rPr>
                    <w:t>我单位</w:t>
                  </w:r>
                  <w:r>
                    <w:rPr>
                      <w:rFonts w:ascii="仿宋" w:hAnsi="仿宋" w:eastAsia="仿宋" w:cs="仿宋"/>
                      <w:kern w:val="0"/>
                      <w:sz w:val="32"/>
                      <w:szCs w:val="32"/>
                    </w:rPr>
                    <w:t>20</w:t>
                  </w:r>
                  <w:r>
                    <w:rPr>
                      <w:rFonts w:hint="eastAsia" w:ascii="仿宋" w:hAnsi="仿宋" w:eastAsia="仿宋" w:cs="仿宋"/>
                      <w:kern w:val="0"/>
                      <w:sz w:val="32"/>
                      <w:szCs w:val="32"/>
                      <w:lang w:val="en-US" w:eastAsia="zh-CN"/>
                    </w:rPr>
                    <w:t>20</w:t>
                  </w:r>
                  <w:r>
                    <w:rPr>
                      <w:rFonts w:hint="eastAsia" w:ascii="仿宋" w:hAnsi="仿宋" w:eastAsia="仿宋" w:cs="仿宋"/>
                      <w:kern w:val="0"/>
                      <w:sz w:val="32"/>
                      <w:szCs w:val="32"/>
                    </w:rPr>
                    <w:t>年重点项目支出</w:t>
                  </w:r>
                  <w:r>
                    <w:rPr>
                      <w:rFonts w:hint="eastAsia" w:ascii="仿宋" w:hAnsi="仿宋" w:eastAsia="仿宋" w:cs="仿宋"/>
                      <w:kern w:val="0"/>
                      <w:sz w:val="32"/>
                      <w:szCs w:val="32"/>
                      <w:lang w:val="en-US" w:eastAsia="zh-CN"/>
                    </w:rPr>
                    <w:t>0</w:t>
                  </w:r>
                  <w:r>
                    <w:rPr>
                      <w:rFonts w:hint="eastAsia" w:ascii="仿宋" w:hAnsi="仿宋" w:eastAsia="仿宋" w:cs="仿宋"/>
                      <w:kern w:val="0"/>
                      <w:sz w:val="32"/>
                      <w:szCs w:val="32"/>
                    </w:rPr>
                    <w:t>万元，用于</w:t>
                  </w:r>
                  <w:r>
                    <w:rPr>
                      <w:rFonts w:hint="eastAsia" w:ascii="仿宋" w:hAnsi="仿宋" w:eastAsia="仿宋" w:cs="仿宋"/>
                      <w:kern w:val="0"/>
                      <w:sz w:val="32"/>
                      <w:szCs w:val="32"/>
                      <w:lang w:val="en-US" w:eastAsia="zh-CN"/>
                    </w:rPr>
                    <w:t>0（当年没有重点项目支出的单位，请写本单位2020年度未安排重点项目支出资金，所以未开展绩效评价工作。</w:t>
                  </w:r>
                </w:p>
                <w:p>
                  <w:pPr>
                    <w:widowControl/>
                    <w:spacing w:line="315" w:lineRule="atLeast"/>
                    <w:ind w:firstLine="64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 </w:t>
                  </w:r>
                </w:p>
                <w:p>
                  <w:pPr>
                    <w:widowControl/>
                    <w:spacing w:line="315" w:lineRule="atLeast"/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</w:pPr>
                </w:p>
                <w:p>
                  <w:pPr>
                    <w:widowControl/>
                    <w:spacing w:line="315" w:lineRule="atLeast"/>
                    <w:ind w:firstLine="1749" w:firstLineChars="396"/>
                    <w:rPr>
                      <w:rFonts w:hint="eastAsia" w:ascii="仿宋" w:hAnsi="宋体" w:eastAsia="仿宋" w:cs="宋体"/>
                      <w:b/>
                      <w:kern w:val="0"/>
                      <w:sz w:val="44"/>
                      <w:szCs w:val="44"/>
                    </w:rPr>
                  </w:pPr>
                </w:p>
                <w:p>
                  <w:pPr>
                    <w:widowControl/>
                    <w:spacing w:line="315" w:lineRule="atLeast"/>
                    <w:ind w:firstLine="1749" w:firstLineChars="396"/>
                    <w:rPr>
                      <w:rFonts w:hint="eastAsia" w:ascii="仿宋" w:hAnsi="宋体" w:eastAsia="仿宋" w:cs="宋体"/>
                      <w:b/>
                      <w:kern w:val="0"/>
                      <w:sz w:val="44"/>
                      <w:szCs w:val="44"/>
                    </w:rPr>
                  </w:pPr>
                </w:p>
                <w:p>
                  <w:pPr>
                    <w:widowControl/>
                    <w:spacing w:line="315" w:lineRule="atLeast"/>
                    <w:ind w:firstLine="1749" w:firstLineChars="396"/>
                    <w:rPr>
                      <w:rFonts w:hint="eastAsia" w:ascii="仿宋" w:hAnsi="宋体" w:eastAsia="仿宋" w:cs="宋体"/>
                      <w:b/>
                      <w:kern w:val="0"/>
                      <w:sz w:val="44"/>
                      <w:szCs w:val="44"/>
                    </w:rPr>
                  </w:pPr>
                </w:p>
                <w:p>
                  <w:pPr>
                    <w:widowControl/>
                    <w:spacing w:line="315" w:lineRule="atLeast"/>
                    <w:ind w:firstLine="1749" w:firstLineChars="396"/>
                    <w:rPr>
                      <w:rFonts w:hint="eastAsia" w:ascii="仿宋" w:hAnsi="宋体" w:eastAsia="仿宋" w:cs="宋体"/>
                      <w:b/>
                      <w:kern w:val="0"/>
                      <w:sz w:val="44"/>
                      <w:szCs w:val="44"/>
                    </w:rPr>
                  </w:pPr>
                </w:p>
                <w:p>
                  <w:pPr>
                    <w:widowControl/>
                    <w:spacing w:line="315" w:lineRule="atLeast"/>
                    <w:ind w:firstLine="1749" w:firstLineChars="396"/>
                    <w:rPr>
                      <w:rFonts w:ascii="宋体" w:cs="宋体"/>
                      <w:b/>
                      <w:kern w:val="0"/>
                      <w:sz w:val="44"/>
                      <w:szCs w:val="44"/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44"/>
                      <w:szCs w:val="44"/>
                    </w:rPr>
                    <w:t>第三部分名词解释</w:t>
                  </w:r>
                </w:p>
                <w:p>
                  <w:pPr>
                    <w:widowControl/>
                    <w:spacing w:line="315" w:lineRule="atLeast"/>
                    <w:ind w:firstLine="64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一、财政拨款收入：是指县级财政当年拨付的资金。</w:t>
                  </w:r>
                </w:p>
                <w:p>
                  <w:pPr>
                    <w:widowControl/>
                    <w:spacing w:line="315" w:lineRule="atLeast"/>
                    <w:ind w:firstLine="64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二、事业收入：是指事业单位开展专业活动及辅助活动所取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 xml:space="preserve"> 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得的收入。</w:t>
                  </w:r>
                </w:p>
                <w:p>
                  <w:pPr>
                    <w:widowControl/>
                    <w:spacing w:line="315" w:lineRule="atLeast"/>
                    <w:ind w:firstLine="64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三、其他收入：是指部门取得的除“财政拨款”、“事业收入”、“事业单位经营收入”等以外的收入。</w:t>
                  </w:r>
                </w:p>
                <w:p>
                  <w:pPr>
                    <w:widowControl/>
                    <w:spacing w:line="315" w:lineRule="atLeast"/>
                    <w:ind w:firstLine="64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四、用事业基金弥补收支差额：是指事业单位在当年的“财政拨款收入”、“事业收入”、“经营收入”和“其他收入”不足以安排当年支出的情况下，使用以前年度积累的事业基金（即事业单位以前各年度收支相抵后，按国家规定提取、用于弥补以后年度收支差额的基金）弥补当年收支缺口的资金。</w:t>
                  </w:r>
                </w:p>
                <w:p>
                  <w:pPr>
                    <w:widowControl/>
                    <w:spacing w:line="315" w:lineRule="atLeast"/>
                    <w:ind w:firstLine="64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五、基本支出：是指为保障机构正常运转、完成日常工作任务所必需的开支，其内容包括人员经费和日常公用经费两部分。</w:t>
                  </w:r>
                </w:p>
                <w:p>
                  <w:pPr>
                    <w:widowControl/>
                    <w:spacing w:line="315" w:lineRule="atLeast"/>
                    <w:ind w:firstLine="64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六、项目支出：是指在基本支出之外，为完成特定的行政工作任务或事业发展目标所发生的支出。</w:t>
                  </w:r>
                </w:p>
                <w:p>
                  <w:pPr>
                    <w:widowControl/>
                    <w:spacing w:line="315" w:lineRule="atLeast"/>
                    <w:ind w:firstLine="64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七、“三公”经费：是指纳入县级财政预算管理，部门使用财政拨款安排的因公出国（境）费、公务用车购置及运行费和公务接待费。其中，因公出国（境）费反映单位公务出国（境）的住宿费、旅费、伙食补助费、杂费、培训费等支出；公务用车购置及运行费反映单位公务用车购置费及租用费、燃料费、维修费、过路过桥费、保险费、安全奖励费用等支出；公务接待费反映单位按规定开支的各类公务接待（含外宾接待）支出。</w:t>
                  </w:r>
                </w:p>
                <w:p>
                  <w:pPr>
                    <w:widowControl/>
                    <w:spacing w:line="315" w:lineRule="atLeast"/>
                    <w:ind w:firstLine="64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八、机关运行经费：是指为保障行政单位（含参照公务员法管理的事业单位）运行用于购买货物和服务的各项资金，包括办公及印刷费、邮电费、差旅费、会议费、福利费、日常维修费及一般设备购置费、办公用房水电费、办公用房取暖费、办公用房物业管理费、公务用车运行维护费以及其他费用。</w:t>
                  </w:r>
                </w:p>
                <w:p>
                  <w:pPr>
                    <w:widowControl/>
                    <w:spacing w:line="315" w:lineRule="atLeast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 </w:t>
                  </w:r>
                </w:p>
                <w:p>
                  <w:pPr>
                    <w:widowControl/>
                    <w:spacing w:line="315" w:lineRule="atLeast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附件：</w:t>
                  </w:r>
                </w:p>
                <w:p>
                  <w:pPr>
                    <w:widowControl/>
                    <w:spacing w:line="315" w:lineRule="atLeast"/>
                    <w:jc w:val="center"/>
                    <w:rPr>
                      <w:rFonts w:ascii="宋体" w:cs="宋体"/>
                      <w:kern w:val="0"/>
                      <w:sz w:val="32"/>
                      <w:szCs w:val="32"/>
                    </w:rPr>
                  </w:pP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pict>
                      <v:shape id="_x0000_i1025" o:spt="75" alt="http://www.hnp.edu.cn/control/FCKeditor/editor/images/file/xls.gif" type="#_x0000_t75" style="height:13.5pt;width:13.5pt;" filled="f" o:preferrelative="t" stroked="f" coordsize="21600,21600">
                        <v:path/>
                        <v:fill on="f" focussize="0,0"/>
                        <v:stroke on="f" joinstyle="miter"/>
                        <v:imagedata r:id="rId4" o:title=""/>
                        <o:lock v:ext="edit" aspectratio="t"/>
                        <w10:wrap type="none"/>
                        <w10:anchorlock/>
                      </v:shape>
                    </w:pict>
                  </w:r>
                  <w:r>
                    <w:fldChar w:fldCharType="begin"/>
                  </w:r>
                  <w:r>
                    <w:instrText xml:space="preserve"> HYPERLINK "http://www.hnp.edu.cn/picture/article/1/15/7c/b4fd66534e2294163b81f420b94c/4de1a7c4-a1d0-4304-9789-4ab6fb4d0e3d.xls" \t "_blank" </w:instrText>
                  </w:r>
                  <w:r>
                    <w:fldChar w:fldCharType="separate"/>
                  </w:r>
                  <w:r>
                    <w:rPr>
                      <w:rFonts w:hint="eastAsia" w:ascii="仿宋" w:hAnsi="宋体" w:eastAsia="仿宋" w:cs="宋体"/>
                      <w:color w:val="262626"/>
                      <w:kern w:val="0"/>
                      <w:sz w:val="32"/>
                      <w:szCs w:val="32"/>
                    </w:rPr>
                    <w:t>附表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西华县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eastAsia="zh-CN"/>
                    </w:rPr>
                    <w:t>大王庄乡政府</w:t>
                  </w:r>
                  <w:r>
                    <w:rPr>
                      <w:rFonts w:hint="eastAsia" w:ascii="仿宋" w:hAnsi="宋体" w:eastAsia="仿宋" w:cs="宋体"/>
                      <w:color w:val="262626"/>
                      <w:kern w:val="0"/>
                      <w:sz w:val="32"/>
                      <w:szCs w:val="32"/>
                    </w:rPr>
                    <w:t>部门预算公开表</w:t>
                  </w:r>
                  <w:r>
                    <w:rPr>
                      <w:rFonts w:ascii="仿宋" w:hAnsi="宋体" w:eastAsia="仿宋" w:cs="宋体"/>
                      <w:color w:val="262626"/>
                      <w:kern w:val="0"/>
                      <w:sz w:val="32"/>
                      <w:szCs w:val="32"/>
                    </w:rPr>
                    <w:t>.xls</w:t>
                  </w:r>
                  <w:r>
                    <w:rPr>
                      <w:rFonts w:ascii="仿宋" w:hAnsi="宋体" w:eastAsia="仿宋" w:cs="宋体"/>
                      <w:color w:val="262626"/>
                      <w:kern w:val="0"/>
                      <w:sz w:val="32"/>
                      <w:szCs w:val="32"/>
                    </w:rPr>
                    <w:fldChar w:fldCharType="end"/>
                  </w:r>
                </w:p>
                <w:p>
                  <w:pPr>
                    <w:widowControl/>
                    <w:spacing w:line="315" w:lineRule="atLeast"/>
                    <w:jc w:val="left"/>
                    <w:rPr>
                      <w:rFonts w:hint="eastAsia" w:ascii="宋体" w:eastAsia="宋体" w:cs="宋体"/>
                      <w:kern w:val="0"/>
                      <w:sz w:val="24"/>
                      <w:lang w:eastAsia="zh-CN"/>
                    </w:rPr>
                  </w:pPr>
                  <w:r>
                    <w:rPr>
                      <w:rFonts w:hint="eastAsia" w:ascii="宋体" w:eastAsia="宋体" w:cs="宋体"/>
                      <w:kern w:val="0"/>
                      <w:sz w:val="24"/>
                      <w:lang w:eastAsia="zh-CN"/>
                    </w:rPr>
                    <w:object>
                      <v:shape id="_x0000_i1026" o:spt="75" type="#_x0000_t75" style="height:66pt;width:72.75pt;" o:ole="t" filled="f" o:preferrelative="t" stroked="f" coordsize="21600,21600">
                        <v:fill on="f" focussize="0,0"/>
                        <v:stroke on="f"/>
                        <v:imagedata r:id="rId6" o:title=""/>
                        <o:lock v:ext="edit" aspectratio="t"/>
                        <w10:wrap type="none"/>
                        <w10:anchorlock/>
                      </v:shape>
                      <o:OLEObject Type="Embed" ProgID="Office12.Excel.Template" ShapeID="_x0000_i1026" DrawAspect="Icon" ObjectID="_1468075725" r:id="rId5">
                        <o:LockedField>false</o:LockedField>
                      </o:OLEObject>
                    </w:object>
                  </w:r>
                  <w:bookmarkStart w:id="0" w:name="_GoBack"/>
                  <w:bookmarkEnd w:id="0"/>
                </w:p>
              </w:tc>
            </w:tr>
          </w:tbl>
          <w:p>
            <w:pPr>
              <w:widowControl/>
              <w:jc w:val="center"/>
              <w:rPr>
                <w:rFonts w:ascii="宋体" w:cs="宋体"/>
                <w:kern w:val="0"/>
                <w:sz w:val="18"/>
                <w:szCs w:val="18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70" w:hRule="atLeast"/>
          <w:tblCellSpacing w:w="0" w:type="dxa"/>
        </w:trPr>
        <w:tc>
          <w:tcPr>
            <w:tcW w:w="8306" w:type="dxa"/>
            <w:vAlign w:val="center"/>
          </w:tcPr>
          <w:p>
            <w:pPr>
              <w:widowControl/>
              <w:spacing w:line="360" w:lineRule="atLeast"/>
              <w:rPr>
                <w:rFonts w:ascii="宋体" w:cs="宋体"/>
                <w:color w:val="113F95"/>
                <w:kern w:val="0"/>
                <w:sz w:val="18"/>
                <w:szCs w:val="18"/>
              </w:rPr>
            </w:pP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C05B32"/>
    <w:rsid w:val="000509EE"/>
    <w:rsid w:val="00097292"/>
    <w:rsid w:val="000B07B0"/>
    <w:rsid w:val="000B457D"/>
    <w:rsid w:val="000D5B00"/>
    <w:rsid w:val="00103BDA"/>
    <w:rsid w:val="00104EA6"/>
    <w:rsid w:val="0011522E"/>
    <w:rsid w:val="00124075"/>
    <w:rsid w:val="0016038A"/>
    <w:rsid w:val="001E02B5"/>
    <w:rsid w:val="001F41BB"/>
    <w:rsid w:val="00204691"/>
    <w:rsid w:val="00214A3E"/>
    <w:rsid w:val="00292606"/>
    <w:rsid w:val="00332A05"/>
    <w:rsid w:val="00344DBB"/>
    <w:rsid w:val="003F3A7E"/>
    <w:rsid w:val="00460799"/>
    <w:rsid w:val="00463EE4"/>
    <w:rsid w:val="00494708"/>
    <w:rsid w:val="004B0DFE"/>
    <w:rsid w:val="004E2EF8"/>
    <w:rsid w:val="00513F0B"/>
    <w:rsid w:val="00523C9F"/>
    <w:rsid w:val="005242B8"/>
    <w:rsid w:val="005316F4"/>
    <w:rsid w:val="00570C75"/>
    <w:rsid w:val="005B212E"/>
    <w:rsid w:val="005B6137"/>
    <w:rsid w:val="005C366B"/>
    <w:rsid w:val="006058CC"/>
    <w:rsid w:val="00693BCC"/>
    <w:rsid w:val="006E552F"/>
    <w:rsid w:val="006F0A98"/>
    <w:rsid w:val="00727034"/>
    <w:rsid w:val="00755367"/>
    <w:rsid w:val="00821342"/>
    <w:rsid w:val="0084717D"/>
    <w:rsid w:val="008605B3"/>
    <w:rsid w:val="0086639E"/>
    <w:rsid w:val="008765DB"/>
    <w:rsid w:val="008A7E83"/>
    <w:rsid w:val="008B7163"/>
    <w:rsid w:val="00910D73"/>
    <w:rsid w:val="00A00397"/>
    <w:rsid w:val="00A67757"/>
    <w:rsid w:val="00AA20FA"/>
    <w:rsid w:val="00AD40D2"/>
    <w:rsid w:val="00AD552D"/>
    <w:rsid w:val="00B209DA"/>
    <w:rsid w:val="00B663E1"/>
    <w:rsid w:val="00C05B32"/>
    <w:rsid w:val="00C23A11"/>
    <w:rsid w:val="00C77FC8"/>
    <w:rsid w:val="00CA3C36"/>
    <w:rsid w:val="00CD621B"/>
    <w:rsid w:val="00CE0EF9"/>
    <w:rsid w:val="00D25EA5"/>
    <w:rsid w:val="00D86A69"/>
    <w:rsid w:val="00DA447D"/>
    <w:rsid w:val="00DB7CA9"/>
    <w:rsid w:val="00E50D81"/>
    <w:rsid w:val="00E715E9"/>
    <w:rsid w:val="00E94AFB"/>
    <w:rsid w:val="00F13DF9"/>
    <w:rsid w:val="00F177E9"/>
    <w:rsid w:val="00F36CC3"/>
    <w:rsid w:val="00FA0145"/>
    <w:rsid w:val="00FC4C8B"/>
    <w:rsid w:val="00FF533A"/>
    <w:rsid w:val="00FF76B3"/>
    <w:rsid w:val="011B40B3"/>
    <w:rsid w:val="0191149D"/>
    <w:rsid w:val="0341384F"/>
    <w:rsid w:val="04320678"/>
    <w:rsid w:val="047A7E86"/>
    <w:rsid w:val="05D67CC5"/>
    <w:rsid w:val="06B61ED5"/>
    <w:rsid w:val="06F740F2"/>
    <w:rsid w:val="07235F10"/>
    <w:rsid w:val="080A5A54"/>
    <w:rsid w:val="094949A6"/>
    <w:rsid w:val="09CC3310"/>
    <w:rsid w:val="0A694710"/>
    <w:rsid w:val="0B8440F4"/>
    <w:rsid w:val="0C2A0E5E"/>
    <w:rsid w:val="0C4B6C6A"/>
    <w:rsid w:val="0D4F0873"/>
    <w:rsid w:val="0DA619D9"/>
    <w:rsid w:val="0E8729B0"/>
    <w:rsid w:val="0FB34FCD"/>
    <w:rsid w:val="126166B3"/>
    <w:rsid w:val="13674C9F"/>
    <w:rsid w:val="150378CE"/>
    <w:rsid w:val="15B15DE9"/>
    <w:rsid w:val="162C3125"/>
    <w:rsid w:val="164D2E6A"/>
    <w:rsid w:val="18064759"/>
    <w:rsid w:val="181A4E3A"/>
    <w:rsid w:val="188C2EC6"/>
    <w:rsid w:val="189702E5"/>
    <w:rsid w:val="198C7FB6"/>
    <w:rsid w:val="19FD6B42"/>
    <w:rsid w:val="1A153890"/>
    <w:rsid w:val="1AF8275D"/>
    <w:rsid w:val="1B0A1EC6"/>
    <w:rsid w:val="1B5A08D2"/>
    <w:rsid w:val="1BAE0F66"/>
    <w:rsid w:val="1CFC075E"/>
    <w:rsid w:val="1E260365"/>
    <w:rsid w:val="1EB74334"/>
    <w:rsid w:val="1F5D52A0"/>
    <w:rsid w:val="200B18AB"/>
    <w:rsid w:val="205E275F"/>
    <w:rsid w:val="20B45207"/>
    <w:rsid w:val="20EB54EB"/>
    <w:rsid w:val="21266FC2"/>
    <w:rsid w:val="21552E08"/>
    <w:rsid w:val="237C0FEC"/>
    <w:rsid w:val="245621A9"/>
    <w:rsid w:val="25ED6C74"/>
    <w:rsid w:val="25F928FC"/>
    <w:rsid w:val="25FE0E02"/>
    <w:rsid w:val="26F624CC"/>
    <w:rsid w:val="28376452"/>
    <w:rsid w:val="286B2865"/>
    <w:rsid w:val="287C1F79"/>
    <w:rsid w:val="288808FC"/>
    <w:rsid w:val="29851BD5"/>
    <w:rsid w:val="2A0D4EAE"/>
    <w:rsid w:val="2B263D8D"/>
    <w:rsid w:val="2B692E37"/>
    <w:rsid w:val="2B9B782D"/>
    <w:rsid w:val="2C08722C"/>
    <w:rsid w:val="2CB810A2"/>
    <w:rsid w:val="2D14626D"/>
    <w:rsid w:val="2D3A0218"/>
    <w:rsid w:val="2DE40485"/>
    <w:rsid w:val="315A3FF1"/>
    <w:rsid w:val="315C77A5"/>
    <w:rsid w:val="33924D63"/>
    <w:rsid w:val="33D5324F"/>
    <w:rsid w:val="33FF0E32"/>
    <w:rsid w:val="35410C4E"/>
    <w:rsid w:val="3593589F"/>
    <w:rsid w:val="35C43931"/>
    <w:rsid w:val="35C76EB8"/>
    <w:rsid w:val="361D53B8"/>
    <w:rsid w:val="365D094D"/>
    <w:rsid w:val="36B65C9F"/>
    <w:rsid w:val="37DB6A27"/>
    <w:rsid w:val="37DC6994"/>
    <w:rsid w:val="393B18C0"/>
    <w:rsid w:val="394E4438"/>
    <w:rsid w:val="39E7741D"/>
    <w:rsid w:val="3A183E90"/>
    <w:rsid w:val="3A8922C9"/>
    <w:rsid w:val="3AFD60E3"/>
    <w:rsid w:val="3CD5253D"/>
    <w:rsid w:val="3D2D0C5E"/>
    <w:rsid w:val="3D717036"/>
    <w:rsid w:val="3E2F5831"/>
    <w:rsid w:val="3EF80CF4"/>
    <w:rsid w:val="3F4F31C0"/>
    <w:rsid w:val="3F6C0B81"/>
    <w:rsid w:val="3F8A30A9"/>
    <w:rsid w:val="3FFB482D"/>
    <w:rsid w:val="408514F8"/>
    <w:rsid w:val="408B46E1"/>
    <w:rsid w:val="41221875"/>
    <w:rsid w:val="414D6DC2"/>
    <w:rsid w:val="41BD6C30"/>
    <w:rsid w:val="41FA132C"/>
    <w:rsid w:val="420D2C44"/>
    <w:rsid w:val="42706261"/>
    <w:rsid w:val="44515609"/>
    <w:rsid w:val="450C7016"/>
    <w:rsid w:val="45BA05DE"/>
    <w:rsid w:val="466C7E7F"/>
    <w:rsid w:val="46CB27D7"/>
    <w:rsid w:val="47320830"/>
    <w:rsid w:val="475F2162"/>
    <w:rsid w:val="48A165C1"/>
    <w:rsid w:val="497D4372"/>
    <w:rsid w:val="4ABF574B"/>
    <w:rsid w:val="4AFE3936"/>
    <w:rsid w:val="4B8A5948"/>
    <w:rsid w:val="4DB74BEC"/>
    <w:rsid w:val="4E115458"/>
    <w:rsid w:val="4E4A6145"/>
    <w:rsid w:val="4EC56F6F"/>
    <w:rsid w:val="50182BEF"/>
    <w:rsid w:val="50191EF9"/>
    <w:rsid w:val="50FB7477"/>
    <w:rsid w:val="51940FB7"/>
    <w:rsid w:val="52037250"/>
    <w:rsid w:val="521A277E"/>
    <w:rsid w:val="54CD506D"/>
    <w:rsid w:val="557E2964"/>
    <w:rsid w:val="55D742CA"/>
    <w:rsid w:val="56956791"/>
    <w:rsid w:val="56C36B06"/>
    <w:rsid w:val="56C73E38"/>
    <w:rsid w:val="579E7AA9"/>
    <w:rsid w:val="58155080"/>
    <w:rsid w:val="597902CA"/>
    <w:rsid w:val="59ED2499"/>
    <w:rsid w:val="5AA07DB1"/>
    <w:rsid w:val="5ACD7399"/>
    <w:rsid w:val="5D49270B"/>
    <w:rsid w:val="5E2E7658"/>
    <w:rsid w:val="5E53502F"/>
    <w:rsid w:val="5E654E0E"/>
    <w:rsid w:val="5EEE7A77"/>
    <w:rsid w:val="5F1D3FBD"/>
    <w:rsid w:val="60485843"/>
    <w:rsid w:val="60746DBC"/>
    <w:rsid w:val="6164438C"/>
    <w:rsid w:val="61F53FAE"/>
    <w:rsid w:val="625551F0"/>
    <w:rsid w:val="63765575"/>
    <w:rsid w:val="662962A3"/>
    <w:rsid w:val="67020A6C"/>
    <w:rsid w:val="671B3683"/>
    <w:rsid w:val="67EC7772"/>
    <w:rsid w:val="680330A8"/>
    <w:rsid w:val="682002C3"/>
    <w:rsid w:val="68B562ED"/>
    <w:rsid w:val="6A641731"/>
    <w:rsid w:val="6BD8632C"/>
    <w:rsid w:val="6DE41AEB"/>
    <w:rsid w:val="70235539"/>
    <w:rsid w:val="70664F84"/>
    <w:rsid w:val="739D4829"/>
    <w:rsid w:val="73F4577B"/>
    <w:rsid w:val="745D2835"/>
    <w:rsid w:val="74D27092"/>
    <w:rsid w:val="752E3B89"/>
    <w:rsid w:val="753331D2"/>
    <w:rsid w:val="7538437F"/>
    <w:rsid w:val="76FC2228"/>
    <w:rsid w:val="770A1BD0"/>
    <w:rsid w:val="772801BB"/>
    <w:rsid w:val="779724C7"/>
    <w:rsid w:val="77E06CA8"/>
    <w:rsid w:val="78ED501A"/>
    <w:rsid w:val="794518C6"/>
    <w:rsid w:val="79726C19"/>
    <w:rsid w:val="79D0389F"/>
    <w:rsid w:val="7C826A73"/>
    <w:rsid w:val="7CB3222D"/>
    <w:rsid w:val="7D0A6673"/>
    <w:rsid w:val="7D2C060E"/>
    <w:rsid w:val="7D69780E"/>
    <w:rsid w:val="7E727B4D"/>
    <w:rsid w:val="7EA17845"/>
    <w:rsid w:val="7ED2074A"/>
    <w:rsid w:val="7EEB3FC4"/>
    <w:rsid w:val="7EF813EF"/>
    <w:rsid w:val="7F33781C"/>
    <w:rsid w:val="7F4A24A6"/>
    <w:rsid w:val="7FBA62F5"/>
    <w:rsid w:val="7FD414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 w:locked="1"/>
    <w:lsdException w:qFormat="1" w:uiPriority="9" w:name="heading 2" w:locked="1"/>
    <w:lsdException w:qFormat="1" w:uiPriority="9" w:name="heading 3" w:locked="1"/>
    <w:lsdException w:qFormat="1" w:uiPriority="9" w:semiHidden="0" w:name="heading 4" w:locked="1"/>
    <w:lsdException w:qFormat="1" w:uiPriority="9" w:semiHidden="0" w:name="heading 5" w:locked="1"/>
    <w:lsdException w:qFormat="1" w:uiPriority="9" w:name="heading 6" w:locked="1"/>
    <w:lsdException w:qFormat="1" w:uiPriority="9" w:name="heading 7" w:locked="1"/>
    <w:lsdException w:qFormat="1" w:uiPriority="9" w:name="heading 8" w:locked="1"/>
    <w:lsdException w:qFormat="1" w:uiPriority="9" w:name="heading 9" w:locked="1"/>
    <w:lsdException w:uiPriority="99" w:name="index 1" w:locked="1"/>
    <w:lsdException w:uiPriority="99" w:name="index 2" w:locked="1"/>
    <w:lsdException w:uiPriority="99" w:name="index 3" w:locked="1"/>
    <w:lsdException w:uiPriority="99" w:name="index 4" w:locked="1"/>
    <w:lsdException w:uiPriority="99" w:name="index 5" w:locked="1"/>
    <w:lsdException w:uiPriority="99" w:name="index 6" w:locked="1"/>
    <w:lsdException w:uiPriority="99" w:name="index 7" w:locked="1"/>
    <w:lsdException w:uiPriority="99" w:name="index 8" w:locked="1"/>
    <w:lsdException w:uiPriority="99" w:name="index 9" w:locked="1"/>
    <w:lsdException w:uiPriority="39" w:name="toc 1" w:locked="1"/>
    <w:lsdException w:uiPriority="39" w:name="toc 2" w:locked="1"/>
    <w:lsdException w:uiPriority="39" w:name="toc 3" w:locked="1"/>
    <w:lsdException w:uiPriority="39" w:name="toc 4" w:locked="1"/>
    <w:lsdException w:uiPriority="39" w:name="toc 5" w:locked="1"/>
    <w:lsdException w:uiPriority="39" w:name="toc 6" w:locked="1"/>
    <w:lsdException w:uiPriority="39" w:name="toc 7" w:locked="1"/>
    <w:lsdException w:uiPriority="39" w:name="toc 8" w:locked="1"/>
    <w:lsdException w:uiPriority="39" w:name="toc 9" w:locked="1"/>
    <w:lsdException w:uiPriority="99" w:name="Normal Indent" w:locked="1"/>
    <w:lsdException w:uiPriority="99" w:name="footnote text" w:locked="1"/>
    <w:lsdException w:uiPriority="99" w:name="annotation text" w:locked="1"/>
    <w:lsdException w:qFormat="1" w:unhideWhenUsed="0" w:uiPriority="99" w:semiHidden="0" w:name="header"/>
    <w:lsdException w:qFormat="1" w:unhideWhenUsed="0" w:uiPriority="99" w:semiHidden="0" w:name="footer"/>
    <w:lsdException w:uiPriority="99" w:name="index heading" w:locked="1"/>
    <w:lsdException w:qFormat="1" w:uiPriority="35" w:name="caption" w:locked="1"/>
    <w:lsdException w:uiPriority="99" w:name="table of figures" w:locked="1"/>
    <w:lsdException w:uiPriority="99" w:name="envelope address" w:locked="1"/>
    <w:lsdException w:uiPriority="99" w:name="envelope return" w:locked="1"/>
    <w:lsdException w:uiPriority="99" w:name="footnote reference" w:locked="1"/>
    <w:lsdException w:uiPriority="99" w:name="annotation reference" w:locked="1"/>
    <w:lsdException w:uiPriority="99" w:name="line number" w:locked="1"/>
    <w:lsdException w:uiPriority="99" w:name="page number" w:locked="1"/>
    <w:lsdException w:uiPriority="99" w:name="endnote reference" w:locked="1"/>
    <w:lsdException w:uiPriority="99" w:name="endnote text" w:locked="1"/>
    <w:lsdException w:uiPriority="99" w:name="table of authorities" w:locked="1"/>
    <w:lsdException w:uiPriority="99" w:name="macro" w:locked="1"/>
    <w:lsdException w:uiPriority="99" w:name="toa heading" w:locked="1"/>
    <w:lsdException w:uiPriority="99" w:name="List" w:locked="1"/>
    <w:lsdException w:uiPriority="99" w:name="List Bullet" w:locked="1"/>
    <w:lsdException w:uiPriority="99" w:name="List Number" w:locked="1"/>
    <w:lsdException w:uiPriority="99" w:name="List 2" w:locked="1"/>
    <w:lsdException w:uiPriority="99" w:name="List 3" w:locked="1"/>
    <w:lsdException w:uiPriority="99" w:name="List 4" w:locked="1"/>
    <w:lsdException w:uiPriority="99" w:name="List 5" w:locked="1"/>
    <w:lsdException w:uiPriority="99" w:name="List Bullet 2" w:locked="1"/>
    <w:lsdException w:uiPriority="99" w:name="List Bullet 3" w:locked="1"/>
    <w:lsdException w:uiPriority="99" w:name="List Bullet 4" w:locked="1"/>
    <w:lsdException w:uiPriority="99" w:name="List Bullet 5" w:locked="1"/>
    <w:lsdException w:uiPriority="99" w:name="List Number 2" w:locked="1"/>
    <w:lsdException w:uiPriority="99" w:name="List Number 3" w:locked="1"/>
    <w:lsdException w:uiPriority="99" w:name="List Number 4" w:locked="1"/>
    <w:lsdException w:uiPriority="99" w:name="List Number 5" w:locked="1"/>
    <w:lsdException w:qFormat="1" w:unhideWhenUsed="0" w:uiPriority="10" w:semiHidden="0" w:name="Title" w:locked="1"/>
    <w:lsdException w:uiPriority="99" w:name="Closing" w:locked="1"/>
    <w:lsdException w:uiPriority="99" w:name="Signature" w:locked="1"/>
    <w:lsdException w:qFormat="1" w:unhideWhenUsed="0" w:uiPriority="99" w:name="Default Paragraph Font"/>
    <w:lsdException w:qFormat="1" w:unhideWhenUsed="0" w:uiPriority="99" w:semiHidden="0" w:name="Body Text"/>
    <w:lsdException w:uiPriority="99" w:name="Body Text Indent" w:locked="1"/>
    <w:lsdException w:uiPriority="99" w:name="List Continue" w:locked="1"/>
    <w:lsdException w:uiPriority="99" w:name="List Continue 2" w:locked="1"/>
    <w:lsdException w:uiPriority="99" w:name="List Continue 3" w:locked="1"/>
    <w:lsdException w:uiPriority="99" w:name="List Continue 4" w:locked="1"/>
    <w:lsdException w:uiPriority="99" w:name="List Continue 5" w:locked="1"/>
    <w:lsdException w:uiPriority="99" w:name="Message Header" w:locked="1"/>
    <w:lsdException w:qFormat="1" w:unhideWhenUsed="0" w:uiPriority="11" w:semiHidden="0" w:name="Subtitle" w:locked="1"/>
    <w:lsdException w:uiPriority="99" w:name="Salutation" w:locked="1"/>
    <w:lsdException w:uiPriority="99" w:name="Date" w:locked="1"/>
    <w:lsdException w:uiPriority="99" w:name="Body Text First Indent" w:locked="1"/>
    <w:lsdException w:uiPriority="99" w:name="Body Text First Indent 2" w:locked="1"/>
    <w:lsdException w:uiPriority="99" w:name="Note Heading" w:locked="1"/>
    <w:lsdException w:uiPriority="99" w:name="Body Text 2" w:locked="1"/>
    <w:lsdException w:uiPriority="99" w:name="Body Text 3" w:locked="1"/>
    <w:lsdException w:uiPriority="99" w:name="Body Text Indent 2" w:locked="1"/>
    <w:lsdException w:uiPriority="99" w:name="Body Text Indent 3" w:locked="1"/>
    <w:lsdException w:uiPriority="99" w:name="Block Text" w:locked="1"/>
    <w:lsdException w:uiPriority="99" w:name="Hyperlink" w:locked="1"/>
    <w:lsdException w:uiPriority="99" w:name="FollowedHyperlink" w:locked="1"/>
    <w:lsdException w:qFormat="1" w:unhideWhenUsed="0" w:uiPriority="22" w:semiHidden="0" w:name="Strong" w:locked="1"/>
    <w:lsdException w:qFormat="1" w:unhideWhenUsed="0" w:uiPriority="20" w:semiHidden="0" w:name="Emphasis" w:locked="1"/>
    <w:lsdException w:uiPriority="99" w:name="Document Map" w:locked="1"/>
    <w:lsdException w:uiPriority="99" w:name="Plain Text" w:locked="1"/>
    <w:lsdException w:uiPriority="99" w:name="E-mail Signature" w:locked="1"/>
    <w:lsdException w:uiPriority="99" w:name="Normal (Web)" w:locked="1"/>
    <w:lsdException w:uiPriority="99" w:name="HTML Acronym" w:locked="1"/>
    <w:lsdException w:uiPriority="99" w:name="HTML Address" w:locked="1"/>
    <w:lsdException w:uiPriority="99" w:name="HTML Cite" w:locked="1"/>
    <w:lsdException w:uiPriority="99" w:name="HTML Code" w:locked="1"/>
    <w:lsdException w:uiPriority="99" w:name="HTML Definition" w:locked="1"/>
    <w:lsdException w:uiPriority="99" w:name="HTML Keyboard" w:locked="1"/>
    <w:lsdException w:uiPriority="99" w:name="HTML Preformatted" w:locked="1"/>
    <w:lsdException w:uiPriority="99" w:name="HTML Sample" w:locked="1"/>
    <w:lsdException w:uiPriority="99" w:name="HTML Typewriter" w:locked="1"/>
    <w:lsdException w:uiPriority="99" w:name="HTML Variable" w:locked="1"/>
    <w:lsdException w:qFormat="1" w:uiPriority="99" w:name="Normal Table"/>
    <w:lsdException w:uiPriority="99" w:name="annotation subject" w:locked="1"/>
    <w:lsdException w:uiPriority="99" w:name="Table Simple 1" w:locked="1"/>
    <w:lsdException w:uiPriority="99" w:name="Table Simple 2" w:locked="1"/>
    <w:lsdException w:uiPriority="99" w:name="Table Simple 3" w:locked="1"/>
    <w:lsdException w:uiPriority="99" w:name="Table Classic 1" w:locked="1"/>
    <w:lsdException w:uiPriority="99" w:name="Table Classic 2" w:locked="1"/>
    <w:lsdException w:uiPriority="99" w:name="Table Classic 3" w:locked="1"/>
    <w:lsdException w:uiPriority="99" w:name="Table Classic 4" w:locked="1"/>
    <w:lsdException w:uiPriority="99" w:name="Table Colorful 1" w:locked="1"/>
    <w:lsdException w:uiPriority="99" w:name="Table Colorful 2" w:locked="1"/>
    <w:lsdException w:uiPriority="99" w:name="Table Colorful 3" w:locked="1"/>
    <w:lsdException w:uiPriority="99" w:name="Table Columns 1" w:locked="1"/>
    <w:lsdException w:uiPriority="99" w:name="Table Columns 2" w:locked="1"/>
    <w:lsdException w:uiPriority="99" w:name="Table Columns 3" w:locked="1"/>
    <w:lsdException w:uiPriority="99" w:name="Table Columns 4" w:locked="1"/>
    <w:lsdException w:uiPriority="99" w:name="Table Columns 5" w:locked="1"/>
    <w:lsdException w:uiPriority="99" w:name="Table Grid 1" w:locked="1"/>
    <w:lsdException w:uiPriority="99" w:name="Table Grid 2" w:locked="1"/>
    <w:lsdException w:uiPriority="99" w:name="Table Grid 3" w:locked="1"/>
    <w:lsdException w:uiPriority="99" w:name="Table Grid 4" w:locked="1"/>
    <w:lsdException w:uiPriority="99" w:name="Table Grid 5" w:locked="1"/>
    <w:lsdException w:uiPriority="99" w:name="Table Grid 6" w:locked="1"/>
    <w:lsdException w:uiPriority="99" w:name="Table Grid 7" w:locked="1"/>
    <w:lsdException w:uiPriority="99" w:name="Table Grid 8" w:locked="1"/>
    <w:lsdException w:uiPriority="99" w:name="Table List 1" w:locked="1"/>
    <w:lsdException w:uiPriority="99" w:name="Table List 2" w:locked="1"/>
    <w:lsdException w:uiPriority="99" w:name="Table List 3" w:locked="1"/>
    <w:lsdException w:uiPriority="99" w:name="Table List 4" w:locked="1"/>
    <w:lsdException w:uiPriority="99" w:name="Table List 5" w:locked="1"/>
    <w:lsdException w:uiPriority="99" w:name="Table List 6" w:locked="1"/>
    <w:lsdException w:uiPriority="99" w:name="Table List 7" w:locked="1"/>
    <w:lsdException w:uiPriority="99" w:name="Table List 8" w:locked="1"/>
    <w:lsdException w:uiPriority="99" w:name="Table 3D effects 1" w:locked="1"/>
    <w:lsdException w:uiPriority="99" w:name="Table 3D effects 2" w:locked="1"/>
    <w:lsdException w:uiPriority="99" w:name="Table 3D effects 3" w:locked="1"/>
    <w:lsdException w:uiPriority="99" w:name="Table Contemporary" w:locked="1"/>
    <w:lsdException w:uiPriority="99" w:name="Table Elegant" w:locked="1"/>
    <w:lsdException w:uiPriority="99" w:name="Table Professional" w:locked="1"/>
    <w:lsdException w:uiPriority="99" w:name="Table Subtle 1" w:locked="1"/>
    <w:lsdException w:uiPriority="99" w:name="Table Subtle 2" w:locked="1"/>
    <w:lsdException w:uiPriority="99" w:name="Table Web 1" w:locked="1"/>
    <w:lsdException w:uiPriority="99" w:name="Table Web 2" w:locked="1"/>
    <w:lsdException w:uiPriority="99" w:name="Table Web 3" w:locked="1"/>
    <w:lsdException w:qFormat="1" w:unhideWhenUsed="0" w:uiPriority="99" w:semiHidden="0" w:name="Balloon Text"/>
    <w:lsdException w:unhideWhenUsed="0" w:uiPriority="59" w:semiHidden="0" w:name="Table Grid" w:locked="1"/>
    <w:lsdException w:uiPriority="99" w:name="Table Theme" w:locked="1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4"/>
    <w:basedOn w:val="1"/>
    <w:next w:val="1"/>
    <w:unhideWhenUsed/>
    <w:qFormat/>
    <w:locked/>
    <w:uiPriority w:val="9"/>
    <w:pPr>
      <w:keepNext/>
      <w:keepLines/>
      <w:spacing w:before="280" w:beforeLines="0" w:beforeAutospacing="0" w:after="290" w:afterLines="0" w:afterAutospacing="0" w:line="372" w:lineRule="auto"/>
      <w:outlineLvl w:val="3"/>
    </w:pPr>
    <w:rPr>
      <w:rFonts w:ascii="Arial" w:hAnsi="Arial" w:eastAsia="黑体"/>
      <w:b/>
      <w:sz w:val="28"/>
    </w:rPr>
  </w:style>
  <w:style w:type="paragraph" w:styleId="3">
    <w:name w:val="heading 5"/>
    <w:basedOn w:val="1"/>
    <w:next w:val="1"/>
    <w:unhideWhenUsed/>
    <w:qFormat/>
    <w:locked/>
    <w:uiPriority w:val="9"/>
    <w:pPr>
      <w:keepNext/>
      <w:keepLines/>
      <w:spacing w:before="280" w:beforeLines="0" w:beforeAutospacing="0" w:after="290" w:afterLines="0" w:afterAutospacing="0" w:line="372" w:lineRule="auto"/>
      <w:outlineLvl w:val="4"/>
    </w:pPr>
    <w:rPr>
      <w:b/>
      <w:sz w:val="28"/>
    </w:rPr>
  </w:style>
  <w:style w:type="character" w:default="1" w:styleId="9">
    <w:name w:val="Default Paragraph Font"/>
    <w:semiHidden/>
    <w:qFormat/>
    <w:uiPriority w:val="99"/>
  </w:style>
  <w:style w:type="table" w:default="1" w:styleId="8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Body Text"/>
    <w:basedOn w:val="1"/>
    <w:link w:val="13"/>
    <w:qFormat/>
    <w:uiPriority w:val="99"/>
    <w:rPr>
      <w:rFonts w:eastAsia="仿宋_GB2312"/>
      <w:sz w:val="28"/>
    </w:rPr>
  </w:style>
  <w:style w:type="paragraph" w:styleId="5">
    <w:name w:val="Balloon Text"/>
    <w:basedOn w:val="1"/>
    <w:link w:val="10"/>
    <w:qFormat/>
    <w:uiPriority w:val="99"/>
    <w:rPr>
      <w:sz w:val="18"/>
      <w:szCs w:val="18"/>
    </w:rPr>
  </w:style>
  <w:style w:type="paragraph" w:styleId="6">
    <w:name w:val="footer"/>
    <w:basedOn w:val="1"/>
    <w:link w:val="1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7">
    <w:name w:val="header"/>
    <w:basedOn w:val="1"/>
    <w:link w:val="12"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10">
    <w:name w:val="Balloon Text Char"/>
    <w:basedOn w:val="9"/>
    <w:link w:val="5"/>
    <w:qFormat/>
    <w:locked/>
    <w:uiPriority w:val="99"/>
    <w:rPr>
      <w:rFonts w:cs="Times New Roman"/>
      <w:kern w:val="2"/>
      <w:sz w:val="18"/>
      <w:szCs w:val="18"/>
    </w:rPr>
  </w:style>
  <w:style w:type="character" w:customStyle="1" w:styleId="11">
    <w:name w:val="Footer Char"/>
    <w:basedOn w:val="9"/>
    <w:link w:val="6"/>
    <w:qFormat/>
    <w:locked/>
    <w:uiPriority w:val="99"/>
    <w:rPr>
      <w:rFonts w:cs="Times New Roman"/>
      <w:kern w:val="2"/>
      <w:sz w:val="18"/>
      <w:szCs w:val="18"/>
    </w:rPr>
  </w:style>
  <w:style w:type="character" w:customStyle="1" w:styleId="12">
    <w:name w:val="Header Char"/>
    <w:basedOn w:val="9"/>
    <w:link w:val="7"/>
    <w:qFormat/>
    <w:locked/>
    <w:uiPriority w:val="99"/>
    <w:rPr>
      <w:rFonts w:cs="Times New Roman"/>
      <w:kern w:val="2"/>
      <w:sz w:val="18"/>
      <w:szCs w:val="18"/>
    </w:rPr>
  </w:style>
  <w:style w:type="character" w:customStyle="1" w:styleId="13">
    <w:name w:val="Body Text Char"/>
    <w:basedOn w:val="9"/>
    <w:link w:val="4"/>
    <w:semiHidden/>
    <w:qFormat/>
    <w:locked/>
    <w:uiPriority w:val="99"/>
    <w:rPr>
      <w:rFonts w:cs="Times New Roman"/>
      <w:sz w:val="24"/>
      <w:szCs w:val="24"/>
    </w:rPr>
  </w:style>
  <w:style w:type="paragraph" w:customStyle="1" w:styleId="14">
    <w:name w:val="p16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2.emf"/><Relationship Id="rId5" Type="http://schemas.openxmlformats.org/officeDocument/2006/relationships/oleObject" Target="embeddings/oleObject1.bin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Company>微软中国</Company>
  <Pages>13</Pages>
  <Words>815</Words>
  <Characters>4646</Characters>
  <Lines>0</Lines>
  <Paragraphs>0</Paragraphs>
  <TotalTime>30</TotalTime>
  <ScaleCrop>false</ScaleCrop>
  <LinksUpToDate>false</LinksUpToDate>
  <CharactersWithSpaces>0</CharactersWithSpaces>
  <Application>WPS Office_11.1.0.9740_F1E327BC-269C-435d-A152-05C5408002CA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2017-07-05T00:41:00Z</dcterms:created>
  <dc:creator>微软用户</dc:creator>
  <cp:lastModifiedBy>Administrator</cp:lastModifiedBy>
  <cp:lastPrinted>2020-06-10T04:42:00Z</cp:lastPrinted>
  <dcterms:modified xsi:type="dcterms:W3CDTF">2020-06-17T08:42:21Z</dcterms:modified>
  <cp:revision>34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2052-11.1.0.9740</vt:lpwstr>
  </property>
</Properties>
</file>