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</w:p>
    <w:p>
      <w:pPr>
        <w:pStyle w:val="1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</w:p>
    <w:p>
      <w:pPr>
        <w:pStyle w:val="1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44"/>
          <w:szCs w:val="44"/>
        </w:rPr>
      </w:pPr>
      <w:r>
        <w:rPr>
          <w:rFonts w:hint="eastAsia"/>
          <w:b/>
          <w:bCs/>
          <w:color w:val="000000"/>
          <w:sz w:val="44"/>
          <w:szCs w:val="44"/>
        </w:rPr>
        <w:t>20</w:t>
      </w: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20</w:t>
      </w:r>
      <w:r>
        <w:rPr>
          <w:rFonts w:hint="eastAsia"/>
          <w:b/>
          <w:bCs/>
          <w:color w:val="000000"/>
          <w:sz w:val="44"/>
          <w:szCs w:val="44"/>
        </w:rPr>
        <w:t>年度</w:t>
      </w:r>
      <w:r>
        <w:rPr>
          <w:rFonts w:hint="eastAsia" w:asciiTheme="majorEastAsia" w:hAnsiTheme="majorEastAsia" w:eastAsiaTheme="majorEastAsia" w:cstheme="majorEastAsia"/>
          <w:b/>
          <w:sz w:val="44"/>
          <w:szCs w:val="44"/>
        </w:rPr>
        <w:t>西华县</w:t>
      </w:r>
    </w:p>
    <w:p>
      <w:pPr>
        <w:pStyle w:val="17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eastAsia="zh-CN"/>
        </w:rPr>
        <w:t>艾岗乡人民政府</w:t>
      </w:r>
      <w:r>
        <w:rPr>
          <w:rFonts w:hint="eastAsia"/>
          <w:b/>
          <w:bCs/>
          <w:color w:val="000000"/>
          <w:sz w:val="44"/>
          <w:szCs w:val="44"/>
        </w:rPr>
        <w:t>预算基本情况说明</w:t>
      </w: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center"/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  <w:t>二零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  <w:lang w:val="en-US" w:eastAsia="zh-CN"/>
        </w:rPr>
        <w:t>二零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  <w:t>年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  <w:lang w:val="en-US" w:eastAsia="zh-CN"/>
        </w:rPr>
        <w:t>六</w:t>
      </w: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  <w:t>月</w:t>
      </w: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640" w:firstLineChars="200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center"/>
        <w:rPr>
          <w:rFonts w:hint="eastAsia" w:ascii="微软雅黑" w:hAnsi="微软雅黑" w:eastAsia="微软雅黑" w:cs="微软雅黑"/>
          <w:sz w:val="44"/>
          <w:szCs w:val="44"/>
        </w:rPr>
      </w:pPr>
      <w:r>
        <w:rPr>
          <w:rFonts w:hint="eastAsia" w:ascii="微软雅黑" w:hAnsi="微软雅黑" w:eastAsia="微软雅黑" w:cs="微软雅黑"/>
          <w:sz w:val="44"/>
          <w:szCs w:val="44"/>
        </w:rPr>
        <w:t>目</w:t>
      </w:r>
      <w:r>
        <w:rPr>
          <w:rFonts w:hint="eastAsia" w:ascii="微软雅黑" w:hAnsi="微软雅黑" w:eastAsia="微软雅黑" w:cs="微软雅黑"/>
          <w:sz w:val="44"/>
          <w:szCs w:val="44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sz w:val="44"/>
          <w:szCs w:val="44"/>
        </w:rPr>
        <w:t>录</w:t>
      </w:r>
    </w:p>
    <w:p>
      <w:pPr>
        <w:widowControl/>
        <w:spacing w:line="315" w:lineRule="atLeast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 xml:space="preserve">第一部分  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西华县艾岗乡人民政府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概况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一、主要职责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二、部门预算单位构成</w:t>
      </w:r>
    </w:p>
    <w:p>
      <w:pPr>
        <w:widowControl/>
        <w:spacing w:line="315" w:lineRule="atLeast"/>
        <w:ind w:left="1600" w:hanging="1600" w:hangingChars="5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 xml:space="preserve">第二部分  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西华县艾岗乡人民政府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年度部门预算情况说明</w:t>
      </w:r>
    </w:p>
    <w:p>
      <w:pPr>
        <w:widowControl/>
        <w:spacing w:line="315" w:lineRule="atLeast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第三部分  名词解释</w:t>
      </w:r>
    </w:p>
    <w:p>
      <w:pPr>
        <w:widowControl/>
        <w:spacing w:line="315" w:lineRule="atLeast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附件：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西华县艾岗乡人民政府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年度部门预算表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一、部门收支总表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二、部门收入总表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三、部门支出总表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四、财政拨款收支总表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五、一般公共预算支出表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六、一般公共预算基本支出表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七、一般公共预算“三公”经费支出表</w:t>
      </w:r>
    </w:p>
    <w:p>
      <w:pPr>
        <w:widowControl/>
        <w:spacing w:line="315" w:lineRule="atLeast"/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八、政府性基金预算支出表</w:t>
      </w:r>
    </w:p>
    <w:p>
      <w:pPr>
        <w:widowControl/>
        <w:spacing w:line="315" w:lineRule="atLeas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widowControl/>
        <w:spacing w:line="315" w:lineRule="atLeast"/>
        <w:ind w:firstLine="640" w:firstLineChars="200"/>
        <w:jc w:val="left"/>
        <w:rPr>
          <w:rFonts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义启简黑体" w:hAnsi="义启简黑体" w:eastAsia="义启简黑体" w:cs="义启简黑体"/>
          <w:sz w:val="44"/>
          <w:szCs w:val="44"/>
          <w:lang w:val="en-US" w:eastAsia="zh-CN"/>
        </w:rPr>
      </w:pPr>
      <w:r>
        <w:rPr>
          <w:rFonts w:hint="eastAsia" w:ascii="义启简黑体" w:hAnsi="义启简黑体" w:eastAsia="义启简黑体" w:cs="义启简黑体"/>
          <w:sz w:val="44"/>
          <w:szCs w:val="44"/>
        </w:rPr>
        <w:t>第一部分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义启简黑体" w:hAnsi="义启简黑体" w:eastAsia="义启简黑体" w:cs="义启简黑体"/>
          <w:sz w:val="44"/>
          <w:szCs w:val="44"/>
        </w:rPr>
      </w:pPr>
      <w:r>
        <w:rPr>
          <w:rFonts w:hint="eastAsia" w:ascii="义启简黑体" w:hAnsi="义启简黑体" w:eastAsia="义启简黑体" w:cs="义启简黑体"/>
          <w:sz w:val="44"/>
          <w:szCs w:val="44"/>
          <w:lang w:eastAsia="zh-CN"/>
        </w:rPr>
        <w:t>艾岗乡人民政府</w:t>
      </w:r>
      <w:r>
        <w:rPr>
          <w:rFonts w:hint="eastAsia" w:ascii="义启简黑体" w:hAnsi="义启简黑体" w:eastAsia="义启简黑体" w:cs="义启简黑体"/>
          <w:sz w:val="44"/>
          <w:szCs w:val="44"/>
        </w:rPr>
        <w:t>概况</w:t>
      </w:r>
    </w:p>
    <w:p>
      <w:pPr>
        <w:widowControl/>
        <w:spacing w:line="315" w:lineRule="atLeast"/>
        <w:ind w:firstLine="880" w:firstLineChars="200"/>
        <w:jc w:val="center"/>
        <w:rPr>
          <w:rFonts w:hint="eastAsia" w:ascii="义启简黑体" w:hAnsi="义启简黑体" w:eastAsia="义启简黑体" w:cs="义启简黑体"/>
          <w:sz w:val="44"/>
          <w:szCs w:val="44"/>
        </w:rPr>
      </w:pPr>
    </w:p>
    <w:p>
      <w:pPr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艾岗乡位于西华县西北部，政府所在地距县城22公里, 总面积56平方公里。东与红花镇接壤，西与鄢陵县陶城乡为邻，北与扶沟县固城乡相连，与逍遥镇、西夏镇隔河相望，并与黄桥乡毗邻，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乡政府办公地点设在艾岗村，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辖22个行政村,46个自然村, 119个村民小组，总人口4.3万人, 耕地面积6.06万亩。</w:t>
      </w:r>
    </w:p>
    <w:p>
      <w:pPr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艾岗乡地处黄河冲积平原，地势平坦，颖河、清流河纵贯西南部，土质肥沃。近年来，艾岗乡党委、政府深入贯彻落实科学发展观，奋力拼搏、勇于进取，大力发展特色经济，努力打造全国闻名的优质小麦生产基地，已是远近闻名的“小辣椒之乡”“的哥之乡”“科教之乡”。其中，全乡小辣椒种植面积稳定在4.5万亩以上，每亩收入在4000元以上，年收入可达2亿元；“的哥”队伍现扩大到近9200多人，遍布在杭州、厦门、广州等各大城市，每年收入达6亿元以上，成为群众增收的重要途径之一。艾岗乡历来有尊师重教的传统，教学条件不断改善，教学质量持续提升，使艾岗教育连续1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4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年保持全县教育教学综合考评第一名。</w:t>
      </w:r>
    </w:p>
    <w:p>
      <w:pPr>
        <w:ind w:firstLine="640" w:firstLineChars="200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艾岗乡具有光荣的革命历史，以陵头岗为中心的“三岗”革命根据地是西华县乃至整个豫东地区抗日斗争的先驱和中坚力量，为抗战期间中原抗日根据地之一，也是“豫东特委”所在地，是当时鄂、豫、皖边界15个县、市抗日斗争的指挥中心。为抗日战争取得最后胜利做出了重大贡献。为纪念革命先烈与“三岗”人民的伟大业绩，1953年河南省人民政府批准并拨专款在陵头岗行政村重建“普理学校”，1956年在普理学校校园中心建立“三岗革命根据地纪念塔”一座，高5米，五棱，冲天锥形，其南面碑文是：“为革命事业的胜利英勇牺牲的英雄们千古不朽”。1963年元月，中共西华县委迁葬胡晓初烈士遗骨于普理学校院内，并建造烈士墓和纪念碑，保存至今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一、艾岗乡人民政府的主要职责：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（一）执行本级人民代表大会的决议和上级国家行政机关的决定和命令，发布决定和命令。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（二）执行本行政区域内的经济和社会发展计划，加强公共设施的建设和管理，发展各项服务事业。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（三）依法管理本级财政、执行本级预算。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（四）为农民提供有效的科技、教育、文化、信息、卫生、体育、医疗、人才开发、劳动就业、安全生产等方面的服务。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（五）保护国有资产和集体所有的财产，保护公民私人所有的合法财产、保障公民的人身权利、民主权利和其他权利，保护各种组织的合法权益。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（六）开展社会主义民主与法制教育，加强社会治安</w: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instrText xml:space="preserve"> HYPERLINK "http://www.baidu.com/s?wd=%E7%BB%BC%E5%90%88%E6%B2%BB%E7%90%86&amp;tn=SE_PcZhidaonwhc_ngpagmjz&amp;rsv_dl=gh_pc_zhidao" \t "https://zhidao.baidu.com/question/_blank" </w:instrTex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综合治理</w: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，调解</w: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instrText xml:space="preserve"> HYPERLINK "http://www.baidu.com/s?wd=%E6%B0%91%E4%BA%8B%E7%BA%A0%E7%BA%B7&amp;tn=SE_PcZhidaonwhc_ngpagmjz&amp;rsv_dl=gh_pc_zhidao" \t "https://zhidao.baidu.com/question/_blank" </w:instrTex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民事纠纷</w: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，维护社会秩序。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（七）推行计划生育，控制人口增长，保护妇女、儿童和老人的合法权益。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（八）负责民政工作，发展社会福利事业，做好社会保障工作，办理兵役事项。</w:t>
      </w:r>
    </w:p>
    <w:p>
      <w:pPr>
        <w:pStyle w:val="5"/>
        <w:keepNext w:val="0"/>
        <w:keepLines w:val="0"/>
        <w:widowControl/>
        <w:suppressLineNumbers w:val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（九）承办上级人民政府交办的其他事项。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二、艾岗乡人民政府单位构成</w:t>
      </w:r>
    </w:p>
    <w:p>
      <w:pPr>
        <w:pStyle w:val="2"/>
        <w:kinsoku w:val="0"/>
        <w:overflowPunct w:val="0"/>
        <w:snapToGrid w:val="0"/>
        <w:spacing w:line="360" w:lineRule="auto"/>
        <w:ind w:left="121" w:right="118" w:firstLine="640" w:firstLineChars="200"/>
        <w:rPr>
          <w:rFonts w:hint="default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1.艾岗乡人民政府行政机构设置7个：党政办公室，党建办公室，经济建设办公室，社会事务办公室，应急管理办公室，“三农”工作办公室，文化旅游工作办公室。事业机构设置4个：党政综合便民服务中心，社会治安综合治理中心，综合行政执法队，退役军人服务站。</w:t>
      </w:r>
    </w:p>
    <w:p>
      <w:pPr>
        <w:pStyle w:val="2"/>
        <w:kinsoku w:val="0"/>
        <w:overflowPunct w:val="0"/>
        <w:snapToGrid w:val="0"/>
        <w:spacing w:line="360" w:lineRule="auto"/>
        <w:ind w:left="0"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2.人员构成情况</w:t>
      </w:r>
    </w:p>
    <w:p>
      <w:pPr>
        <w:pStyle w:val="2"/>
        <w:kinsoku w:val="0"/>
        <w:overflowPunct w:val="0"/>
        <w:snapToGrid w:val="0"/>
        <w:spacing w:line="360" w:lineRule="auto"/>
        <w:ind w:left="0"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艾岗乡人民政府有编制 63人，其中：行政编制 27人，事业编制 36人。目前，本单位在职人员 63 人，退休人员 53人。</w:t>
      </w:r>
    </w:p>
    <w:p>
      <w:pPr>
        <w:pStyle w:val="2"/>
        <w:kinsoku w:val="0"/>
        <w:overflowPunct w:val="0"/>
        <w:snapToGrid w:val="0"/>
        <w:spacing w:line="360" w:lineRule="auto"/>
        <w:ind w:left="0"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</w:p>
    <w:p>
      <w:pPr>
        <w:widowControl/>
        <w:spacing w:line="315" w:lineRule="atLeast"/>
        <w:jc w:val="center"/>
        <w:rPr>
          <w:rFonts w:hint="eastAsia" w:ascii="义启简黑体" w:hAnsi="义启简黑体" w:eastAsia="义启简黑体" w:cs="义启简黑体"/>
          <w:kern w:val="0"/>
          <w:sz w:val="44"/>
          <w:szCs w:val="44"/>
        </w:rPr>
      </w:pPr>
      <w:r>
        <w:rPr>
          <w:rFonts w:hint="eastAsia" w:ascii="义启简黑体" w:hAnsi="义启简黑体" w:eastAsia="义启简黑体" w:cs="义启简黑体"/>
          <w:kern w:val="0"/>
          <w:sz w:val="44"/>
          <w:szCs w:val="44"/>
        </w:rPr>
        <w:t>第二部分</w:t>
      </w:r>
    </w:p>
    <w:p>
      <w:pPr>
        <w:widowControl/>
        <w:spacing w:line="315" w:lineRule="atLeast"/>
        <w:jc w:val="center"/>
        <w:rPr>
          <w:rFonts w:hint="eastAsia" w:ascii="义启简黑体" w:hAnsi="义启简黑体" w:eastAsia="义启简黑体" w:cs="义启简黑体"/>
          <w:kern w:val="0"/>
          <w:sz w:val="44"/>
          <w:szCs w:val="44"/>
        </w:rPr>
      </w:pPr>
      <w:r>
        <w:rPr>
          <w:rFonts w:hint="eastAsia" w:ascii="义启简黑体" w:hAnsi="义启简黑体" w:eastAsia="义启简黑体" w:cs="义启简黑体"/>
          <w:kern w:val="0"/>
          <w:sz w:val="44"/>
          <w:szCs w:val="44"/>
        </w:rPr>
        <w:t>西华县</w:t>
      </w:r>
      <w:r>
        <w:rPr>
          <w:rFonts w:hint="eastAsia" w:ascii="义启简黑体" w:hAnsi="义启简黑体" w:eastAsia="义启简黑体" w:cs="义启简黑体"/>
          <w:kern w:val="0"/>
          <w:sz w:val="44"/>
          <w:szCs w:val="44"/>
          <w:lang w:eastAsia="zh-CN"/>
        </w:rPr>
        <w:t>艾岗乡</w:t>
      </w:r>
      <w:r>
        <w:rPr>
          <w:rFonts w:hint="eastAsia" w:ascii="义启简黑体" w:hAnsi="义启简黑体" w:eastAsia="义启简黑体" w:cs="义启简黑体"/>
          <w:kern w:val="0"/>
          <w:sz w:val="44"/>
          <w:szCs w:val="44"/>
        </w:rPr>
        <w:t>20</w:t>
      </w:r>
      <w:r>
        <w:rPr>
          <w:rFonts w:hint="eastAsia" w:ascii="义启简黑体" w:hAnsi="义启简黑体" w:eastAsia="义启简黑体" w:cs="义启简黑体"/>
          <w:kern w:val="0"/>
          <w:sz w:val="44"/>
          <w:szCs w:val="44"/>
          <w:lang w:val="en-US" w:eastAsia="zh-CN"/>
        </w:rPr>
        <w:t>20</w:t>
      </w:r>
      <w:r>
        <w:rPr>
          <w:rFonts w:hint="eastAsia" w:ascii="义启简黑体" w:hAnsi="义启简黑体" w:eastAsia="义启简黑体" w:cs="义启简黑体"/>
          <w:kern w:val="0"/>
          <w:sz w:val="44"/>
          <w:szCs w:val="44"/>
        </w:rPr>
        <w:t>年度部门预算情况说明</w:t>
      </w:r>
    </w:p>
    <w:p>
      <w:pPr>
        <w:widowControl/>
        <w:spacing w:line="315" w:lineRule="atLeast"/>
        <w:jc w:val="center"/>
        <w:rPr>
          <w:rFonts w:hint="eastAsia" w:ascii="义启简黑体" w:hAnsi="义启简黑体" w:eastAsia="义启简黑体" w:cs="义启简黑体"/>
          <w:kern w:val="0"/>
          <w:sz w:val="44"/>
          <w:szCs w:val="44"/>
        </w:rPr>
      </w:pP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艾岗乡人民政府2020年收入总计1486.3万元，支出总计1486.3万元，与2019年相比，收、支总计各减少642.82万元，减少14.32%。主要原因：减少扶贫项目支出。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二、收入预算总体情况说明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艾岗乡人民政府2020年收入合计1486.3万元，其中：一般公共预算拨款1337.1万元（财政拨款1337.1万元，其他一般公共预算收入0万元）占89.97%;政府性基金预算拨款149.2万元占10.03%。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三、支出预算总体情况说明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艾岗乡人民政府2020年支出合计1486.3万元，其中：工资支出424.72万元，占28.57%；对个人和家庭的补助：541.64万元，占36.44%；商品和服务支出170.75万元，占11.48%，项目支出349.2万元占23.49%。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四、预算收支增减变化情况说明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艾岗乡人民政府2020年一般公共预算收支预算1486.3万元。与2019年相比，一般公共预算收支预算减少642.82万元，减少14.32%。主要原因：减少扶贫项目支出等。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五、一般公共预算支出预算情况说明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艾岗乡人民政府2019年一般公共预算支出年初预算为1486.3万元。主要用于以下方面：个人部分424.72万元；商品和服务支出170.75万元。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六、一般公共预算基本支出预算情况说明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2020年一般公共预算基本支出1337.1万元，其中：人员经费424.72万元，主要包括：基本工资、津贴补贴、奖金、社会保障缴费、伙食补助费、绩效工资、其他工资福利支出、离休费、退休费、退职（役）费、抚恤金、生活补助、 医疗费、助学金、奖励金、住房公积金、提租补贴、购房补贴、其他对个人和家庭的补助支出；公用经费170.75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 行维护费、其他交通费用、税金及附加费用、其他商品和服务支出、办公设备购置、专用设备购置、大型修缮、信息网络及软件购置更新、其他资本性支出。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七、政府性基金预算支出决算情况说明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艾岗乡人民政府2020年使用政府性基金预算拨款安排的支出149.2万元。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八、 “三公”经费支出预算情况说明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艾岗乡人民政府2020年“三公”经费预算为3.18万元。2020年“三公”经费支出预算比2019年减少1.05万元。</w:t>
      </w:r>
    </w:p>
    <w:p>
      <w:pPr>
        <w:widowControl/>
        <w:spacing w:line="560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具体支出情况如下：</w:t>
      </w:r>
    </w:p>
    <w:p>
      <w:pPr>
        <w:widowControl/>
        <w:numPr>
          <w:ilvl w:val="0"/>
          <w:numId w:val="1"/>
        </w:numPr>
        <w:spacing w:line="315" w:lineRule="atLeast"/>
        <w:ind w:firstLine="638"/>
        <w:jc w:val="left"/>
        <w:rPr>
          <w:rFonts w:hint="eastAsia" w:ascii="方正楷体_GB2312" w:hAnsi="方正楷体_GB2312" w:eastAsia="方正楷体_GB2312" w:cs="方正楷体_GB2312"/>
          <w:spacing w:val="-1"/>
          <w:kern w:val="0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spacing w:val="-1"/>
          <w:kern w:val="0"/>
          <w:sz w:val="32"/>
          <w:szCs w:val="32"/>
        </w:rPr>
        <w:t>因公出国（境）费</w:t>
      </w:r>
      <w:r>
        <w:rPr>
          <w:rFonts w:hint="eastAsia" w:ascii="方正楷体_GB2312" w:hAnsi="方正楷体_GB2312" w:eastAsia="方正楷体_GB2312" w:cs="方正楷体_GB2312"/>
          <w:kern w:val="0"/>
          <w:sz w:val="32"/>
          <w:szCs w:val="32"/>
        </w:rPr>
        <w:t>0</w:t>
      </w:r>
      <w:r>
        <w:rPr>
          <w:rFonts w:hint="eastAsia" w:ascii="方正楷体_GB2312" w:hAnsi="方正楷体_GB2312" w:eastAsia="方正楷体_GB2312" w:cs="方正楷体_GB2312"/>
          <w:spacing w:val="-1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 xml:space="preserve">    （</w:t>
      </w:r>
      <w:r>
        <w:rPr>
          <w:rFonts w:hint="eastAsia" w:ascii="方正楷体_GB2312" w:hAnsi="方正楷体_GB2312" w:eastAsia="方正楷体_GB2312" w:cs="方正楷体_GB2312"/>
          <w:b/>
          <w:bCs/>
          <w:spacing w:val="-1"/>
          <w:kern w:val="0"/>
          <w:sz w:val="32"/>
          <w:szCs w:val="32"/>
        </w:rPr>
        <w:t>二）公务用车购置及运行费1.8万元</w:t>
      </w:r>
      <w:r>
        <w:rPr>
          <w:rFonts w:hint="eastAsia" w:ascii="方正楷体_GB2312" w:hAnsi="方正楷体_GB2312" w:eastAsia="方正楷体_GB2312" w:cs="方正楷体_GB2312"/>
          <w:b/>
          <w:bCs/>
          <w:spacing w:val="-1"/>
          <w:kern w:val="0"/>
          <w:sz w:val="32"/>
          <w:szCs w:val="32"/>
          <w:lang w:eastAsia="zh-CN"/>
        </w:rPr>
        <w:t>。</w: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其中，公务用车运行维护费1.8万元，主要用于开展工作所需公务用车的燃料费、维修费、过路过桥费、保险费等支出。公务用车运行维护费预算数比2019没有增加和减少。</w:t>
      </w:r>
    </w:p>
    <w:p>
      <w:pPr>
        <w:widowControl/>
        <w:spacing w:line="315" w:lineRule="atLeast"/>
        <w:ind w:firstLine="638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方正楷体_GB2312" w:hAnsi="方正楷体_GB2312" w:eastAsia="方正楷体_GB2312" w:cs="方正楷体_GB2312"/>
          <w:b/>
          <w:bCs/>
          <w:spacing w:val="-1"/>
          <w:kern w:val="0"/>
          <w:sz w:val="32"/>
          <w:szCs w:val="32"/>
        </w:rPr>
        <w:t>（三）公务接待费2万元</w:t>
      </w:r>
      <w:r>
        <w:rPr>
          <w:rFonts w:hint="eastAsia" w:ascii="方正楷体_GB2312" w:hAnsi="方正楷体_GB2312" w:eastAsia="方正楷体_GB2312" w:cs="方正楷体_GB2312"/>
          <w:b/>
          <w:bCs/>
          <w:spacing w:val="-1"/>
          <w:kern w:val="0"/>
          <w:sz w:val="32"/>
          <w:szCs w:val="32"/>
          <w:lang w:eastAsia="zh-CN"/>
        </w:rPr>
        <w:t>。</w:t>
      </w: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主要用于按规定开支的各类公务接待（含外商接待）支出。预算数比2019年减少0.43万元。主要原因：按规定逐年递减。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九、机关运行经费安排情况说明</w:t>
      </w:r>
    </w:p>
    <w:p>
      <w:pPr>
        <w:widowControl/>
        <w:spacing w:line="315" w:lineRule="atLeast"/>
        <w:ind w:firstLine="638"/>
        <w:jc w:val="left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艾岗乡人民政府2019年本级运行经费支出预算170.75万元，主要保障正常运转及正常履职需要。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十、政府采购安排情况说明</w:t>
      </w:r>
    </w:p>
    <w:p>
      <w:pPr>
        <w:pStyle w:val="18"/>
        <w:spacing w:before="0" w:beforeAutospacing="0" w:after="0" w:afterAutospacing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2020年政府采购预算安排0万元。截止2019年底，艾岗乡人民政府有固定资产350.95万元、主要包括车辆、通用设备、办公家具等。</w:t>
      </w:r>
    </w:p>
    <w:p>
      <w:pPr>
        <w:widowControl/>
        <w:spacing w:line="315" w:lineRule="atLeast"/>
        <w:ind w:firstLine="640"/>
        <w:jc w:val="left"/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</w:pPr>
      <w:r>
        <w:rPr>
          <w:rFonts w:hint="eastAsia" w:ascii="义启简黑体" w:hAnsi="义启简黑体" w:eastAsia="义启简黑体" w:cs="义启简黑体"/>
          <w:kern w:val="2"/>
          <w:sz w:val="32"/>
          <w:szCs w:val="32"/>
          <w:lang w:val="en-US" w:eastAsia="zh-CN" w:bidi="ar-SA"/>
        </w:rPr>
        <w:t>十一、国有资产占用情况。</w:t>
      </w:r>
    </w:p>
    <w:p>
      <w:pPr>
        <w:pStyle w:val="18"/>
        <w:spacing w:before="0" w:beforeAutospacing="0" w:after="0" w:afterAutospacing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艾岗乡人民政府单价50万元以上的通用设备0台，单价100万元以上的通用设备0台。</w:t>
      </w:r>
    </w:p>
    <w:p>
      <w:pPr>
        <w:pStyle w:val="18"/>
        <w:spacing w:before="0" w:beforeAutospacing="0" w:after="0" w:afterAutospacing="0"/>
        <w:ind w:firstLine="643" w:firstLineChars="200"/>
        <w:rPr>
          <w:rFonts w:hint="eastAsia" w:ascii="仿宋" w:eastAsia="仿宋"/>
          <w:b/>
          <w:sz w:val="32"/>
          <w:szCs w:val="32"/>
        </w:rPr>
      </w:pPr>
      <w:r>
        <w:rPr>
          <w:rFonts w:hint="eastAsia" w:ascii="仿宋" w:eastAsia="仿宋"/>
          <w:b/>
          <w:sz w:val="32"/>
          <w:szCs w:val="32"/>
        </w:rPr>
        <w:t>十二、关于预算绩效情况说明</w:t>
      </w:r>
    </w:p>
    <w:p>
      <w:pPr>
        <w:pStyle w:val="18"/>
        <w:spacing w:before="0" w:beforeAutospacing="0" w:after="0" w:afterAutospacing="0"/>
        <w:ind w:firstLine="640" w:firstLineChars="200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 w:bidi="ar-SA"/>
        </w:rPr>
        <w:t>本单位2020年重点项目预算安排资金349.2万元，主要用于革命老区修路项目和扶贫开发项目支出。</w:t>
      </w:r>
    </w:p>
    <w:p>
      <w:pPr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>
      <w:pPr>
        <w:pStyle w:val="1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auto"/>
        <w:rPr>
          <w:rFonts w:hint="eastAsia" w:ascii="义启简黑体" w:hAnsi="义启简黑体" w:eastAsia="义启简黑体" w:cs="义启简黑体"/>
          <w:b/>
          <w:sz w:val="44"/>
          <w:szCs w:val="44"/>
        </w:rPr>
      </w:pPr>
      <w:r>
        <w:rPr>
          <w:rFonts w:hint="eastAsia" w:ascii="义启简黑体" w:hAnsi="义启简黑体" w:eastAsia="义启简黑体" w:cs="义启简黑体"/>
          <w:b/>
          <w:sz w:val="44"/>
          <w:szCs w:val="44"/>
        </w:rPr>
        <w:t>第三部分</w:t>
      </w:r>
    </w:p>
    <w:p>
      <w:pPr>
        <w:pStyle w:val="1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auto"/>
        <w:rPr>
          <w:rFonts w:hint="eastAsia" w:ascii="义启简黑体" w:hAnsi="义启简黑体" w:eastAsia="义启简黑体" w:cs="义启简黑体"/>
          <w:b/>
          <w:sz w:val="44"/>
          <w:szCs w:val="44"/>
        </w:rPr>
      </w:pPr>
      <w:r>
        <w:rPr>
          <w:rFonts w:hint="eastAsia" w:ascii="义启简黑体" w:hAnsi="义启简黑体" w:eastAsia="义启简黑体" w:cs="义启简黑体"/>
          <w:b/>
          <w:sz w:val="44"/>
          <w:szCs w:val="44"/>
        </w:rPr>
        <w:t>名词解释</w:t>
      </w:r>
    </w:p>
    <w:p>
      <w:pPr>
        <w:pStyle w:val="1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auto"/>
        <w:rPr>
          <w:rFonts w:hint="eastAsia" w:ascii="义启简黑体" w:hAnsi="义启简黑体" w:eastAsia="义启简黑体" w:cs="义启简黑体"/>
          <w:b/>
          <w:sz w:val="44"/>
          <w:szCs w:val="44"/>
        </w:rPr>
      </w:pP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24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一、财政拨款收入：是指</w:t>
      </w:r>
      <w:r>
        <w:rPr>
          <w:rFonts w:hint="eastAsia" w:ascii="方正仿宋简体" w:hAnsi="方正仿宋简体" w:eastAsia="方正仿宋简体" w:cs="方正仿宋简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省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级财政当年拨付的资金。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24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二、事业收入：是指事业单位开展专业活动及辅助活动所取得的收入。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24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三、其他收入：是指部门取得的除“财政拨款”、“事业收入”、“事业单位经营收入”等以外的收入。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24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24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五、基本支出：是指为保障机构正常运转、完成日常工作任务所必需的开支，其内容包括人员经费和日常公用经费两部分。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24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六、项目支出：是指在基本支出之外，为完成特定的行政工作任务或事业发展目标所发生的支出。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24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七、“三公”经费：是指纳入</w:t>
      </w:r>
      <w:r>
        <w:rPr>
          <w:rFonts w:hint="eastAsia" w:ascii="方正仿宋简体" w:hAnsi="方正仿宋简体" w:eastAsia="方正仿宋简体" w:cs="方正仿宋简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省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widowControl/>
        <w:spacing w:line="315" w:lineRule="atLeast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bookmarkStart w:id="0" w:name="_GoBack"/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object>
          <v:shape id="_x0000_i1025" o:spt="75" type="#_x0000_t75" style="height:57.9pt;width:63.8pt;" o:ole="t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Excel.Sheet.12" ShapeID="_x0000_i1025" DrawAspect="Icon" ObjectID="_1468075725" r:id="rId4">
            <o:LockedField>false</o:LockedField>
          </o:OLEObject>
        </w:object>
      </w:r>
      <w:bookmarkEnd w:id="0"/>
    </w:p>
    <w:p>
      <w:pPr>
        <w:widowControl/>
        <w:spacing w:line="315" w:lineRule="atLeast"/>
        <w:ind w:firstLine="640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附件：西华县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eastAsia="zh-CN"/>
        </w:rPr>
        <w:t>艾岗乡人民政府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20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lang w:val="en-US" w:eastAsia="zh-CN"/>
        </w:rPr>
        <w:t>20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年度部门预算表</w:t>
      </w:r>
    </w:p>
    <w:p>
      <w:pPr>
        <w:widowControl/>
        <w:spacing w:line="315" w:lineRule="atLeast"/>
        <w:ind w:firstLine="640"/>
        <w:jc w:val="left"/>
        <w:rPr>
          <w:rFonts w:hint="eastAsia" w:ascii="仿宋" w:hAnsi="宋体" w:eastAsia="仿宋" w:cs="宋体"/>
          <w:kern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21BC65D-910C-4985-A45F-85BE0C1AE3B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简体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2" w:fontKey="{10AD1934-C490-4AE7-92FA-EFCC3643FAE2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3" w:fontKey="{90722CB0-9268-4371-B56E-0EE780D052E1}"/>
  </w:font>
  <w:font w:name="义启简黑体">
    <w:panose1 w:val="02000000000000000000"/>
    <w:charset w:val="80"/>
    <w:family w:val="auto"/>
    <w:pitch w:val="default"/>
    <w:sig w:usb0="00000000" w:usb1="00000000" w:usb2="00000000" w:usb3="00000000" w:csb0="00000000" w:csb1="00000000"/>
    <w:embedRegular r:id="rId4" w:fontKey="{85463495-2976-48B2-B399-A70682C9F9CB}"/>
  </w:font>
  <w:font w:name="方正楷体_GB2312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5" w:fontKey="{B4FD2F72-4A9A-422A-8526-7ADDF5A18C2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52F893F9-C053-4AA8-BABF-D5B99AAB2C1F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5EE820"/>
    <w:multiLevelType w:val="singleLevel"/>
    <w:tmpl w:val="595EE820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66C"/>
    <w:rsid w:val="00010DC1"/>
    <w:rsid w:val="00026918"/>
    <w:rsid w:val="00052EA0"/>
    <w:rsid w:val="0009391C"/>
    <w:rsid w:val="0010205E"/>
    <w:rsid w:val="00111793"/>
    <w:rsid w:val="0018259B"/>
    <w:rsid w:val="001A7F92"/>
    <w:rsid w:val="001D17F6"/>
    <w:rsid w:val="001E7EAA"/>
    <w:rsid w:val="0022347F"/>
    <w:rsid w:val="00244B6F"/>
    <w:rsid w:val="002931A6"/>
    <w:rsid w:val="00295F19"/>
    <w:rsid w:val="002D602A"/>
    <w:rsid w:val="002E3024"/>
    <w:rsid w:val="002F1F16"/>
    <w:rsid w:val="00353BD6"/>
    <w:rsid w:val="00383EB1"/>
    <w:rsid w:val="003E26A6"/>
    <w:rsid w:val="003F70FB"/>
    <w:rsid w:val="00424125"/>
    <w:rsid w:val="00426A94"/>
    <w:rsid w:val="00432B34"/>
    <w:rsid w:val="00451C3F"/>
    <w:rsid w:val="004B76D3"/>
    <w:rsid w:val="004C63C4"/>
    <w:rsid w:val="00553B56"/>
    <w:rsid w:val="005A09F2"/>
    <w:rsid w:val="005E3556"/>
    <w:rsid w:val="0063459A"/>
    <w:rsid w:val="006B7612"/>
    <w:rsid w:val="006C2A2C"/>
    <w:rsid w:val="006D2A5D"/>
    <w:rsid w:val="00710450"/>
    <w:rsid w:val="0076196A"/>
    <w:rsid w:val="00765313"/>
    <w:rsid w:val="007733AF"/>
    <w:rsid w:val="007A116A"/>
    <w:rsid w:val="007D6568"/>
    <w:rsid w:val="007E7866"/>
    <w:rsid w:val="008471C8"/>
    <w:rsid w:val="008556EA"/>
    <w:rsid w:val="008C5D74"/>
    <w:rsid w:val="008F0D67"/>
    <w:rsid w:val="008F5B20"/>
    <w:rsid w:val="00925AE1"/>
    <w:rsid w:val="009270AD"/>
    <w:rsid w:val="00966237"/>
    <w:rsid w:val="00971029"/>
    <w:rsid w:val="00993E99"/>
    <w:rsid w:val="009977C7"/>
    <w:rsid w:val="009D756D"/>
    <w:rsid w:val="00A37282"/>
    <w:rsid w:val="00A42918"/>
    <w:rsid w:val="00A57029"/>
    <w:rsid w:val="00A82A52"/>
    <w:rsid w:val="00B119AE"/>
    <w:rsid w:val="00B36B7A"/>
    <w:rsid w:val="00B45D81"/>
    <w:rsid w:val="00B54AB8"/>
    <w:rsid w:val="00BB4E21"/>
    <w:rsid w:val="00BC244E"/>
    <w:rsid w:val="00BC6222"/>
    <w:rsid w:val="00BE0496"/>
    <w:rsid w:val="00C444A9"/>
    <w:rsid w:val="00C5311F"/>
    <w:rsid w:val="00C74381"/>
    <w:rsid w:val="00C763DD"/>
    <w:rsid w:val="00C80AD5"/>
    <w:rsid w:val="00CA58EA"/>
    <w:rsid w:val="00CA65B7"/>
    <w:rsid w:val="00CB072E"/>
    <w:rsid w:val="00CE5135"/>
    <w:rsid w:val="00CF6C41"/>
    <w:rsid w:val="00D34BFE"/>
    <w:rsid w:val="00D52E1C"/>
    <w:rsid w:val="00D616D9"/>
    <w:rsid w:val="00D7566C"/>
    <w:rsid w:val="00D90177"/>
    <w:rsid w:val="00E21B83"/>
    <w:rsid w:val="00E41AC6"/>
    <w:rsid w:val="00E52033"/>
    <w:rsid w:val="00E81593"/>
    <w:rsid w:val="00F114AF"/>
    <w:rsid w:val="00F248E0"/>
    <w:rsid w:val="00FE42AC"/>
    <w:rsid w:val="00FE5CFE"/>
    <w:rsid w:val="01237AF7"/>
    <w:rsid w:val="01A12B42"/>
    <w:rsid w:val="047C1B1B"/>
    <w:rsid w:val="05371AD4"/>
    <w:rsid w:val="0AED7CAA"/>
    <w:rsid w:val="10470346"/>
    <w:rsid w:val="10E0459C"/>
    <w:rsid w:val="17673ACE"/>
    <w:rsid w:val="1E2A6E4C"/>
    <w:rsid w:val="1EA72543"/>
    <w:rsid w:val="255E7749"/>
    <w:rsid w:val="26397EC8"/>
    <w:rsid w:val="266A505B"/>
    <w:rsid w:val="28C75F77"/>
    <w:rsid w:val="2A1A7B23"/>
    <w:rsid w:val="2CBA3318"/>
    <w:rsid w:val="345973DB"/>
    <w:rsid w:val="34E6442F"/>
    <w:rsid w:val="36C00587"/>
    <w:rsid w:val="37151F6F"/>
    <w:rsid w:val="39EC56E9"/>
    <w:rsid w:val="3B520DE2"/>
    <w:rsid w:val="42E862C3"/>
    <w:rsid w:val="45502E92"/>
    <w:rsid w:val="46613968"/>
    <w:rsid w:val="4848356C"/>
    <w:rsid w:val="494F128A"/>
    <w:rsid w:val="4A792AFC"/>
    <w:rsid w:val="4E6D2DB5"/>
    <w:rsid w:val="51AF1FDD"/>
    <w:rsid w:val="54A44321"/>
    <w:rsid w:val="54E51C5C"/>
    <w:rsid w:val="592B298D"/>
    <w:rsid w:val="597A413E"/>
    <w:rsid w:val="59E80261"/>
    <w:rsid w:val="5DBC2A16"/>
    <w:rsid w:val="5EA36395"/>
    <w:rsid w:val="5EC577E9"/>
    <w:rsid w:val="602570A6"/>
    <w:rsid w:val="621A60F6"/>
    <w:rsid w:val="66A96F40"/>
    <w:rsid w:val="677E2084"/>
    <w:rsid w:val="72F06C1B"/>
    <w:rsid w:val="742A1A64"/>
    <w:rsid w:val="77705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uiPriority="99" w:name="HTML Preformatted"/>
    <w:lsdException w:qFormat="1" w:uiPriority="99" w:name="HTML Sample"/>
    <w:lsdException w:uiPriority="99" w:name="HTML Typewriter"/>
    <w:lsdException w:qFormat="1"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autoSpaceDE w:val="0"/>
      <w:autoSpaceDN w:val="0"/>
      <w:adjustRightInd w:val="0"/>
      <w:ind w:left="761"/>
      <w:jc w:val="left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semiHidden/>
    <w:unhideWhenUsed/>
    <w:qFormat/>
    <w:uiPriority w:val="99"/>
    <w:rPr>
      <w:color w:val="2D64B3"/>
      <w:u w:val="none"/>
    </w:rPr>
  </w:style>
  <w:style w:type="character" w:styleId="9">
    <w:name w:val="Emphasis"/>
    <w:basedOn w:val="7"/>
    <w:qFormat/>
    <w:uiPriority w:val="20"/>
  </w:style>
  <w:style w:type="character" w:styleId="10">
    <w:name w:val="HTML Definition"/>
    <w:basedOn w:val="7"/>
    <w:semiHidden/>
    <w:unhideWhenUsed/>
    <w:qFormat/>
    <w:uiPriority w:val="99"/>
  </w:style>
  <w:style w:type="character" w:styleId="11">
    <w:name w:val="HTML Variable"/>
    <w:basedOn w:val="7"/>
    <w:semiHidden/>
    <w:unhideWhenUsed/>
    <w:qFormat/>
    <w:uiPriority w:val="99"/>
  </w:style>
  <w:style w:type="character" w:styleId="12">
    <w:name w:val="Hyperlink"/>
    <w:basedOn w:val="7"/>
    <w:semiHidden/>
    <w:unhideWhenUsed/>
    <w:qFormat/>
    <w:uiPriority w:val="99"/>
    <w:rPr>
      <w:color w:val="2D64B3"/>
      <w:u w:val="none"/>
    </w:rPr>
  </w:style>
  <w:style w:type="character" w:styleId="13">
    <w:name w:val="HTML Code"/>
    <w:basedOn w:val="7"/>
    <w:semiHidden/>
    <w:unhideWhenUsed/>
    <w:qFormat/>
    <w:uiPriority w:val="99"/>
    <w:rPr>
      <w:rFonts w:hint="default" w:ascii="Arial" w:hAnsi="Arial" w:cs="Arial"/>
      <w:sz w:val="20"/>
    </w:rPr>
  </w:style>
  <w:style w:type="character" w:styleId="14">
    <w:name w:val="HTML Cite"/>
    <w:basedOn w:val="7"/>
    <w:semiHidden/>
    <w:unhideWhenUsed/>
    <w:qFormat/>
    <w:uiPriority w:val="99"/>
  </w:style>
  <w:style w:type="character" w:styleId="15">
    <w:name w:val="HTML Keyboard"/>
    <w:basedOn w:val="7"/>
    <w:semiHidden/>
    <w:unhideWhenUsed/>
    <w:qFormat/>
    <w:uiPriority w:val="99"/>
    <w:rPr>
      <w:rFonts w:hint="default" w:ascii="Arial" w:hAnsi="Arial" w:cs="Arial"/>
      <w:sz w:val="20"/>
    </w:rPr>
  </w:style>
  <w:style w:type="character" w:styleId="16">
    <w:name w:val="HTML Sample"/>
    <w:basedOn w:val="7"/>
    <w:semiHidden/>
    <w:unhideWhenUsed/>
    <w:qFormat/>
    <w:uiPriority w:val="99"/>
    <w:rPr>
      <w:rFonts w:hint="eastAsia" w:ascii="Arial" w:hAnsi="Arial" w:cs="Arial"/>
    </w:rPr>
  </w:style>
  <w:style w:type="paragraph" w:customStyle="1" w:styleId="17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9">
    <w:name w:val="p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20">
    <w:name w:val="页眉 Char"/>
    <w:basedOn w:val="7"/>
    <w:link w:val="4"/>
    <w:qFormat/>
    <w:uiPriority w:val="99"/>
    <w:rPr>
      <w:kern w:val="2"/>
      <w:sz w:val="18"/>
      <w:szCs w:val="18"/>
    </w:rPr>
  </w:style>
  <w:style w:type="character" w:customStyle="1" w:styleId="21">
    <w:name w:val="页脚 Char"/>
    <w:basedOn w:val="7"/>
    <w:link w:val="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DD6D85B-AD32-4BBC-BC0D-F78B4444AF3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10</Pages>
  <Words>540</Words>
  <Characters>3078</Characters>
  <Lines>25</Lines>
  <Paragraphs>7</Paragraphs>
  <TotalTime>7</TotalTime>
  <ScaleCrop>false</ScaleCrop>
  <LinksUpToDate>false</LinksUpToDate>
  <CharactersWithSpaces>3611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2017-11-17T00:34:00Z</dcterms:created>
  <dc:creator>sa</dc:creator>
  <cp:lastModifiedBy>agczs</cp:lastModifiedBy>
  <cp:lastPrinted>2017-11-17T10:06:00Z</cp:lastPrinted>
  <dcterms:modified xsi:type="dcterms:W3CDTF">2020-06-10T02:19:37Z</dcterms:modified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