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Times New Roman"/>
          <w:sz w:val="20"/>
        </w:rPr>
      </w:pPr>
    </w:p>
    <w:p>
      <w:pPr>
        <w:keepNext w:val="0"/>
        <w:keepLines w:val="0"/>
        <w:pageBreakBefore w:val="0"/>
        <w:widowControl w:val="0"/>
        <w:kinsoku/>
        <w:wordWrap/>
        <w:overflowPunct/>
        <w:topLinePunct w:val="0"/>
        <w:autoSpaceDE w:val="0"/>
        <w:autoSpaceDN w:val="0"/>
        <w:bidi w:val="0"/>
        <w:adjustRightInd/>
        <w:snapToGrid/>
        <w:spacing w:before="285" w:line="576" w:lineRule="exact"/>
        <w:ind w:right="-63"/>
        <w:jc w:val="both"/>
        <w:textAlignment w:val="auto"/>
        <w:rPr>
          <w:rFonts w:ascii="黑体" w:eastAsia="黑体"/>
          <w:sz w:val="52"/>
        </w:rPr>
      </w:pPr>
      <w:r>
        <w:rPr>
          <w:rFonts w:hint="eastAsia" w:ascii="黑体" w:eastAsia="黑体"/>
          <w:sz w:val="52"/>
          <w:lang w:eastAsia="zh-CN"/>
        </w:rPr>
        <w:t>西华县委政策研究室</w:t>
      </w:r>
      <w:r>
        <w:rPr>
          <w:rFonts w:hint="eastAsia" w:ascii="黑体" w:eastAsia="黑体"/>
          <w:sz w:val="52"/>
        </w:rPr>
        <w:t>2017年度部门决算</w:t>
      </w:r>
    </w:p>
    <w:p>
      <w:pPr>
        <w:pStyle w:val="2"/>
        <w:keepNext w:val="0"/>
        <w:keepLines w:val="0"/>
        <w:pageBreakBefore w:val="0"/>
        <w:widowControl w:val="0"/>
        <w:kinsoku/>
        <w:wordWrap/>
        <w:overflowPunct/>
        <w:topLinePunct w:val="0"/>
        <w:autoSpaceDE w:val="0"/>
        <w:autoSpaceDN w:val="0"/>
        <w:bidi w:val="0"/>
        <w:adjustRightInd/>
        <w:snapToGrid/>
        <w:spacing w:line="576" w:lineRule="exact"/>
        <w:jc w:val="center"/>
        <w:textAlignment w:val="auto"/>
        <w:rPr>
          <w:rFonts w:ascii="黑体"/>
          <w:sz w:val="52"/>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黑体"/>
          <w:sz w:val="52"/>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黑体"/>
          <w:sz w:val="52"/>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黑体"/>
          <w:sz w:val="52"/>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黑体"/>
          <w:sz w:val="52"/>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黑体"/>
          <w:sz w:val="52"/>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黑体"/>
          <w:sz w:val="52"/>
        </w:rPr>
      </w:pP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黑体"/>
          <w:sz w:val="52"/>
        </w:rPr>
      </w:pPr>
    </w:p>
    <w:p>
      <w:pPr>
        <w:pStyle w:val="2"/>
        <w:keepNext w:val="0"/>
        <w:keepLines w:val="0"/>
        <w:pageBreakBefore w:val="0"/>
        <w:widowControl w:val="0"/>
        <w:kinsoku/>
        <w:wordWrap/>
        <w:overflowPunct/>
        <w:topLinePunct w:val="0"/>
        <w:autoSpaceDE w:val="0"/>
        <w:autoSpaceDN w:val="0"/>
        <w:bidi w:val="0"/>
        <w:adjustRightInd/>
        <w:snapToGrid/>
        <w:spacing w:before="2" w:line="576" w:lineRule="exact"/>
        <w:textAlignment w:val="auto"/>
        <w:rPr>
          <w:rFonts w:ascii="黑体"/>
          <w:sz w:val="49"/>
        </w:rPr>
      </w:pPr>
    </w:p>
    <w:p>
      <w:pPr>
        <w:pStyle w:val="2"/>
        <w:keepNext w:val="0"/>
        <w:keepLines w:val="0"/>
        <w:pageBreakBefore w:val="0"/>
        <w:widowControl w:val="0"/>
        <w:kinsoku/>
        <w:wordWrap/>
        <w:overflowPunct/>
        <w:topLinePunct w:val="0"/>
        <w:autoSpaceDE w:val="0"/>
        <w:autoSpaceDN w:val="0"/>
        <w:bidi w:val="0"/>
        <w:adjustRightInd/>
        <w:snapToGrid/>
        <w:spacing w:line="576" w:lineRule="exact"/>
        <w:ind w:left="2273" w:right="2175"/>
        <w:jc w:val="center"/>
        <w:textAlignment w:val="auto"/>
        <w:rPr>
          <w:rFonts w:ascii="黑体" w:eastAsia="黑体"/>
        </w:rPr>
      </w:pPr>
      <w:r>
        <w:rPr>
          <w:rFonts w:hint="eastAsia" w:ascii="黑体" w:eastAsia="黑体"/>
        </w:rPr>
        <w:t>二〇一八年</w:t>
      </w:r>
      <w:r>
        <w:rPr>
          <w:rFonts w:hint="eastAsia" w:ascii="黑体" w:eastAsia="黑体"/>
          <w:lang w:val="en-US" w:eastAsia="zh-CN"/>
        </w:rPr>
        <w:t>八</w:t>
      </w:r>
      <w:r>
        <w:rPr>
          <w:rFonts w:hint="eastAsia" w:ascii="黑体" w:eastAsia="黑体"/>
        </w:rPr>
        <w:t>月</w:t>
      </w:r>
    </w:p>
    <w:p>
      <w:pPr>
        <w:keepNext w:val="0"/>
        <w:keepLines w:val="0"/>
        <w:pageBreakBefore w:val="0"/>
        <w:widowControl w:val="0"/>
        <w:kinsoku/>
        <w:wordWrap/>
        <w:overflowPunct/>
        <w:topLinePunct w:val="0"/>
        <w:autoSpaceDE w:val="0"/>
        <w:autoSpaceDN w:val="0"/>
        <w:bidi w:val="0"/>
        <w:adjustRightInd/>
        <w:snapToGrid/>
        <w:spacing w:line="576" w:lineRule="exact"/>
        <w:jc w:val="center"/>
        <w:textAlignment w:val="auto"/>
        <w:sectPr>
          <w:footerReference r:id="rId3" w:type="default"/>
          <w:type w:val="continuous"/>
          <w:pgSz w:w="11910" w:h="16840"/>
          <w:pgMar w:top="1600" w:right="570" w:bottom="1180" w:left="1480" w:header="720" w:footer="999" w:gutter="0"/>
          <w:pgNumType w:start="1"/>
          <w:cols w:space="720" w:num="1"/>
        </w:sectPr>
      </w:pPr>
    </w:p>
    <w:p>
      <w:pPr>
        <w:keepNext w:val="0"/>
        <w:keepLines w:val="0"/>
        <w:pageBreakBefore w:val="0"/>
        <w:widowControl w:val="0"/>
        <w:tabs>
          <w:tab w:val="left" w:pos="3420"/>
        </w:tabs>
        <w:kinsoku/>
        <w:wordWrap/>
        <w:overflowPunct/>
        <w:topLinePunct w:val="0"/>
        <w:autoSpaceDE w:val="0"/>
        <w:autoSpaceDN w:val="0"/>
        <w:bidi w:val="0"/>
        <w:adjustRightInd/>
        <w:snapToGrid/>
        <w:spacing w:before="26" w:line="576" w:lineRule="exact"/>
        <w:jc w:val="center"/>
        <w:textAlignment w:val="auto"/>
        <w:rPr>
          <w:rFonts w:ascii="黑体" w:eastAsia="黑体"/>
          <w:sz w:val="36"/>
        </w:rPr>
      </w:pPr>
      <w:r>
        <w:rPr>
          <w:rFonts w:hint="eastAsia" w:ascii="黑体" w:eastAsia="黑体"/>
          <w:sz w:val="36"/>
        </w:rPr>
        <w:t>目    录</w:t>
      </w:r>
    </w:p>
    <w:p>
      <w:pPr>
        <w:pStyle w:val="2"/>
        <w:keepNext w:val="0"/>
        <w:keepLines w:val="0"/>
        <w:pageBreakBefore w:val="0"/>
        <w:widowControl w:val="0"/>
        <w:tabs>
          <w:tab w:val="left" w:pos="2027"/>
        </w:tabs>
        <w:kinsoku/>
        <w:wordWrap/>
        <w:overflowPunct/>
        <w:topLinePunct w:val="0"/>
        <w:autoSpaceDE w:val="0"/>
        <w:autoSpaceDN w:val="0"/>
        <w:bidi w:val="0"/>
        <w:adjustRightInd/>
        <w:snapToGrid/>
        <w:spacing w:before="198" w:line="576" w:lineRule="exact"/>
        <w:ind w:left="108" w:leftChars="49" w:firstLine="640" w:firstLineChars="200"/>
        <w:textAlignment w:val="auto"/>
        <w:rPr>
          <w:rFonts w:ascii="黑体" w:eastAsia="黑体"/>
        </w:rPr>
      </w:pPr>
      <w:r>
        <w:rPr>
          <w:rFonts w:hint="eastAsia" w:ascii="黑体" w:eastAsia="黑体"/>
        </w:rPr>
        <w:t>第一部分</w:t>
      </w:r>
      <w:r>
        <w:rPr>
          <w:rFonts w:hint="eastAsia" w:ascii="黑体" w:eastAsia="黑体"/>
          <w:lang w:val="en-US" w:eastAsia="zh-CN"/>
        </w:rPr>
        <w:t xml:space="preserve">  </w:t>
      </w:r>
      <w:r>
        <w:rPr>
          <w:rFonts w:hint="eastAsia" w:ascii="黑体" w:eastAsia="黑体"/>
          <w:lang w:eastAsia="zh-CN"/>
        </w:rPr>
        <w:t>西华县委政策研究</w:t>
      </w:r>
      <w:r>
        <w:rPr>
          <w:rFonts w:hint="eastAsia" w:ascii="黑体" w:eastAsia="黑体"/>
        </w:rPr>
        <w:t>概况</w:t>
      </w:r>
    </w:p>
    <w:p>
      <w:pPr>
        <w:pStyle w:val="2"/>
        <w:keepNext w:val="0"/>
        <w:keepLines w:val="0"/>
        <w:pageBreakBefore w:val="0"/>
        <w:widowControl w:val="0"/>
        <w:kinsoku/>
        <w:wordWrap/>
        <w:overflowPunct/>
        <w:topLinePunct w:val="0"/>
        <w:autoSpaceDE w:val="0"/>
        <w:autoSpaceDN w:val="0"/>
        <w:bidi w:val="0"/>
        <w:adjustRightInd/>
        <w:snapToGrid/>
        <w:spacing w:before="225" w:line="576" w:lineRule="exact"/>
        <w:ind w:left="747" w:right="6233"/>
        <w:textAlignment w:val="auto"/>
        <w:rPr>
          <w:rFonts w:ascii="宋体" w:eastAsia="宋体"/>
        </w:rPr>
      </w:pPr>
      <w:r>
        <w:rPr>
          <w:rFonts w:hint="eastAsia" w:ascii="宋体" w:eastAsia="宋体"/>
        </w:rPr>
        <w:t>一、部门职责二、机构设置</w:t>
      </w:r>
    </w:p>
    <w:p>
      <w:pPr>
        <w:pStyle w:val="2"/>
        <w:keepNext w:val="0"/>
        <w:keepLines w:val="0"/>
        <w:pageBreakBefore w:val="0"/>
        <w:widowControl w:val="0"/>
        <w:tabs>
          <w:tab w:val="left" w:pos="2026"/>
        </w:tabs>
        <w:kinsoku/>
        <w:wordWrap/>
        <w:overflowPunct/>
        <w:topLinePunct w:val="0"/>
        <w:autoSpaceDE w:val="0"/>
        <w:autoSpaceDN w:val="0"/>
        <w:bidi w:val="0"/>
        <w:adjustRightInd/>
        <w:snapToGrid/>
        <w:spacing w:line="576" w:lineRule="exact"/>
        <w:ind w:left="108" w:leftChars="49" w:firstLine="640" w:firstLineChars="200"/>
        <w:textAlignment w:val="auto"/>
        <w:rPr>
          <w:rFonts w:ascii="黑体" w:eastAsia="黑体"/>
        </w:rPr>
      </w:pPr>
      <w:r>
        <w:rPr>
          <w:rFonts w:hint="eastAsia" w:ascii="黑体" w:eastAsia="黑体"/>
        </w:rPr>
        <w:t>第</w:t>
      </w:r>
      <w:r>
        <w:rPr>
          <w:rFonts w:hint="eastAsia" w:ascii="黑体" w:eastAsia="黑体"/>
          <w:lang w:val="en-US" w:eastAsia="zh-CN"/>
        </w:rPr>
        <w:t>二</w:t>
      </w:r>
      <w:r>
        <w:rPr>
          <w:rFonts w:hint="eastAsia" w:ascii="黑体" w:eastAsia="黑体"/>
        </w:rPr>
        <w:t>部分</w:t>
      </w:r>
      <w:r>
        <w:rPr>
          <w:rFonts w:hint="eastAsia" w:ascii="黑体" w:eastAsia="黑体"/>
        </w:rPr>
        <w:tab/>
      </w:r>
      <w:r>
        <w:rPr>
          <w:rFonts w:hint="eastAsia" w:ascii="黑体" w:eastAsia="黑体"/>
        </w:rPr>
        <w:t xml:space="preserve"> 2017</w:t>
      </w:r>
      <w:r>
        <w:rPr>
          <w:rFonts w:hint="eastAsia" w:ascii="黑体" w:eastAsia="黑体"/>
          <w:spacing w:val="-82"/>
        </w:rPr>
        <w:t xml:space="preserve"> </w:t>
      </w:r>
      <w:r>
        <w:rPr>
          <w:rFonts w:hint="eastAsia" w:ascii="黑体" w:eastAsia="黑体"/>
        </w:rPr>
        <w:t>年度部门决算情况说明</w:t>
      </w:r>
    </w:p>
    <w:p>
      <w:pPr>
        <w:pStyle w:val="2"/>
        <w:keepNext w:val="0"/>
        <w:keepLines w:val="0"/>
        <w:pageBreakBefore w:val="0"/>
        <w:widowControl w:val="0"/>
        <w:kinsoku/>
        <w:wordWrap/>
        <w:overflowPunct/>
        <w:topLinePunct w:val="0"/>
        <w:autoSpaceDE w:val="0"/>
        <w:autoSpaceDN w:val="0"/>
        <w:bidi w:val="0"/>
        <w:adjustRightInd/>
        <w:snapToGrid/>
        <w:spacing w:before="225" w:line="576" w:lineRule="exact"/>
        <w:ind w:left="747" w:right="3675"/>
        <w:textAlignment w:val="auto"/>
        <w:rPr>
          <w:rFonts w:ascii="宋体" w:eastAsia="宋体"/>
        </w:rPr>
      </w:pPr>
      <w:r>
        <w:rPr>
          <w:rFonts w:hint="eastAsia" w:ascii="宋体" w:eastAsia="宋体"/>
          <w:spacing w:val="-1"/>
        </w:rPr>
        <w:t>一、收入支出决算总体情况说明二、收入决算情况说明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spacing w:val="-1"/>
        </w:rPr>
      </w:pPr>
      <w:r>
        <w:rPr>
          <w:rFonts w:hint="eastAsia" w:ascii="宋体" w:eastAsia="宋体"/>
          <w:spacing w:val="-1"/>
        </w:rPr>
        <w:t>三、支出决算情况说明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rPr>
      </w:pPr>
      <w:r>
        <w:rPr>
          <w:rFonts w:hint="eastAsia" w:ascii="宋体" w:eastAsia="宋体"/>
        </w:rPr>
        <w:t>四、财政拨款收入支出决算总体情况说明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rPr>
      </w:pPr>
      <w:r>
        <w:rPr>
          <w:rFonts w:hint="eastAsia" w:ascii="宋体" w:eastAsia="宋体"/>
        </w:rPr>
        <w:t>五、一般公共预算财政拨款支出决算情况说明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rPr>
      </w:pPr>
      <w:r>
        <w:rPr>
          <w:rFonts w:hint="eastAsia" w:ascii="宋体" w:eastAsia="宋体"/>
        </w:rPr>
        <w:t>六、一般公共预算财政拨款基本支出决算情况说明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hAnsi="宋体" w:eastAsia="宋体"/>
          <w:spacing w:val="-20"/>
          <w:lang w:val="en-US" w:eastAsia="zh-CN"/>
        </w:rPr>
      </w:pPr>
      <w:r>
        <w:rPr>
          <w:rFonts w:hint="eastAsia" w:ascii="宋体" w:hAnsi="宋体" w:eastAsia="宋体"/>
          <w:spacing w:val="-20"/>
        </w:rPr>
        <w:t>七、一般公共预算财政拨款“三公”经费支出决算情况说</w:t>
      </w:r>
      <w:r>
        <w:rPr>
          <w:rFonts w:hint="eastAsia" w:ascii="宋体" w:hAnsi="宋体" w:eastAsia="宋体"/>
          <w:spacing w:val="-20"/>
          <w:lang w:val="en-US" w:eastAsia="zh-CN"/>
        </w:rPr>
        <w:t>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hAnsi="宋体" w:eastAsia="宋体"/>
          <w:color w:val="auto"/>
          <w:spacing w:val="-20"/>
          <w:lang w:val="en-US" w:eastAsia="zh-CN"/>
        </w:rPr>
      </w:pPr>
      <w:r>
        <w:rPr>
          <w:rFonts w:hint="eastAsia" w:ascii="宋体" w:hAnsi="宋体" w:eastAsia="宋体"/>
          <w:color w:val="auto"/>
          <w:spacing w:val="-20"/>
          <w:lang w:val="en-US" w:eastAsia="zh-CN"/>
        </w:rPr>
        <w:t>八、重点绩效评价结果等预算绩效情况说明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hAnsi="宋体" w:eastAsia="宋体"/>
          <w:color w:val="auto"/>
          <w:spacing w:val="-20"/>
          <w:lang w:val="en-US" w:eastAsia="zh-CN"/>
        </w:rPr>
      </w:pPr>
      <w:r>
        <w:rPr>
          <w:rFonts w:hint="eastAsia" w:ascii="宋体" w:hAnsi="宋体" w:eastAsia="宋体"/>
          <w:color w:val="auto"/>
          <w:spacing w:val="-20"/>
          <w:lang w:val="en-US" w:eastAsia="zh-CN"/>
        </w:rPr>
        <w:t>九、政府性基金预算财政拨支出决算情况说明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hAnsi="宋体" w:eastAsia="宋体"/>
          <w:color w:val="auto"/>
          <w:spacing w:val="-20"/>
          <w:lang w:val="en-US" w:eastAsia="zh-CN"/>
        </w:rPr>
      </w:pPr>
      <w:r>
        <w:rPr>
          <w:rFonts w:hint="eastAsia" w:ascii="宋体" w:hAnsi="宋体" w:eastAsia="宋体"/>
          <w:color w:val="auto"/>
          <w:spacing w:val="-20"/>
          <w:lang w:val="en-US" w:eastAsia="zh-CN"/>
        </w:rPr>
        <w:t>十、机关运行经费支出情况说明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rPr>
      </w:pPr>
      <w:r>
        <w:rPr>
          <w:rFonts w:hint="eastAsia" w:ascii="宋体" w:eastAsia="宋体"/>
        </w:rPr>
        <w:t>十一、政府采购支出情况说明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rPr>
      </w:pPr>
      <w:r>
        <w:rPr>
          <w:rFonts w:hint="eastAsia" w:ascii="宋体" w:eastAsia="宋体"/>
        </w:rPr>
        <w:t>十二、国有资产占用情况说明</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rPr>
      </w:pP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黑体" w:hAnsi="黑体" w:eastAsia="黑体" w:cs="黑体"/>
          <w:lang w:val="en-US" w:eastAsia="zh-CN"/>
        </w:rPr>
      </w:pPr>
      <w:r>
        <w:rPr>
          <w:rFonts w:hint="eastAsia" w:ascii="黑体" w:hAnsi="黑体" w:eastAsia="黑体" w:cs="黑体"/>
          <w:lang w:val="en-US" w:eastAsia="zh-CN"/>
        </w:rPr>
        <w:t>第三部分</w:t>
      </w:r>
      <w:r>
        <w:rPr>
          <w:rFonts w:hint="eastAsia" w:ascii="黑体" w:hAnsi="黑体" w:eastAsia="黑体" w:cs="黑体"/>
          <w:lang w:val="en-US" w:eastAsia="zh-CN"/>
        </w:rPr>
        <w:tab/>
      </w:r>
      <w:r>
        <w:rPr>
          <w:rFonts w:hint="eastAsia" w:ascii="黑体" w:hAnsi="黑体" w:eastAsia="黑体" w:cs="黑体"/>
          <w:lang w:val="en-US" w:eastAsia="zh-CN"/>
        </w:rPr>
        <w:t>名词解释</w:t>
      </w: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hint="eastAsia" w:ascii="宋体" w:eastAsia="宋体"/>
          <w:lang w:val="en-US" w:eastAsia="zh-CN"/>
        </w:rPr>
      </w:pPr>
    </w:p>
    <w:p>
      <w:pPr>
        <w:pStyle w:val="2"/>
        <w:keepNext w:val="0"/>
        <w:keepLines w:val="0"/>
        <w:pageBreakBefore w:val="0"/>
        <w:widowControl w:val="0"/>
        <w:kinsoku/>
        <w:wordWrap/>
        <w:overflowPunct/>
        <w:topLinePunct w:val="0"/>
        <w:autoSpaceDE w:val="0"/>
        <w:autoSpaceDN w:val="0"/>
        <w:bidi w:val="0"/>
        <w:adjustRightInd/>
        <w:snapToGrid/>
        <w:spacing w:line="576" w:lineRule="exact"/>
        <w:ind w:firstLine="640" w:firstLineChars="200"/>
        <w:textAlignment w:val="auto"/>
        <w:rPr>
          <w:rFonts w:hint="eastAsia" w:ascii="宋体" w:eastAsia="宋体"/>
          <w:lang w:val="en-US" w:eastAsia="zh-CN"/>
        </w:rPr>
      </w:pPr>
      <w:r>
        <w:rPr>
          <w:rFonts w:hint="eastAsia" w:ascii="宋体" w:eastAsia="宋体"/>
          <w:lang w:val="en-US" w:eastAsia="zh-CN"/>
        </w:rPr>
        <w:t>附件：2017 年度部门决算表</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lang w:val="en-US" w:eastAsia="zh-CN"/>
        </w:rPr>
      </w:pPr>
      <w:r>
        <w:rPr>
          <w:rFonts w:hint="eastAsia" w:ascii="宋体" w:eastAsia="宋体"/>
          <w:lang w:val="en-US" w:eastAsia="zh-CN"/>
        </w:rPr>
        <w:t>一、收入支出决算总表二、收入决算表</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lang w:val="en-US" w:eastAsia="zh-CN"/>
        </w:rPr>
      </w:pPr>
      <w:r>
        <w:rPr>
          <w:rFonts w:hint="eastAsia" w:ascii="宋体" w:eastAsia="宋体"/>
          <w:lang w:val="en-US" w:eastAsia="zh-CN"/>
        </w:rPr>
        <w:t>三、支出决算表</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lang w:val="en-US" w:eastAsia="zh-CN"/>
        </w:rPr>
      </w:pPr>
      <w:r>
        <w:rPr>
          <w:rFonts w:hint="eastAsia" w:ascii="宋体" w:eastAsia="宋体"/>
          <w:lang w:val="en-US" w:eastAsia="zh-CN"/>
        </w:rPr>
        <w:t>四、财政拨款收入支出决算总表</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lang w:val="en-US" w:eastAsia="zh-CN"/>
        </w:rPr>
      </w:pPr>
      <w:r>
        <w:rPr>
          <w:rFonts w:hint="eastAsia" w:ascii="宋体" w:eastAsia="宋体"/>
          <w:lang w:val="en-US" w:eastAsia="zh-CN"/>
        </w:rPr>
        <w:t>五、一般公共预算财政拨款支出决算表</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lang w:val="en-US" w:eastAsia="zh-CN"/>
        </w:rPr>
      </w:pPr>
      <w:r>
        <w:rPr>
          <w:rFonts w:hint="eastAsia" w:ascii="宋体" w:eastAsia="宋体"/>
          <w:lang w:val="en-US" w:eastAsia="zh-CN"/>
        </w:rPr>
        <w:t>六、一般公共预算财政拨款基本支出决算表</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lang w:val="en-US" w:eastAsia="zh-CN"/>
        </w:rPr>
      </w:pPr>
      <w:r>
        <w:rPr>
          <w:rFonts w:hint="eastAsia" w:ascii="宋体" w:eastAsia="宋体"/>
          <w:lang w:val="en-US" w:eastAsia="zh-CN"/>
        </w:rPr>
        <w:t>七、一般公共预算财政拨款“三公”经费支出决算表</w:t>
      </w:r>
    </w:p>
    <w:p>
      <w:pPr>
        <w:pStyle w:val="2"/>
        <w:keepNext w:val="0"/>
        <w:keepLines w:val="0"/>
        <w:pageBreakBefore w:val="0"/>
        <w:widowControl w:val="0"/>
        <w:kinsoku/>
        <w:wordWrap/>
        <w:overflowPunct/>
        <w:topLinePunct w:val="0"/>
        <w:autoSpaceDE w:val="0"/>
        <w:autoSpaceDN w:val="0"/>
        <w:bidi w:val="0"/>
        <w:adjustRightInd/>
        <w:snapToGrid/>
        <w:spacing w:line="576" w:lineRule="exact"/>
        <w:ind w:left="747"/>
        <w:textAlignment w:val="auto"/>
        <w:rPr>
          <w:rFonts w:hint="eastAsia" w:ascii="宋体" w:eastAsia="宋体"/>
          <w:lang w:val="en-US" w:eastAsia="zh-CN"/>
        </w:rPr>
        <w:sectPr>
          <w:pgSz w:w="11910" w:h="16840"/>
          <w:pgMar w:top="1500" w:right="1520" w:bottom="1180" w:left="1480" w:header="0" w:footer="999" w:gutter="0"/>
          <w:cols w:space="720" w:num="1"/>
        </w:sectPr>
      </w:pPr>
      <w:r>
        <w:rPr>
          <w:rFonts w:hint="eastAsia" w:ascii="宋体" w:eastAsia="宋体"/>
          <w:lang w:val="en-US" w:eastAsia="zh-CN"/>
        </w:rPr>
        <w:t>八、政府性基金预算财政拨款收入支出决算表</w:t>
      </w:r>
    </w:p>
    <w:p>
      <w:pPr>
        <w:pStyle w:val="2"/>
        <w:keepNext w:val="0"/>
        <w:keepLines w:val="0"/>
        <w:pageBreakBefore w:val="0"/>
        <w:widowControl w:val="0"/>
        <w:kinsoku/>
        <w:wordWrap/>
        <w:overflowPunct/>
        <w:topLinePunct w:val="0"/>
        <w:autoSpaceDE w:val="0"/>
        <w:autoSpaceDN w:val="0"/>
        <w:bidi w:val="0"/>
        <w:adjustRightInd/>
        <w:snapToGrid/>
        <w:spacing w:line="576" w:lineRule="exact"/>
        <w:textAlignment w:val="auto"/>
        <w:rPr>
          <w:rFonts w:ascii="黑体"/>
          <w:sz w:val="20"/>
        </w:rPr>
      </w:pP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jc w:val="center"/>
        <w:textAlignment w:val="auto"/>
        <w:rPr>
          <w:rFonts w:ascii="黑体" w:eastAsia="黑体"/>
          <w:sz w:val="48"/>
        </w:rPr>
      </w:pPr>
      <w:r>
        <w:rPr>
          <w:rFonts w:hint="eastAsia" w:ascii="黑体" w:eastAsia="黑体"/>
          <w:sz w:val="48"/>
        </w:rPr>
        <w:t>第一部分</w:t>
      </w: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jc w:val="center"/>
        <w:textAlignment w:val="auto"/>
        <w:rPr>
          <w:rFonts w:ascii="黑体" w:eastAsia="黑体"/>
          <w:sz w:val="48"/>
        </w:rPr>
      </w:pPr>
      <w:r>
        <w:rPr>
          <w:rFonts w:hint="eastAsia" w:ascii="黑体" w:eastAsia="黑体"/>
          <w:sz w:val="48"/>
          <w:lang w:eastAsia="zh-CN"/>
        </w:rPr>
        <w:t>西华县委政策研究室</w:t>
      </w:r>
      <w:r>
        <w:rPr>
          <w:rFonts w:hint="eastAsia" w:ascii="黑体" w:eastAsia="黑体"/>
          <w:sz w:val="48"/>
        </w:rPr>
        <w:t>概况</w:t>
      </w:r>
    </w:p>
    <w:p>
      <w:pPr>
        <w:keepNext w:val="0"/>
        <w:keepLines w:val="0"/>
        <w:pageBreakBefore w:val="0"/>
        <w:widowControl w:val="0"/>
        <w:kinsoku/>
        <w:wordWrap/>
        <w:overflowPunct/>
        <w:topLinePunct w:val="0"/>
        <w:autoSpaceDE w:val="0"/>
        <w:autoSpaceDN w:val="0"/>
        <w:bidi w:val="0"/>
        <w:adjustRightInd/>
        <w:snapToGrid/>
        <w:spacing w:line="576" w:lineRule="exact"/>
        <w:textAlignment w:val="auto"/>
      </w:pPr>
    </w:p>
    <w:p>
      <w:pPr>
        <w:pStyle w:val="2"/>
        <w:keepNext w:val="0"/>
        <w:keepLines w:val="0"/>
        <w:pageBreakBefore w:val="0"/>
        <w:widowControl w:val="0"/>
        <w:kinsoku/>
        <w:wordWrap/>
        <w:overflowPunct/>
        <w:topLinePunct w:val="0"/>
        <w:autoSpaceDE w:val="0"/>
        <w:autoSpaceDN w:val="0"/>
        <w:bidi w:val="0"/>
        <w:adjustRightInd/>
        <w:snapToGrid/>
        <w:spacing w:before="26" w:line="576" w:lineRule="exact"/>
        <w:ind w:left="957"/>
        <w:textAlignment w:val="auto"/>
        <w:rPr>
          <w:rFonts w:ascii="黑体" w:eastAsia="黑体"/>
          <w:u w:val="none"/>
        </w:rPr>
      </w:pPr>
      <w:r>
        <w:rPr>
          <w:rFonts w:hint="eastAsia" w:ascii="黑体" w:eastAsia="黑体"/>
          <w:u w:val="none"/>
        </w:rPr>
        <w:t>一、部门职责</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hint="eastAsia" w:ascii="仿宋" w:hAnsi="仿宋" w:eastAsia="仿宋" w:cs="仿宋_GB2312"/>
          <w:color w:val="000000"/>
          <w:kern w:val="0"/>
          <w:sz w:val="32"/>
          <w:szCs w:val="32"/>
          <w:shd w:val="clear" w:color="auto" w:fill="FFFFFF"/>
          <w:lang w:bidi="ar"/>
        </w:rPr>
      </w:pPr>
      <w:r>
        <w:rPr>
          <w:rFonts w:hint="eastAsia" w:ascii="黑体" w:hAnsi="黑体" w:eastAsia="黑体" w:cs="黑体"/>
          <w:color w:val="333333"/>
          <w:kern w:val="0"/>
          <w:sz w:val="32"/>
          <w:szCs w:val="32"/>
          <w:lang w:val="en-US" w:eastAsia="zh-CN"/>
        </w:rPr>
        <w:t xml:space="preserve"> </w:t>
      </w:r>
      <w:r>
        <w:rPr>
          <w:rFonts w:hint="eastAsia" w:ascii="仿宋" w:hAnsi="仿宋" w:eastAsia="仿宋" w:cs="仿宋_GB2312"/>
          <w:color w:val="000000"/>
          <w:kern w:val="0"/>
          <w:sz w:val="32"/>
          <w:szCs w:val="32"/>
          <w:shd w:val="clear" w:color="auto" w:fill="FFFFFF"/>
          <w:lang w:bidi="ar"/>
        </w:rPr>
        <w:t>1.对全县经济、社会、政治方面的重大问题以及带有全局性、方向性的“热点”、难点问题进行调查研究，提出意见和建议，供县委、县政府决策参考。</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ascii="仿宋" w:hAnsi="仿宋" w:eastAsia="仿宋" w:cs="仿宋_GB2312"/>
          <w:color w:val="000000"/>
          <w:sz w:val="32"/>
          <w:szCs w:val="32"/>
        </w:rPr>
      </w:pPr>
      <w:r>
        <w:rPr>
          <w:rFonts w:hint="eastAsia" w:ascii="仿宋" w:hAnsi="仿宋" w:eastAsia="仿宋" w:cs="仿宋_GB2312"/>
          <w:color w:val="000000"/>
          <w:kern w:val="0"/>
          <w:sz w:val="32"/>
          <w:szCs w:val="32"/>
          <w:shd w:val="clear" w:color="auto" w:fill="FFFFFF"/>
          <w:lang w:bidi="ar"/>
        </w:rPr>
        <w:t>2.围绕县委、县政府重点调研课题，组织协调各有关部门共同开展调查研究，参与起草和修改县委、县政府部分重要政策文件。</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ascii="仿宋" w:hAnsi="仿宋" w:eastAsia="仿宋" w:cs="仿宋_GB2312"/>
          <w:color w:val="000000"/>
          <w:sz w:val="32"/>
          <w:szCs w:val="32"/>
        </w:rPr>
      </w:pPr>
      <w:r>
        <w:rPr>
          <w:rFonts w:hint="eastAsia" w:ascii="仿宋" w:hAnsi="仿宋" w:eastAsia="仿宋" w:cs="仿宋_GB2312"/>
          <w:color w:val="000000"/>
          <w:kern w:val="0"/>
          <w:sz w:val="32"/>
          <w:szCs w:val="32"/>
          <w:shd w:val="clear" w:color="auto" w:fill="FFFFFF"/>
          <w:lang w:bidi="ar"/>
        </w:rPr>
        <w:t>3.负责全县“三农”、城市经济方面的研究与指导。</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hint="eastAsia" w:ascii="仿宋" w:hAnsi="仿宋" w:eastAsia="仿宋" w:cs="仿宋_GB2312"/>
          <w:color w:val="000000"/>
          <w:kern w:val="0"/>
          <w:sz w:val="32"/>
          <w:szCs w:val="32"/>
          <w:shd w:val="clear" w:color="auto" w:fill="FFFFFF"/>
          <w:lang w:bidi="ar"/>
        </w:rPr>
      </w:pPr>
      <w:r>
        <w:rPr>
          <w:rFonts w:hint="eastAsia" w:ascii="仿宋" w:hAnsi="仿宋" w:eastAsia="仿宋" w:cs="仿宋_GB2312"/>
          <w:color w:val="000000"/>
          <w:kern w:val="0"/>
          <w:sz w:val="32"/>
          <w:szCs w:val="32"/>
          <w:shd w:val="clear" w:color="auto" w:fill="FFFFFF"/>
          <w:lang w:bidi="ar"/>
        </w:rPr>
        <w:t>4.承担市委政研室调研活动的组织、安排及协调工作。5、坚持“专题性、准确性、时效性”原则，通过《领导参阅》形式，广泛筛选、编辑县内外改革发展稳定的重要信息和工作动态，最大限度地为领导提供参谋服务。</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hint="eastAsia" w:ascii="仿宋" w:hAnsi="仿宋" w:eastAsia="仿宋" w:cs="仿宋_GB2312"/>
          <w:color w:val="000000"/>
          <w:kern w:val="0"/>
          <w:sz w:val="32"/>
          <w:szCs w:val="32"/>
          <w:shd w:val="clear" w:color="auto" w:fill="FFFFFF"/>
          <w:lang w:bidi="ar"/>
        </w:rPr>
      </w:pPr>
      <w:r>
        <w:rPr>
          <w:rFonts w:hint="eastAsia" w:ascii="仿宋" w:hAnsi="仿宋" w:eastAsia="仿宋" w:cs="仿宋_GB2312"/>
          <w:color w:val="000000"/>
          <w:kern w:val="0"/>
          <w:sz w:val="32"/>
          <w:szCs w:val="32"/>
          <w:shd w:val="clear" w:color="auto" w:fill="FFFFFF"/>
          <w:lang w:bidi="ar"/>
        </w:rPr>
        <w:t>6.指导全县调研活动，形成社会化、多层次的调研网络。</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hint="eastAsia" w:ascii="仿宋" w:hAnsi="仿宋" w:eastAsia="仿宋" w:cs="仿宋_GB2312"/>
          <w:color w:val="000000"/>
          <w:sz w:val="32"/>
          <w:szCs w:val="32"/>
          <w:shd w:val="clear" w:color="auto" w:fill="FFFFFF"/>
        </w:rPr>
      </w:pPr>
      <w:r>
        <w:rPr>
          <w:rFonts w:hint="eastAsia" w:ascii="仿宋" w:hAnsi="仿宋" w:eastAsia="仿宋" w:cs="仿宋_GB2312"/>
          <w:color w:val="000000"/>
          <w:kern w:val="0"/>
          <w:sz w:val="32"/>
          <w:szCs w:val="32"/>
          <w:shd w:val="clear" w:color="auto" w:fill="FFFFFF"/>
          <w:lang w:bidi="ar"/>
        </w:rPr>
        <w:t>7.负责《工作情况交流》、《调查与</w:t>
      </w:r>
      <w:r>
        <w:rPr>
          <w:rFonts w:hint="eastAsia" w:ascii="仿宋" w:hAnsi="仿宋" w:eastAsia="仿宋" w:cs="仿宋_GB2312"/>
          <w:color w:val="000000"/>
          <w:sz w:val="32"/>
          <w:szCs w:val="32"/>
          <w:shd w:val="clear" w:color="auto" w:fill="FFFFFF"/>
        </w:rPr>
        <w:t>研究》的编辑刊发工作，总结推广典型经验。</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hint="eastAsia" w:ascii="仿宋" w:hAnsi="仿宋" w:eastAsia="仿宋" w:cs="仿宋_GB2312"/>
          <w:color w:val="000000"/>
          <w:sz w:val="32"/>
          <w:szCs w:val="32"/>
          <w:shd w:val="clear" w:color="auto" w:fill="FFFFFF"/>
        </w:rPr>
      </w:pPr>
      <w:r>
        <w:rPr>
          <w:rFonts w:hint="eastAsia" w:ascii="仿宋" w:hAnsi="仿宋" w:eastAsia="仿宋" w:cs="仿宋_GB2312"/>
          <w:color w:val="000000"/>
          <w:sz w:val="32"/>
          <w:szCs w:val="32"/>
          <w:shd w:val="clear" w:color="auto" w:fill="FFFFFF"/>
        </w:rPr>
        <w:t>8.整理推介调研成果，争取上级关注与支持。</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ascii="仿宋" w:hAnsi="仿宋" w:eastAsia="仿宋" w:cs="仿宋_GB2312"/>
          <w:kern w:val="0"/>
          <w:sz w:val="32"/>
          <w:szCs w:val="32"/>
        </w:rPr>
      </w:pPr>
      <w:r>
        <w:rPr>
          <w:rFonts w:hint="eastAsia" w:ascii="仿宋" w:hAnsi="仿宋" w:eastAsia="仿宋" w:cs="仿宋_GB2312"/>
          <w:color w:val="000000"/>
          <w:sz w:val="32"/>
          <w:szCs w:val="32"/>
          <w:shd w:val="clear" w:color="auto" w:fill="FFFFFF"/>
        </w:rPr>
        <w:t>9.及时办理领导交办的其他工作。</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851"/>
        <w:jc w:val="both"/>
        <w:textAlignment w:val="auto"/>
        <w:rPr>
          <w:rFonts w:ascii="黑体" w:hAnsi="黑体" w:eastAsia="黑体"/>
        </w:rPr>
      </w:pPr>
      <w:r>
        <w:rPr>
          <w:rFonts w:hint="eastAsia" w:ascii="黑体" w:hAnsi="黑体" w:eastAsia="黑体"/>
        </w:rPr>
        <w:t>二、机构设置</w:t>
      </w:r>
      <w:r>
        <w:rPr>
          <w:rFonts w:ascii="黑体" w:hAnsi="黑体" w:eastAsia="黑体"/>
        </w:rPr>
        <w:t xml:space="preserve"> </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ind w:left="761"/>
        <w:jc w:val="left"/>
        <w:textAlignment w:val="auto"/>
        <w:rPr>
          <w:rFonts w:hint="eastAsia" w:ascii="仿宋" w:hAnsi="仿宋" w:eastAsia="仿宋" w:cs="仿宋_GB2312"/>
          <w:spacing w:val="2"/>
          <w:kern w:val="0"/>
          <w:sz w:val="32"/>
          <w:szCs w:val="32"/>
        </w:rPr>
      </w:pPr>
      <w:r>
        <w:rPr>
          <w:rFonts w:hint="eastAsia" w:ascii="仿宋" w:hAnsi="仿宋" w:eastAsia="仿宋" w:cs="仿宋_GB2312"/>
          <w:kern w:val="0"/>
          <w:sz w:val="32"/>
          <w:szCs w:val="32"/>
        </w:rPr>
        <w:t>西华县委政研室</w:t>
      </w:r>
      <w:r>
        <w:rPr>
          <w:rFonts w:hint="eastAsia" w:ascii="仿宋" w:hAnsi="仿宋" w:eastAsia="仿宋" w:cs="仿宋_GB2312"/>
          <w:spacing w:val="2"/>
          <w:kern w:val="0"/>
          <w:sz w:val="32"/>
          <w:szCs w:val="32"/>
        </w:rPr>
        <w:t>部门</w:t>
      </w:r>
      <w:r>
        <w:rPr>
          <w:rFonts w:hint="eastAsia" w:ascii="仿宋" w:hAnsi="仿宋" w:eastAsia="仿宋" w:cs="仿宋_GB2312"/>
          <w:kern w:val="0"/>
          <w:sz w:val="32"/>
          <w:szCs w:val="32"/>
        </w:rPr>
        <w:t>预算仅</w:t>
      </w:r>
      <w:r>
        <w:rPr>
          <w:rFonts w:hint="eastAsia" w:ascii="仿宋" w:hAnsi="仿宋" w:eastAsia="仿宋" w:cs="仿宋_GB2312"/>
          <w:spacing w:val="2"/>
          <w:kern w:val="0"/>
          <w:sz w:val="32"/>
          <w:szCs w:val="32"/>
        </w:rPr>
        <w:t>包括</w:t>
      </w:r>
      <w:r>
        <w:rPr>
          <w:rFonts w:hint="eastAsia" w:ascii="仿宋" w:hAnsi="仿宋" w:eastAsia="仿宋" w:cs="仿宋_GB2312"/>
          <w:kern w:val="0"/>
          <w:sz w:val="32"/>
          <w:szCs w:val="32"/>
        </w:rPr>
        <w:t>西华县委政研室</w:t>
      </w:r>
      <w:r>
        <w:rPr>
          <w:rFonts w:hint="eastAsia" w:ascii="仿宋" w:hAnsi="仿宋" w:eastAsia="仿宋" w:cs="仿宋_GB2312"/>
          <w:spacing w:val="2"/>
          <w:kern w:val="0"/>
          <w:sz w:val="32"/>
          <w:szCs w:val="32"/>
        </w:rPr>
        <w:t>本级</w:t>
      </w:r>
    </w:p>
    <w:p>
      <w:pPr>
        <w:keepNext w:val="0"/>
        <w:keepLines w:val="0"/>
        <w:pageBreakBefore w:val="0"/>
        <w:widowControl/>
        <w:shd w:val="clear" w:color="auto" w:fill="FFFFFF"/>
        <w:kinsoku/>
        <w:wordWrap/>
        <w:overflowPunct/>
        <w:topLinePunct w:val="0"/>
        <w:autoSpaceDE w:val="0"/>
        <w:autoSpaceDN w:val="0"/>
        <w:bidi w:val="0"/>
        <w:adjustRightInd/>
        <w:snapToGrid/>
        <w:spacing w:line="576" w:lineRule="exact"/>
        <w:jc w:val="left"/>
        <w:textAlignment w:val="auto"/>
        <w:rPr>
          <w:rFonts w:hint="eastAsia" w:ascii="仿宋" w:hAnsi="仿宋" w:eastAsia="仿宋" w:cs="仿宋_GB2312"/>
          <w:spacing w:val="-1"/>
          <w:kern w:val="0"/>
          <w:sz w:val="32"/>
          <w:szCs w:val="32"/>
        </w:rPr>
      </w:pPr>
      <w:r>
        <w:rPr>
          <w:rFonts w:hint="eastAsia" w:ascii="仿宋" w:hAnsi="仿宋" w:eastAsia="仿宋" w:cs="仿宋_GB2312"/>
          <w:spacing w:val="-1"/>
          <w:kern w:val="0"/>
          <w:sz w:val="32"/>
          <w:szCs w:val="32"/>
        </w:rPr>
        <w:t>预算，无室</w:t>
      </w:r>
      <w:r>
        <w:rPr>
          <w:rFonts w:hint="eastAsia" w:ascii="仿宋" w:hAnsi="仿宋" w:eastAsia="仿宋" w:cs="仿宋_GB2312"/>
          <w:spacing w:val="2"/>
          <w:kern w:val="0"/>
          <w:sz w:val="32"/>
          <w:szCs w:val="32"/>
        </w:rPr>
        <w:t>属</w:t>
      </w:r>
      <w:r>
        <w:rPr>
          <w:rFonts w:hint="eastAsia" w:ascii="仿宋" w:hAnsi="仿宋" w:eastAsia="仿宋" w:cs="仿宋_GB2312"/>
          <w:spacing w:val="-1"/>
          <w:kern w:val="0"/>
          <w:sz w:val="32"/>
          <w:szCs w:val="32"/>
        </w:rPr>
        <w:t>单位预算。</w:t>
      </w:r>
    </w:p>
    <w:p>
      <w:pPr>
        <w:keepNext w:val="0"/>
        <w:keepLines w:val="0"/>
        <w:pageBreakBefore w:val="0"/>
        <w:numPr>
          <w:ilvl w:val="0"/>
          <w:numId w:val="0"/>
        </w:numPr>
        <w:shd w:val="clear" w:color="auto" w:fill="FFFFFF"/>
        <w:kinsoku/>
        <w:wordWrap/>
        <w:overflowPunct/>
        <w:topLinePunct w:val="0"/>
        <w:autoSpaceDE w:val="0"/>
        <w:autoSpaceDN w:val="0"/>
        <w:bidi w:val="0"/>
        <w:adjustRightInd/>
        <w:snapToGrid/>
        <w:spacing w:line="576" w:lineRule="exact"/>
        <w:ind w:firstLine="640" w:firstLineChars="200"/>
        <w:jc w:val="left"/>
        <w:textAlignment w:val="auto"/>
        <w:rPr>
          <w:rFonts w:hint="eastAsia" w:ascii="仿宋" w:hAnsi="仿宋" w:eastAsia="仿宋" w:cs="宋体"/>
          <w:color w:val="333333"/>
          <w:kern w:val="0"/>
          <w:sz w:val="32"/>
          <w:szCs w:val="32"/>
        </w:rPr>
      </w:pPr>
      <w:r>
        <w:rPr>
          <w:rFonts w:hint="eastAsia" w:ascii="仿宋" w:hAnsi="仿宋" w:eastAsia="仿宋" w:cs="仿宋"/>
          <w:color w:val="333333"/>
          <w:kern w:val="0"/>
          <w:sz w:val="32"/>
          <w:szCs w:val="32"/>
          <w:lang w:eastAsia="zh-CN"/>
        </w:rPr>
        <w:t>西华县委政研室</w:t>
      </w:r>
      <w:r>
        <w:rPr>
          <w:rFonts w:hint="eastAsia" w:ascii="仿宋" w:hAnsi="仿宋" w:eastAsia="仿宋" w:cs="宋体"/>
          <w:color w:val="333333"/>
          <w:kern w:val="0"/>
          <w:sz w:val="32"/>
          <w:szCs w:val="32"/>
        </w:rPr>
        <w:t>在职人员</w:t>
      </w:r>
      <w:r>
        <w:rPr>
          <w:rFonts w:hint="eastAsia" w:ascii="仿宋" w:hAnsi="仿宋" w:eastAsia="仿宋" w:cs="宋体"/>
          <w:color w:val="333333"/>
          <w:kern w:val="0"/>
          <w:sz w:val="32"/>
          <w:szCs w:val="32"/>
          <w:lang w:val="en-US" w:eastAsia="zh-CN"/>
        </w:rPr>
        <w:t>3</w:t>
      </w:r>
      <w:r>
        <w:rPr>
          <w:rFonts w:hint="eastAsia" w:ascii="仿宋" w:hAnsi="仿宋" w:eastAsia="仿宋" w:cs="宋体"/>
          <w:color w:val="333333"/>
          <w:kern w:val="0"/>
          <w:sz w:val="32"/>
          <w:szCs w:val="32"/>
        </w:rPr>
        <w:t>人，其中：公务员编制</w:t>
      </w:r>
      <w:r>
        <w:rPr>
          <w:rFonts w:hint="eastAsia" w:ascii="仿宋" w:hAnsi="仿宋" w:eastAsia="仿宋" w:cs="宋体"/>
          <w:color w:val="333333"/>
          <w:kern w:val="0"/>
          <w:sz w:val="32"/>
          <w:szCs w:val="32"/>
          <w:lang w:val="en-US" w:eastAsia="zh-CN"/>
        </w:rPr>
        <w:t>2</w:t>
      </w:r>
      <w:r>
        <w:rPr>
          <w:rFonts w:hint="eastAsia" w:ascii="仿宋" w:hAnsi="仿宋" w:eastAsia="仿宋" w:cs="宋体"/>
          <w:color w:val="333333"/>
          <w:kern w:val="0"/>
          <w:sz w:val="32"/>
          <w:szCs w:val="32"/>
        </w:rPr>
        <w:t>人，事业编制1人。离退休人员</w:t>
      </w:r>
      <w:r>
        <w:rPr>
          <w:rFonts w:hint="eastAsia" w:ascii="仿宋" w:hAnsi="仿宋" w:eastAsia="仿宋" w:cs="宋体"/>
          <w:color w:val="333333"/>
          <w:kern w:val="0"/>
          <w:sz w:val="32"/>
          <w:szCs w:val="32"/>
          <w:lang w:val="en-US" w:eastAsia="zh-CN"/>
        </w:rPr>
        <w:t>1</w:t>
      </w:r>
      <w:r>
        <w:rPr>
          <w:rFonts w:hint="eastAsia" w:ascii="仿宋" w:hAnsi="仿宋" w:eastAsia="仿宋" w:cs="宋体"/>
          <w:color w:val="333333"/>
          <w:kern w:val="0"/>
          <w:sz w:val="32"/>
          <w:szCs w:val="32"/>
        </w:rPr>
        <w:t>人。</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jc w:val="both"/>
        <w:textAlignment w:val="auto"/>
        <w:rPr>
          <w:lang w:val="en-US"/>
        </w:rPr>
      </w:pP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left="317" w:right="270" w:firstLine="468"/>
        <w:jc w:val="both"/>
        <w:textAlignment w:val="auto"/>
        <w:rPr>
          <w:lang w:val="en-US"/>
        </w:rPr>
      </w:pP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left="317" w:right="270" w:firstLine="468"/>
        <w:jc w:val="both"/>
        <w:textAlignment w:val="auto"/>
        <w:rPr>
          <w:lang w:val="en-US"/>
        </w:rPr>
      </w:pP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jc w:val="center"/>
        <w:textAlignment w:val="auto"/>
        <w:rPr>
          <w:rFonts w:ascii="黑体" w:eastAsia="黑体"/>
          <w:sz w:val="48"/>
        </w:rPr>
      </w:pPr>
      <w:r>
        <w:rPr>
          <w:rFonts w:hint="eastAsia" w:ascii="黑体" w:eastAsia="黑体"/>
          <w:sz w:val="48"/>
        </w:rPr>
        <w:t>第</w:t>
      </w:r>
      <w:r>
        <w:rPr>
          <w:rFonts w:hint="eastAsia" w:ascii="黑体" w:eastAsia="黑体"/>
          <w:sz w:val="48"/>
          <w:lang w:val="en-US" w:eastAsia="zh-CN"/>
        </w:rPr>
        <w:t>二</w:t>
      </w:r>
      <w:r>
        <w:rPr>
          <w:rFonts w:hint="eastAsia" w:ascii="黑体" w:eastAsia="黑体"/>
          <w:sz w:val="48"/>
        </w:rPr>
        <w:t>部分</w:t>
      </w: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jc w:val="center"/>
        <w:textAlignment w:val="auto"/>
        <w:rPr>
          <w:rFonts w:ascii="黑体" w:eastAsia="黑体"/>
          <w:sz w:val="48"/>
        </w:rPr>
      </w:pPr>
      <w:r>
        <w:rPr>
          <w:rFonts w:ascii="黑体" w:eastAsia="黑体"/>
          <w:sz w:val="48"/>
        </w:rPr>
        <w:t>2017 年度部门决算情况说明</w:t>
      </w:r>
    </w:p>
    <w:p>
      <w:pPr>
        <w:pStyle w:val="2"/>
        <w:keepNext w:val="0"/>
        <w:keepLines w:val="0"/>
        <w:pageBreakBefore w:val="0"/>
        <w:widowControl w:val="0"/>
        <w:kinsoku/>
        <w:wordWrap/>
        <w:overflowPunct/>
        <w:topLinePunct w:val="0"/>
        <w:autoSpaceDE w:val="0"/>
        <w:autoSpaceDN w:val="0"/>
        <w:bidi w:val="0"/>
        <w:adjustRightInd/>
        <w:snapToGrid/>
        <w:spacing w:before="214" w:line="576" w:lineRule="exact"/>
        <w:ind w:right="112" w:firstLine="616" w:firstLineChars="200"/>
        <w:textAlignment w:val="auto"/>
        <w:rPr>
          <w:rFonts w:ascii="黑体" w:hAnsi="黑体" w:eastAsia="黑体"/>
          <w:spacing w:val="-6"/>
        </w:rPr>
      </w:pPr>
      <w:r>
        <w:rPr>
          <w:rFonts w:hint="eastAsia" w:ascii="黑体" w:hAnsi="黑体" w:eastAsia="黑体"/>
          <w:spacing w:val="-6"/>
        </w:rPr>
        <w:t>一、收入支出决算总体情况说明</w:t>
      </w:r>
      <w:r>
        <w:rPr>
          <w:rFonts w:ascii="黑体" w:hAnsi="黑体" w:eastAsia="黑体"/>
          <w:spacing w:val="-6"/>
        </w:rPr>
        <w:t xml:space="preserve"> </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b w:val="0"/>
          <w:bCs/>
          <w:sz w:val="32"/>
          <w:szCs w:val="32"/>
        </w:rPr>
        <w:t>县委政研室</w:t>
      </w:r>
      <w:r>
        <w:rPr>
          <w:rFonts w:ascii="仿宋" w:hAnsi="仿宋" w:eastAsia="仿宋"/>
          <w:sz w:val="32"/>
          <w:szCs w:val="32"/>
        </w:rPr>
        <w:t>2017</w:t>
      </w:r>
      <w:r>
        <w:rPr>
          <w:rFonts w:hint="eastAsia" w:ascii="仿宋" w:hAnsi="仿宋" w:eastAsia="仿宋"/>
          <w:sz w:val="32"/>
          <w:szCs w:val="32"/>
        </w:rPr>
        <w:t>年收入总计</w:t>
      </w:r>
      <w:r>
        <w:rPr>
          <w:rFonts w:ascii="仿宋" w:hAnsi="仿宋" w:eastAsia="仿宋"/>
          <w:sz w:val="32"/>
          <w:szCs w:val="32"/>
        </w:rPr>
        <w:t>38.82</w:t>
      </w:r>
      <w:r>
        <w:rPr>
          <w:rFonts w:hint="eastAsia" w:ascii="仿宋" w:hAnsi="仿宋" w:eastAsia="仿宋"/>
          <w:sz w:val="32"/>
          <w:szCs w:val="32"/>
        </w:rPr>
        <w:t>万元，支出总计</w:t>
      </w:r>
      <w:r>
        <w:rPr>
          <w:rFonts w:ascii="仿宋" w:hAnsi="仿宋" w:eastAsia="仿宋"/>
          <w:sz w:val="32"/>
          <w:szCs w:val="32"/>
        </w:rPr>
        <w:t>38.82</w:t>
      </w:r>
      <w:r>
        <w:rPr>
          <w:rFonts w:hint="eastAsia" w:ascii="仿宋" w:hAnsi="仿宋" w:eastAsia="仿宋"/>
          <w:sz w:val="32"/>
          <w:szCs w:val="32"/>
        </w:rPr>
        <w:t>万元，与</w:t>
      </w:r>
      <w:r>
        <w:rPr>
          <w:rFonts w:ascii="仿宋" w:hAnsi="仿宋" w:eastAsia="仿宋"/>
          <w:sz w:val="32"/>
          <w:szCs w:val="32"/>
        </w:rPr>
        <w:t>2016</w:t>
      </w:r>
      <w:r>
        <w:rPr>
          <w:rFonts w:hint="eastAsia" w:ascii="仿宋" w:hAnsi="仿宋" w:eastAsia="仿宋"/>
          <w:sz w:val="32"/>
          <w:szCs w:val="32"/>
        </w:rPr>
        <w:t>年相比，收、支总计各减少</w:t>
      </w:r>
      <w:r>
        <w:rPr>
          <w:rFonts w:ascii="仿宋" w:hAnsi="仿宋" w:eastAsia="仿宋"/>
          <w:sz w:val="32"/>
          <w:szCs w:val="32"/>
        </w:rPr>
        <w:t>27.55</w:t>
      </w:r>
      <w:r>
        <w:rPr>
          <w:rFonts w:hint="eastAsia" w:ascii="仿宋" w:hAnsi="仿宋" w:eastAsia="仿宋"/>
          <w:sz w:val="32"/>
          <w:szCs w:val="32"/>
        </w:rPr>
        <w:t>万元、</w:t>
      </w:r>
      <w:r>
        <w:rPr>
          <w:rFonts w:ascii="仿宋" w:hAnsi="仿宋" w:eastAsia="仿宋"/>
          <w:sz w:val="32"/>
          <w:szCs w:val="32"/>
        </w:rPr>
        <w:t>11.27</w:t>
      </w:r>
      <w:r>
        <w:rPr>
          <w:rFonts w:hint="eastAsia" w:ascii="仿宋" w:hAnsi="仿宋" w:eastAsia="仿宋"/>
          <w:sz w:val="32"/>
          <w:szCs w:val="32"/>
        </w:rPr>
        <w:t>万元，减少</w:t>
      </w:r>
      <w:r>
        <w:rPr>
          <w:rFonts w:ascii="仿宋" w:hAnsi="仿宋" w:eastAsia="仿宋"/>
          <w:sz w:val="32"/>
          <w:szCs w:val="32"/>
        </w:rPr>
        <w:t>40.90%</w:t>
      </w:r>
      <w:r>
        <w:rPr>
          <w:rFonts w:hint="eastAsia" w:ascii="仿宋" w:hAnsi="仿宋" w:eastAsia="仿宋"/>
          <w:sz w:val="32"/>
          <w:szCs w:val="32"/>
        </w:rPr>
        <w:t>。主要原因：办公节约。</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lang w:val="en-US"/>
        </w:rPr>
      </w:pPr>
      <w:r>
        <w:rPr>
          <w:rFonts w:hint="eastAsia" w:ascii="黑体" w:hAnsi="黑体" w:eastAsia="黑体"/>
          <w:lang w:val="en-US"/>
        </w:rPr>
        <w:t>二、收入决算情况说明</w:t>
      </w:r>
      <w:r>
        <w:rPr>
          <w:rFonts w:ascii="黑体" w:hAnsi="黑体" w:eastAsia="黑体"/>
          <w:lang w:val="en-US"/>
        </w:rPr>
        <w:t xml:space="preserve"> </w:t>
      </w:r>
    </w:p>
    <w:p>
      <w:pPr>
        <w:keepNext w:val="0"/>
        <w:keepLines w:val="0"/>
        <w:pageBreakBefore w:val="0"/>
        <w:kinsoku/>
        <w:wordWrap/>
        <w:overflowPunct/>
        <w:topLinePunct w:val="0"/>
        <w:autoSpaceDE w:val="0"/>
        <w:autoSpaceDN w:val="0"/>
        <w:bidi w:val="0"/>
        <w:adjustRightInd/>
        <w:snapToGrid/>
        <w:spacing w:line="576" w:lineRule="exact"/>
        <w:ind w:firstLine="416" w:firstLineChars="200"/>
        <w:textAlignment w:val="auto"/>
        <w:rPr>
          <w:rFonts w:ascii="仿宋" w:hAnsi="仿宋" w:eastAsia="仿宋"/>
          <w:sz w:val="32"/>
          <w:szCs w:val="32"/>
        </w:rPr>
      </w:pPr>
      <w:r>
        <w:rPr>
          <w:spacing w:val="-6"/>
        </w:rPr>
        <w:t>2</w:t>
      </w:r>
      <w:r>
        <w:rPr>
          <w:rFonts w:hint="eastAsia" w:ascii="仿宋" w:hAnsi="仿宋" w:eastAsia="仿宋"/>
          <w:sz w:val="32"/>
          <w:szCs w:val="32"/>
        </w:rPr>
        <w:t>县委政研室本年收入合计</w:t>
      </w:r>
      <w:r>
        <w:rPr>
          <w:rFonts w:ascii="仿宋" w:hAnsi="仿宋" w:eastAsia="仿宋"/>
          <w:sz w:val="32"/>
          <w:szCs w:val="32"/>
        </w:rPr>
        <w:t>38.82</w:t>
      </w:r>
      <w:r>
        <w:rPr>
          <w:rFonts w:hint="eastAsia" w:ascii="仿宋" w:hAnsi="仿宋" w:eastAsia="仿宋"/>
          <w:sz w:val="32"/>
          <w:szCs w:val="32"/>
        </w:rPr>
        <w:t>元，其中：财政拨款收入</w:t>
      </w:r>
      <w:r>
        <w:rPr>
          <w:rFonts w:ascii="仿宋" w:hAnsi="仿宋" w:eastAsia="仿宋"/>
          <w:sz w:val="32"/>
          <w:szCs w:val="32"/>
        </w:rPr>
        <w:t>38.82</w:t>
      </w:r>
      <w:r>
        <w:rPr>
          <w:rFonts w:hint="eastAsia" w:ascii="仿宋" w:hAnsi="仿宋" w:eastAsia="仿宋"/>
          <w:sz w:val="32"/>
          <w:szCs w:val="32"/>
        </w:rPr>
        <w:t>万元，占总收入的</w:t>
      </w:r>
      <w:r>
        <w:rPr>
          <w:rFonts w:ascii="仿宋" w:hAnsi="仿宋" w:eastAsia="仿宋"/>
          <w:sz w:val="32"/>
          <w:szCs w:val="32"/>
        </w:rPr>
        <w:t>100%</w:t>
      </w:r>
      <w:r>
        <w:rPr>
          <w:rFonts w:hint="eastAsia" w:ascii="仿宋" w:hAnsi="仿宋" w:eastAsia="仿宋"/>
          <w:sz w:val="32"/>
          <w:szCs w:val="32"/>
        </w:rPr>
        <w:t>；政府性基金收入</w:t>
      </w:r>
      <w:r>
        <w:rPr>
          <w:rFonts w:ascii="仿宋" w:hAnsi="仿宋" w:eastAsia="仿宋"/>
          <w:sz w:val="32"/>
          <w:szCs w:val="32"/>
        </w:rPr>
        <w:t>0</w:t>
      </w:r>
      <w:r>
        <w:rPr>
          <w:rFonts w:hint="eastAsia" w:ascii="仿宋" w:hAnsi="仿宋" w:eastAsia="仿宋"/>
          <w:sz w:val="32"/>
          <w:szCs w:val="32"/>
        </w:rPr>
        <w:t>万元，事业收入</w:t>
      </w:r>
      <w:r>
        <w:rPr>
          <w:rFonts w:ascii="仿宋" w:hAnsi="仿宋" w:eastAsia="仿宋"/>
          <w:sz w:val="32"/>
          <w:szCs w:val="32"/>
        </w:rPr>
        <w:t>0</w:t>
      </w:r>
      <w:r>
        <w:rPr>
          <w:rFonts w:hint="eastAsia" w:ascii="仿宋" w:hAnsi="仿宋" w:eastAsia="仿宋"/>
          <w:sz w:val="32"/>
          <w:szCs w:val="32"/>
        </w:rPr>
        <w:t>万元，其它收入</w:t>
      </w:r>
      <w:r>
        <w:rPr>
          <w:rFonts w:ascii="仿宋" w:hAnsi="仿宋" w:eastAsia="仿宋"/>
          <w:sz w:val="32"/>
          <w:szCs w:val="32"/>
        </w:rPr>
        <w:t>0</w:t>
      </w:r>
      <w:r>
        <w:rPr>
          <w:rFonts w:hint="eastAsia" w:ascii="仿宋" w:hAnsi="仿宋" w:eastAsia="仿宋"/>
          <w:sz w:val="32"/>
          <w:szCs w:val="32"/>
        </w:rPr>
        <w:t>万元。</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640" w:firstLineChars="200"/>
        <w:jc w:val="both"/>
        <w:textAlignment w:val="auto"/>
        <w:rPr>
          <w:rFonts w:ascii="黑体" w:hAnsi="黑体" w:eastAsia="黑体"/>
          <w:lang w:val="en-US"/>
        </w:rPr>
      </w:pPr>
      <w:r>
        <w:rPr>
          <w:rFonts w:hint="eastAsia" w:ascii="黑体" w:hAnsi="黑体" w:eastAsia="黑体"/>
          <w:lang w:val="en-US"/>
        </w:rPr>
        <w:t>三、支出决算情况说明</w:t>
      </w:r>
      <w:r>
        <w:rPr>
          <w:rFonts w:ascii="黑体" w:hAnsi="黑体" w:eastAsia="黑体"/>
          <w:lang w:val="en-US"/>
        </w:rPr>
        <w:t xml:space="preserve"> </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sz w:val="32"/>
          <w:szCs w:val="32"/>
        </w:rPr>
        <w:t>县委政研室本年支出合计</w:t>
      </w:r>
      <w:r>
        <w:rPr>
          <w:rFonts w:ascii="仿宋" w:hAnsi="仿宋" w:eastAsia="仿宋"/>
          <w:sz w:val="32"/>
          <w:szCs w:val="32"/>
        </w:rPr>
        <w:t>38.82</w:t>
      </w:r>
      <w:r>
        <w:rPr>
          <w:rFonts w:hint="eastAsia" w:ascii="仿宋" w:hAnsi="仿宋" w:eastAsia="仿宋"/>
          <w:sz w:val="32"/>
          <w:szCs w:val="32"/>
        </w:rPr>
        <w:t>万元，其中：基本支出</w:t>
      </w:r>
      <w:r>
        <w:rPr>
          <w:rFonts w:ascii="仿宋" w:hAnsi="仿宋" w:eastAsia="仿宋"/>
          <w:sz w:val="32"/>
          <w:szCs w:val="32"/>
        </w:rPr>
        <w:t>38.82</w:t>
      </w:r>
      <w:r>
        <w:rPr>
          <w:rFonts w:hint="eastAsia" w:ascii="仿宋" w:hAnsi="仿宋" w:eastAsia="仿宋"/>
          <w:sz w:val="32"/>
          <w:szCs w:val="32"/>
        </w:rPr>
        <w:t>万元，占总支出的</w:t>
      </w:r>
      <w:r>
        <w:rPr>
          <w:rFonts w:ascii="仿宋" w:hAnsi="仿宋" w:eastAsia="仿宋"/>
          <w:sz w:val="32"/>
          <w:szCs w:val="32"/>
        </w:rPr>
        <w:t>100%</w:t>
      </w:r>
      <w:r>
        <w:rPr>
          <w:rFonts w:hint="eastAsia" w:ascii="仿宋" w:hAnsi="仿宋" w:eastAsia="仿宋"/>
          <w:sz w:val="32"/>
          <w:szCs w:val="32"/>
        </w:rPr>
        <w:t>，比</w:t>
      </w:r>
      <w:r>
        <w:rPr>
          <w:rFonts w:ascii="仿宋" w:hAnsi="仿宋" w:eastAsia="仿宋"/>
          <w:sz w:val="32"/>
          <w:szCs w:val="32"/>
        </w:rPr>
        <w:t>2016</w:t>
      </w:r>
      <w:r>
        <w:rPr>
          <w:rFonts w:hint="eastAsia" w:ascii="仿宋" w:hAnsi="仿宋" w:eastAsia="仿宋"/>
          <w:sz w:val="32"/>
          <w:szCs w:val="32"/>
        </w:rPr>
        <w:t>年减少支出</w:t>
      </w:r>
      <w:r>
        <w:rPr>
          <w:rFonts w:ascii="仿宋" w:hAnsi="仿宋" w:eastAsia="仿宋"/>
          <w:sz w:val="32"/>
          <w:szCs w:val="32"/>
        </w:rPr>
        <w:t>14.08</w:t>
      </w:r>
      <w:r>
        <w:rPr>
          <w:rFonts w:hint="eastAsia" w:ascii="仿宋" w:hAnsi="仿宋" w:eastAsia="仿宋"/>
          <w:sz w:val="32"/>
          <w:szCs w:val="32"/>
        </w:rPr>
        <w:t>万元，下降</w:t>
      </w:r>
      <w:r>
        <w:rPr>
          <w:rFonts w:ascii="仿宋" w:hAnsi="仿宋" w:eastAsia="仿宋"/>
          <w:sz w:val="32"/>
          <w:szCs w:val="32"/>
        </w:rPr>
        <w:t>56.91%</w:t>
      </w:r>
      <w:r>
        <w:rPr>
          <w:rFonts w:hint="eastAsia" w:ascii="仿宋" w:hAnsi="仿宋" w:eastAsia="仿宋"/>
          <w:sz w:val="32"/>
          <w:szCs w:val="32"/>
        </w:rPr>
        <w:t>；项目支出</w:t>
      </w:r>
      <w:r>
        <w:rPr>
          <w:rFonts w:ascii="仿宋" w:hAnsi="仿宋" w:eastAsia="仿宋"/>
          <w:sz w:val="32"/>
          <w:szCs w:val="32"/>
        </w:rPr>
        <w:t>0</w:t>
      </w:r>
      <w:r>
        <w:rPr>
          <w:rFonts w:hint="eastAsia" w:ascii="仿宋" w:hAnsi="仿宋" w:eastAsia="仿宋"/>
          <w:sz w:val="32"/>
          <w:szCs w:val="32"/>
        </w:rPr>
        <w:t>万元，占总支出的</w:t>
      </w:r>
      <w:r>
        <w:rPr>
          <w:rFonts w:ascii="仿宋" w:hAnsi="仿宋" w:eastAsia="仿宋"/>
          <w:sz w:val="32"/>
          <w:szCs w:val="32"/>
        </w:rPr>
        <w:t>0%</w:t>
      </w:r>
      <w:r>
        <w:rPr>
          <w:rFonts w:hint="eastAsia" w:ascii="仿宋" w:hAnsi="仿宋" w:eastAsia="仿宋"/>
          <w:sz w:val="32"/>
          <w:szCs w:val="32"/>
        </w:rPr>
        <w:t>，比</w:t>
      </w:r>
      <w:r>
        <w:rPr>
          <w:rFonts w:ascii="仿宋" w:hAnsi="仿宋" w:eastAsia="仿宋"/>
          <w:sz w:val="32"/>
          <w:szCs w:val="32"/>
        </w:rPr>
        <w:t>2016</w:t>
      </w:r>
      <w:r>
        <w:rPr>
          <w:rFonts w:hint="eastAsia" w:ascii="仿宋" w:hAnsi="仿宋" w:eastAsia="仿宋"/>
          <w:sz w:val="32"/>
          <w:szCs w:val="32"/>
        </w:rPr>
        <w:t>年减少支出</w:t>
      </w:r>
      <w:r>
        <w:rPr>
          <w:rFonts w:ascii="仿宋" w:hAnsi="仿宋" w:eastAsia="仿宋"/>
          <w:sz w:val="32"/>
          <w:szCs w:val="32"/>
        </w:rPr>
        <w:t>2.81</w:t>
      </w:r>
      <w:r>
        <w:rPr>
          <w:rFonts w:hint="eastAsia" w:ascii="仿宋" w:hAnsi="仿宋" w:eastAsia="仿宋"/>
          <w:sz w:val="32"/>
          <w:szCs w:val="32"/>
        </w:rPr>
        <w:t>万元，下降</w:t>
      </w:r>
      <w:r>
        <w:rPr>
          <w:rFonts w:ascii="仿宋" w:hAnsi="仿宋" w:eastAsia="仿宋"/>
          <w:sz w:val="32"/>
          <w:szCs w:val="32"/>
        </w:rPr>
        <w:t>100%</w:t>
      </w:r>
      <w:r>
        <w:rPr>
          <w:rFonts w:hint="eastAsia" w:ascii="仿宋" w:hAnsi="仿宋" w:eastAsia="仿宋"/>
          <w:sz w:val="32"/>
          <w:szCs w:val="32"/>
        </w:rPr>
        <w:t>。</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lang w:val="en-US"/>
        </w:rPr>
      </w:pPr>
      <w:r>
        <w:rPr>
          <w:rFonts w:hint="eastAsia" w:ascii="黑体" w:hAnsi="黑体" w:eastAsia="黑体"/>
          <w:lang w:val="en-US"/>
        </w:rPr>
        <w:t>四、财政拨款收入支出决算总体情况说明</w:t>
      </w:r>
      <w:r>
        <w:rPr>
          <w:rFonts w:ascii="黑体" w:hAnsi="黑体" w:eastAsia="黑体"/>
          <w:lang w:val="en-US"/>
        </w:rPr>
        <w:t xml:space="preserve"> </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sz w:val="32"/>
          <w:szCs w:val="32"/>
        </w:rPr>
        <w:t>县委政研室</w:t>
      </w:r>
      <w:r>
        <w:rPr>
          <w:rFonts w:ascii="仿宋" w:hAnsi="仿宋" w:eastAsia="仿宋"/>
          <w:sz w:val="32"/>
          <w:szCs w:val="32"/>
        </w:rPr>
        <w:t xml:space="preserve">2017 </w:t>
      </w:r>
      <w:r>
        <w:rPr>
          <w:rFonts w:hint="eastAsia" w:ascii="仿宋" w:hAnsi="仿宋" w:eastAsia="仿宋"/>
          <w:sz w:val="32"/>
          <w:szCs w:val="32"/>
        </w:rPr>
        <w:t>年一般公共预算财政拨款支出年初预算为</w:t>
      </w:r>
      <w:r>
        <w:rPr>
          <w:rFonts w:ascii="仿宋" w:hAnsi="仿宋" w:eastAsia="仿宋"/>
          <w:sz w:val="32"/>
          <w:szCs w:val="32"/>
        </w:rPr>
        <w:t>38.82</w:t>
      </w:r>
      <w:r>
        <w:rPr>
          <w:rFonts w:hint="eastAsia" w:ascii="仿宋" w:hAnsi="仿宋" w:eastAsia="仿宋"/>
          <w:sz w:val="32"/>
          <w:szCs w:val="32"/>
        </w:rPr>
        <w:t>万元，支出决算为</w:t>
      </w:r>
      <w:r>
        <w:rPr>
          <w:rFonts w:ascii="仿宋" w:hAnsi="仿宋" w:eastAsia="仿宋"/>
          <w:sz w:val="32"/>
          <w:szCs w:val="32"/>
        </w:rPr>
        <w:t>38.82</w:t>
      </w:r>
      <w:r>
        <w:rPr>
          <w:rFonts w:hint="eastAsia" w:ascii="仿宋" w:hAnsi="仿宋" w:eastAsia="仿宋"/>
          <w:sz w:val="32"/>
          <w:szCs w:val="32"/>
        </w:rPr>
        <w:t>万元，完成年初预算的</w:t>
      </w:r>
      <w:r>
        <w:rPr>
          <w:rFonts w:ascii="仿宋" w:hAnsi="仿宋" w:eastAsia="仿宋"/>
          <w:sz w:val="32"/>
          <w:szCs w:val="32"/>
        </w:rPr>
        <w:t>100 %</w:t>
      </w:r>
      <w:r>
        <w:rPr>
          <w:rFonts w:hint="eastAsia" w:ascii="仿宋" w:hAnsi="仿宋" w:eastAsia="仿宋"/>
          <w:sz w:val="32"/>
          <w:szCs w:val="32"/>
        </w:rPr>
        <w:t>。主要用于以下方面：一般公共服务（类）支出</w:t>
      </w:r>
      <w:r>
        <w:rPr>
          <w:rFonts w:ascii="ËÎÌå" w:hAnsi="ËÎÌå"/>
          <w:color w:val="000000"/>
          <w:sz w:val="22"/>
        </w:rPr>
        <w:t>34.85</w:t>
      </w:r>
      <w:r>
        <w:rPr>
          <w:rFonts w:hint="eastAsia" w:ascii="仿宋" w:hAnsi="仿宋" w:eastAsia="仿宋"/>
          <w:sz w:val="32"/>
          <w:szCs w:val="32"/>
        </w:rPr>
        <w:t>万元，占总支出的</w:t>
      </w:r>
      <w:r>
        <w:rPr>
          <w:rFonts w:ascii="仿宋" w:hAnsi="仿宋" w:eastAsia="仿宋"/>
          <w:sz w:val="32"/>
          <w:szCs w:val="32"/>
        </w:rPr>
        <w:t>90%</w:t>
      </w:r>
      <w:r>
        <w:rPr>
          <w:rFonts w:hint="eastAsia" w:ascii="仿宋" w:hAnsi="仿宋" w:eastAsia="仿宋"/>
          <w:sz w:val="32"/>
          <w:szCs w:val="32"/>
        </w:rPr>
        <w:t>；社会保障和就业支出</w:t>
      </w:r>
      <w:r>
        <w:rPr>
          <w:rFonts w:ascii="仿宋" w:hAnsi="仿宋" w:eastAsia="仿宋"/>
          <w:sz w:val="32"/>
          <w:szCs w:val="32"/>
        </w:rPr>
        <w:t>2.84</w:t>
      </w:r>
      <w:r>
        <w:rPr>
          <w:rFonts w:hint="eastAsia" w:ascii="仿宋" w:hAnsi="仿宋" w:eastAsia="仿宋"/>
          <w:sz w:val="32"/>
          <w:szCs w:val="32"/>
        </w:rPr>
        <w:t>万元，占总支出的</w:t>
      </w:r>
      <w:r>
        <w:rPr>
          <w:rFonts w:ascii="仿宋" w:hAnsi="仿宋" w:eastAsia="仿宋"/>
          <w:sz w:val="32"/>
          <w:szCs w:val="32"/>
        </w:rPr>
        <w:t>7.3%</w:t>
      </w:r>
      <w:r>
        <w:rPr>
          <w:rFonts w:hint="eastAsia" w:ascii="仿宋" w:hAnsi="仿宋" w:eastAsia="仿宋"/>
          <w:sz w:val="32"/>
          <w:szCs w:val="32"/>
        </w:rPr>
        <w:t>；……。</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lang w:val="en-US"/>
        </w:rPr>
      </w:pPr>
      <w:r>
        <w:rPr>
          <w:rFonts w:hint="eastAsia" w:ascii="黑体" w:hAnsi="黑体" w:eastAsia="黑体"/>
          <w:lang w:val="en-US"/>
        </w:rPr>
        <w:t>五、一般公共预算财政拨款支出决算情况说明</w:t>
      </w:r>
      <w:r>
        <w:rPr>
          <w:rFonts w:ascii="黑体" w:hAnsi="黑体" w:eastAsia="黑体"/>
          <w:lang w:val="en-US"/>
        </w:rPr>
        <w:t xml:space="preserve"> </w:t>
      </w:r>
    </w:p>
    <w:p>
      <w:pPr>
        <w:keepNext w:val="0"/>
        <w:keepLines w:val="0"/>
        <w:pageBreakBefore w:val="0"/>
        <w:kinsoku/>
        <w:wordWrap/>
        <w:overflowPunct/>
        <w:topLinePunct w:val="0"/>
        <w:autoSpaceDE w:val="0"/>
        <w:autoSpaceDN w:val="0"/>
        <w:bidi w:val="0"/>
        <w:adjustRightInd/>
        <w:snapToGrid/>
        <w:spacing w:line="576" w:lineRule="exact"/>
        <w:ind w:firstLine="643" w:firstLineChars="200"/>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（一）总体情况</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西华县委政研室</w:t>
      </w:r>
      <w:r>
        <w:rPr>
          <w:rFonts w:ascii="仿宋" w:hAnsi="仿宋" w:eastAsia="仿宋"/>
          <w:sz w:val="32"/>
          <w:szCs w:val="32"/>
        </w:rPr>
        <w:t>2017</w:t>
      </w:r>
      <w:r>
        <w:rPr>
          <w:rFonts w:hint="eastAsia" w:ascii="仿宋" w:hAnsi="仿宋" w:eastAsia="仿宋"/>
          <w:sz w:val="32"/>
          <w:szCs w:val="32"/>
        </w:rPr>
        <w:t>年一般公共预算财政拨款基本支出</w:t>
      </w:r>
      <w:r>
        <w:rPr>
          <w:rFonts w:ascii="仿宋" w:hAnsi="仿宋" w:eastAsia="仿宋"/>
          <w:sz w:val="32"/>
          <w:szCs w:val="32"/>
        </w:rPr>
        <w:t xml:space="preserve"> 38.82</w:t>
      </w:r>
      <w:r>
        <w:rPr>
          <w:rFonts w:hint="eastAsia" w:ascii="仿宋" w:hAnsi="仿宋" w:eastAsia="仿宋"/>
          <w:sz w:val="32"/>
          <w:szCs w:val="32"/>
        </w:rPr>
        <w:t>万元，同比增加支出</w:t>
      </w:r>
      <w:r>
        <w:rPr>
          <w:rFonts w:ascii="仿宋" w:hAnsi="仿宋" w:eastAsia="仿宋"/>
          <w:sz w:val="32"/>
          <w:szCs w:val="32"/>
        </w:rPr>
        <w:t>11.27</w:t>
      </w:r>
      <w:r>
        <w:rPr>
          <w:rFonts w:hint="eastAsia" w:ascii="仿宋" w:hAnsi="仿宋" w:eastAsia="仿宋"/>
          <w:sz w:val="32"/>
          <w:szCs w:val="32"/>
        </w:rPr>
        <w:t>万元，增长</w:t>
      </w:r>
      <w:r>
        <w:rPr>
          <w:rFonts w:ascii="仿宋" w:hAnsi="仿宋" w:eastAsia="仿宋"/>
          <w:sz w:val="32"/>
          <w:szCs w:val="32"/>
        </w:rPr>
        <w:t>40.90%</w:t>
      </w:r>
      <w:r>
        <w:rPr>
          <w:rFonts w:hint="eastAsia" w:ascii="仿宋" w:hAnsi="仿宋" w:eastAsia="仿宋"/>
          <w:sz w:val="32"/>
          <w:szCs w:val="32"/>
        </w:rPr>
        <w:t>。其中：人员经费</w:t>
      </w:r>
      <w:r>
        <w:rPr>
          <w:rFonts w:ascii="仿宋" w:hAnsi="仿宋" w:eastAsia="仿宋"/>
          <w:sz w:val="32"/>
          <w:szCs w:val="32"/>
        </w:rPr>
        <w:t>28.2</w:t>
      </w:r>
      <w:r>
        <w:rPr>
          <w:rFonts w:hint="eastAsia" w:ascii="仿宋" w:hAnsi="仿宋" w:eastAsia="仿宋"/>
          <w:sz w:val="32"/>
          <w:szCs w:val="32"/>
        </w:rPr>
        <w:t>万元，同比增加支出</w:t>
      </w:r>
      <w:r>
        <w:rPr>
          <w:rFonts w:ascii="仿宋" w:hAnsi="仿宋" w:eastAsia="仿宋"/>
          <w:sz w:val="32"/>
          <w:szCs w:val="32"/>
        </w:rPr>
        <w:t>6.86</w:t>
      </w:r>
      <w:r>
        <w:rPr>
          <w:rFonts w:hint="eastAsia" w:ascii="仿宋" w:hAnsi="仿宋" w:eastAsia="仿宋"/>
          <w:sz w:val="32"/>
          <w:szCs w:val="32"/>
        </w:rPr>
        <w:t>万元，增长</w:t>
      </w:r>
      <w:r>
        <w:rPr>
          <w:rFonts w:ascii="仿宋" w:hAnsi="仿宋" w:eastAsia="仿宋"/>
          <w:sz w:val="32"/>
          <w:szCs w:val="32"/>
        </w:rPr>
        <w:t>32.13%</w:t>
      </w:r>
      <w:r>
        <w:rPr>
          <w:rFonts w:hint="eastAsia" w:ascii="仿宋" w:hAnsi="仿宋" w:eastAsia="仿宋"/>
          <w:sz w:val="32"/>
          <w:szCs w:val="32"/>
        </w:rPr>
        <w:t>。主要包括：基本工资、津贴补贴、</w:t>
      </w:r>
      <w:r>
        <w:rPr>
          <w:rFonts w:ascii="仿宋" w:hAnsi="仿宋" w:eastAsia="仿宋"/>
          <w:sz w:val="32"/>
          <w:szCs w:val="32"/>
        </w:rPr>
        <w:t xml:space="preserve"> </w:t>
      </w:r>
      <w:r>
        <w:rPr>
          <w:rFonts w:hint="eastAsia" w:ascii="仿宋" w:hAnsi="仿宋" w:eastAsia="仿宋"/>
          <w:sz w:val="32"/>
          <w:szCs w:val="32"/>
        </w:rPr>
        <w:t>奖金、社会保障缴费、绩效工资、其他工资福利</w:t>
      </w:r>
      <w:r>
        <w:rPr>
          <w:rFonts w:ascii="仿宋" w:hAnsi="仿宋" w:eastAsia="仿宋"/>
          <w:sz w:val="32"/>
          <w:szCs w:val="32"/>
        </w:rPr>
        <w:t xml:space="preserve"> </w:t>
      </w:r>
      <w:r>
        <w:rPr>
          <w:rFonts w:hint="eastAsia" w:ascii="仿宋" w:hAnsi="仿宋" w:eastAsia="仿宋"/>
          <w:sz w:val="32"/>
          <w:szCs w:val="32"/>
        </w:rPr>
        <w:t>支出、离休费、退休费、抚恤金、生活补助、</w:t>
      </w:r>
      <w:r>
        <w:rPr>
          <w:rFonts w:ascii="仿宋" w:hAnsi="仿宋" w:eastAsia="仿宋"/>
          <w:sz w:val="32"/>
          <w:szCs w:val="32"/>
        </w:rPr>
        <w:t xml:space="preserve"> </w:t>
      </w:r>
      <w:r>
        <w:rPr>
          <w:rFonts w:hint="eastAsia" w:ascii="仿宋" w:hAnsi="仿宋" w:eastAsia="仿宋"/>
          <w:sz w:val="32"/>
          <w:szCs w:val="32"/>
        </w:rPr>
        <w:t>医疗费、住房公积金、</w:t>
      </w:r>
      <w:r>
        <w:rPr>
          <w:rFonts w:ascii="仿宋" w:hAnsi="仿宋" w:eastAsia="仿宋"/>
          <w:sz w:val="32"/>
          <w:szCs w:val="32"/>
        </w:rPr>
        <w:t xml:space="preserve"> </w:t>
      </w:r>
      <w:r>
        <w:rPr>
          <w:rFonts w:hint="eastAsia" w:ascii="仿宋" w:hAnsi="仿宋" w:eastAsia="仿宋"/>
          <w:sz w:val="32"/>
          <w:szCs w:val="32"/>
        </w:rPr>
        <w:t>其他对个人和家庭的补助支出；公用经费</w:t>
      </w:r>
      <w:r>
        <w:rPr>
          <w:rFonts w:ascii="仿宋" w:hAnsi="仿宋" w:eastAsia="仿宋"/>
          <w:sz w:val="32"/>
          <w:szCs w:val="32"/>
        </w:rPr>
        <w:t>10.62</w:t>
      </w:r>
      <w:r>
        <w:rPr>
          <w:rFonts w:hint="eastAsia" w:ascii="仿宋" w:hAnsi="仿宋" w:eastAsia="仿宋"/>
          <w:sz w:val="32"/>
          <w:szCs w:val="32"/>
        </w:rPr>
        <w:t>万元，同比增加</w:t>
      </w:r>
      <w:r>
        <w:rPr>
          <w:rFonts w:ascii="仿宋" w:hAnsi="仿宋" w:eastAsia="仿宋"/>
          <w:sz w:val="32"/>
          <w:szCs w:val="32"/>
        </w:rPr>
        <w:t>7.22</w:t>
      </w:r>
      <w:r>
        <w:rPr>
          <w:rFonts w:hint="eastAsia" w:ascii="仿宋" w:hAnsi="仿宋" w:eastAsia="仿宋"/>
          <w:sz w:val="32"/>
          <w:szCs w:val="32"/>
        </w:rPr>
        <w:t>万元，增长</w:t>
      </w:r>
      <w:r>
        <w:rPr>
          <w:rFonts w:ascii="仿宋" w:hAnsi="仿宋" w:eastAsia="仿宋"/>
          <w:sz w:val="32"/>
          <w:szCs w:val="32"/>
        </w:rPr>
        <w:t>212.42%</w:t>
      </w:r>
      <w:r>
        <w:rPr>
          <w:rFonts w:hint="eastAsia" w:ascii="仿宋" w:hAnsi="仿宋" w:eastAsia="仿宋"/>
          <w:sz w:val="32"/>
          <w:szCs w:val="32"/>
        </w:rPr>
        <w:t>。主要包括：办公费、印刷费、咨询费、水费、电费、邮电费、物业管理费、差旅费、维</w:t>
      </w:r>
      <w:r>
        <w:rPr>
          <w:rFonts w:ascii="仿宋" w:hAnsi="仿宋" w:eastAsia="仿宋"/>
          <w:sz w:val="32"/>
          <w:szCs w:val="32"/>
        </w:rPr>
        <w:t xml:space="preserve"> </w:t>
      </w:r>
      <w:r>
        <w:rPr>
          <w:rFonts w:hint="eastAsia" w:ascii="仿宋" w:hAnsi="仿宋" w:eastAsia="仿宋"/>
          <w:sz w:val="32"/>
          <w:szCs w:val="32"/>
        </w:rPr>
        <w:t>修（护）费、租赁费、会议费、培训费、公务接待费、专用材料费、劳务费、委托业务费、福利费、公务用车运</w:t>
      </w:r>
      <w:r>
        <w:rPr>
          <w:rFonts w:ascii="仿宋" w:hAnsi="仿宋" w:eastAsia="仿宋"/>
          <w:sz w:val="32"/>
          <w:szCs w:val="32"/>
        </w:rPr>
        <w:t xml:space="preserve"> </w:t>
      </w:r>
      <w:r>
        <w:rPr>
          <w:rFonts w:hint="eastAsia" w:ascii="仿宋" w:hAnsi="仿宋" w:eastAsia="仿宋"/>
          <w:sz w:val="32"/>
          <w:szCs w:val="32"/>
        </w:rPr>
        <w:t>行维护费、其他交通费用、其他商品和服务</w:t>
      </w:r>
      <w:r>
        <w:rPr>
          <w:rFonts w:ascii="仿宋" w:hAnsi="仿宋" w:eastAsia="仿宋"/>
          <w:sz w:val="32"/>
          <w:szCs w:val="32"/>
        </w:rPr>
        <w:t xml:space="preserve"> </w:t>
      </w:r>
      <w:r>
        <w:rPr>
          <w:rFonts w:hint="eastAsia" w:ascii="仿宋" w:hAnsi="仿宋" w:eastAsia="仿宋"/>
          <w:sz w:val="32"/>
          <w:szCs w:val="32"/>
        </w:rPr>
        <w:t>支出、办公设备购置、专用设备购置、大型修缮、信息网络及软件购置更新、其他资本性支出。</w:t>
      </w:r>
    </w:p>
    <w:p>
      <w:pPr>
        <w:pStyle w:val="2"/>
        <w:spacing w:before="2" w:line="520" w:lineRule="exact"/>
        <w:ind w:right="270" w:firstLine="696" w:firstLineChars="225"/>
        <w:jc w:val="both"/>
        <w:rPr>
          <w:b/>
          <w:spacing w:val="-6"/>
        </w:rPr>
      </w:pPr>
      <w:r>
        <w:rPr>
          <w:rFonts w:hint="eastAsia"/>
          <w:b/>
          <w:spacing w:val="-6"/>
        </w:rPr>
        <w:t>（</w:t>
      </w:r>
      <w:r>
        <w:rPr>
          <w:rFonts w:hint="eastAsia"/>
          <w:b/>
          <w:spacing w:val="-6"/>
          <w:lang w:eastAsia="zh-CN"/>
        </w:rPr>
        <w:t>二</w:t>
      </w:r>
      <w:r>
        <w:rPr>
          <w:rFonts w:hint="eastAsia"/>
          <w:b/>
          <w:spacing w:val="-6"/>
        </w:rPr>
        <w:t>）具体情况</w:t>
      </w:r>
    </w:p>
    <w:p>
      <w:pPr>
        <w:pStyle w:val="2"/>
        <w:spacing w:before="2" w:line="520" w:lineRule="exact"/>
        <w:ind w:right="270" w:firstLine="693" w:firstLineChars="225"/>
        <w:jc w:val="both"/>
        <w:rPr>
          <w:spacing w:val="-6"/>
        </w:rPr>
      </w:pPr>
      <w:r>
        <w:rPr>
          <w:spacing w:val="-6"/>
        </w:rPr>
        <w:t>2017年度一般公共预算财政拨款支出年初预算为</w:t>
      </w:r>
      <w:r>
        <w:rPr>
          <w:rFonts w:hint="eastAsia"/>
          <w:spacing w:val="-6"/>
          <w:lang w:val="en-US" w:eastAsia="zh-CN"/>
        </w:rPr>
        <w:t>38.82</w:t>
      </w:r>
      <w:r>
        <w:rPr>
          <w:rFonts w:hint="eastAsia"/>
          <w:spacing w:val="-6"/>
        </w:rPr>
        <w:t>万元，支出决算为</w:t>
      </w:r>
      <w:r>
        <w:rPr>
          <w:rFonts w:hint="eastAsia"/>
          <w:spacing w:val="-6"/>
          <w:lang w:val="en-US" w:eastAsia="zh-CN"/>
        </w:rPr>
        <w:t>38.82</w:t>
      </w:r>
      <w:r>
        <w:rPr>
          <w:spacing w:val="-6"/>
        </w:rPr>
        <w:t>万元，完成年初预算的</w:t>
      </w:r>
      <w:r>
        <w:rPr>
          <w:rFonts w:hint="eastAsia"/>
          <w:spacing w:val="-6"/>
          <w:lang w:val="en-US" w:eastAsia="zh-CN"/>
        </w:rPr>
        <w:t>100</w:t>
      </w:r>
      <w:r>
        <w:rPr>
          <w:spacing w:val="-6"/>
        </w:rPr>
        <w:t xml:space="preserve">%。 </w:t>
      </w:r>
    </w:p>
    <w:p>
      <w:pPr>
        <w:pStyle w:val="2"/>
        <w:spacing w:before="2" w:line="520" w:lineRule="exact"/>
        <w:ind w:right="270" w:firstLine="696" w:firstLineChars="225"/>
        <w:jc w:val="both"/>
        <w:rPr>
          <w:spacing w:val="-6"/>
        </w:rPr>
      </w:pPr>
      <w:r>
        <w:rPr>
          <w:b/>
          <w:spacing w:val="-6"/>
        </w:rPr>
        <w:t>1．一般公共服务（类）</w:t>
      </w:r>
      <w:r>
        <w:rPr>
          <w:rFonts w:hint="eastAsia"/>
          <w:b/>
          <w:spacing w:val="-6"/>
        </w:rPr>
        <w:t>发展和改革事物</w:t>
      </w:r>
      <w:r>
        <w:rPr>
          <w:b/>
          <w:spacing w:val="-6"/>
        </w:rPr>
        <w:t>（款）行政运行（项）</w:t>
      </w:r>
      <w:r>
        <w:rPr>
          <w:spacing w:val="-6"/>
        </w:rPr>
        <w:t>。</w:t>
      </w:r>
      <w:r>
        <w:rPr>
          <w:rFonts w:hint="eastAsia"/>
          <w:spacing w:val="-6"/>
        </w:rPr>
        <w:t>年初预算为0</w:t>
      </w:r>
      <w:r>
        <w:rPr>
          <w:spacing w:val="-6"/>
        </w:rPr>
        <w:t>万元，支出决算为</w:t>
      </w:r>
      <w:r>
        <w:rPr>
          <w:rFonts w:hint="eastAsia"/>
          <w:spacing w:val="-6"/>
          <w:lang w:val="en-US" w:eastAsia="zh-CN"/>
        </w:rPr>
        <w:t>0</w:t>
      </w:r>
      <w:r>
        <w:rPr>
          <w:spacing w:val="-6"/>
        </w:rPr>
        <w:t>万元。</w:t>
      </w:r>
    </w:p>
    <w:p>
      <w:pPr>
        <w:pStyle w:val="2"/>
        <w:spacing w:before="2" w:line="520" w:lineRule="exact"/>
        <w:ind w:right="270" w:firstLine="696" w:firstLineChars="225"/>
        <w:jc w:val="both"/>
        <w:rPr>
          <w:rFonts w:hint="eastAsia"/>
          <w:spacing w:val="-6"/>
          <w:lang w:eastAsia="zh-CN"/>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Pr>
          <w:spacing w:val="-6"/>
        </w:rPr>
        <w:t xml:space="preserve"> </w:t>
      </w:r>
      <w:r>
        <w:rPr>
          <w:rFonts w:hint="eastAsia"/>
          <w:spacing w:val="-6"/>
          <w:lang w:val="en-US" w:eastAsia="zh-CN"/>
        </w:rPr>
        <w:t>0</w:t>
      </w:r>
      <w:r>
        <w:rPr>
          <w:spacing w:val="-6"/>
        </w:rPr>
        <w:t>元，支出决算为</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rFonts w:hint="eastAsia"/>
          <w:spacing w:val="-6"/>
          <w:lang w:val="en-US" w:eastAsia="zh-CN"/>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Pr>
          <w:spacing w:val="-6"/>
        </w:rPr>
        <w:t xml:space="preserve"> </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lang w:eastAsia="zh-CN"/>
        </w:rPr>
        <w:t>。</w:t>
      </w:r>
      <w:r>
        <w:rPr>
          <w:rFonts w:hint="eastAsia"/>
          <w:spacing w:val="-6"/>
          <w:lang w:val="en-US" w:eastAsia="zh-CN"/>
        </w:rPr>
        <w:t xml:space="preserve"> </w:t>
      </w:r>
    </w:p>
    <w:p>
      <w:pPr>
        <w:pStyle w:val="2"/>
        <w:spacing w:before="2" w:line="520" w:lineRule="exact"/>
        <w:ind w:right="270" w:firstLine="696" w:firstLineChars="225"/>
        <w:jc w:val="both"/>
        <w:rPr>
          <w:rFonts w:hint="eastAsia"/>
          <w:spacing w:val="-6"/>
          <w:lang w:eastAsia="zh-CN"/>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spacing w:val="-6"/>
        </w:rPr>
        <w:t xml:space="preserve"> </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w:t>
      </w:r>
      <w:r>
        <w:rPr>
          <w:spacing w:val="-6"/>
        </w:rPr>
        <w:t xml:space="preserve"> </w:t>
      </w:r>
      <w:r>
        <w:rPr>
          <w:rFonts w:hint="eastAsia"/>
          <w:spacing w:val="-6"/>
          <w:lang w:val="en-US" w:eastAsia="zh-CN"/>
        </w:rPr>
        <w:t>0.432</w:t>
      </w:r>
      <w:r>
        <w:rPr>
          <w:spacing w:val="-6"/>
        </w:rPr>
        <w:t>万元，支出决算为</w:t>
      </w:r>
      <w:r>
        <w:rPr>
          <w:rFonts w:hint="eastAsia"/>
          <w:spacing w:val="-6"/>
        </w:rPr>
        <w:t>0</w:t>
      </w:r>
      <w:r>
        <w:rPr>
          <w:rFonts w:hint="eastAsia"/>
          <w:spacing w:val="-6"/>
          <w:lang w:val="en-US" w:eastAsia="zh-CN"/>
        </w:rPr>
        <w:t>.432</w:t>
      </w:r>
      <w:r>
        <w:rPr>
          <w:spacing w:val="-6"/>
        </w:rPr>
        <w:t>万</w:t>
      </w:r>
      <w:r>
        <w:rPr>
          <w:rFonts w:hint="eastAsia"/>
          <w:spacing w:val="-6"/>
          <w:lang w:eastAsia="zh-CN"/>
        </w:rPr>
        <w:t>元</w:t>
      </w:r>
      <w:r>
        <w:rPr>
          <w:spacing w:val="-6"/>
        </w:rPr>
        <w:t>。</w:t>
      </w:r>
      <w:r>
        <w:rPr>
          <w:rFonts w:hint="eastAsia"/>
          <w:spacing w:val="-6"/>
        </w:rPr>
        <w:t>此项预算支出为遗属补助，决算时计入抚恤项。</w:t>
      </w:r>
    </w:p>
    <w:p>
      <w:pPr>
        <w:pStyle w:val="2"/>
        <w:spacing w:before="2" w:line="520" w:lineRule="exact"/>
        <w:ind w:right="270" w:firstLine="696" w:firstLineChars="225"/>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w:t>
      </w:r>
      <w:r>
        <w:rPr>
          <w:spacing w:val="-6"/>
        </w:rPr>
        <w:t xml:space="preserve"> </w:t>
      </w:r>
      <w:r>
        <w:rPr>
          <w:rFonts w:hint="eastAsia"/>
          <w:spacing w:val="-6"/>
        </w:rPr>
        <w:t>0</w:t>
      </w:r>
      <w:r>
        <w:rPr>
          <w:spacing w:val="-6"/>
        </w:rPr>
        <w:t>万元，支出决算为</w:t>
      </w:r>
      <w:r>
        <w:rPr>
          <w:rFonts w:hint="eastAsia"/>
          <w:spacing w:val="-6"/>
          <w:lang w:val="en-US" w:eastAsia="zh-CN"/>
        </w:rPr>
        <w:t>0</w:t>
      </w:r>
      <w:r>
        <w:rPr>
          <w:spacing w:val="-6"/>
        </w:rPr>
        <w:t>万元。</w:t>
      </w:r>
    </w:p>
    <w:p>
      <w:pPr>
        <w:pStyle w:val="2"/>
        <w:spacing w:before="2" w:line="520" w:lineRule="exact"/>
        <w:ind w:right="270" w:firstLine="696" w:firstLineChars="225"/>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Pr>
          <w:spacing w:val="-6"/>
        </w:rPr>
        <w:t xml:space="preserve"> </w:t>
      </w:r>
      <w:r>
        <w:rPr>
          <w:rFonts w:hint="eastAsia"/>
          <w:spacing w:val="-6"/>
          <w:lang w:val="en-US" w:eastAsia="zh-CN"/>
        </w:rPr>
        <w:t>0</w:t>
      </w:r>
      <w:r>
        <w:rPr>
          <w:spacing w:val="-6"/>
        </w:rPr>
        <w:t xml:space="preserve">万元，支出决算为 </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rFonts w:hint="eastAsia"/>
          <w:spacing w:val="-6"/>
          <w:lang w:eastAsia="zh-CN"/>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行政单位医疗（项）。</w:t>
      </w:r>
      <w:r>
        <w:rPr>
          <w:rFonts w:hint="eastAsia"/>
          <w:spacing w:val="-6"/>
        </w:rPr>
        <w:t>年初预算为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事业单位医疗（项）。</w:t>
      </w:r>
      <w:r>
        <w:rPr>
          <w:rFonts w:hint="eastAsia"/>
          <w:spacing w:val="-6"/>
        </w:rPr>
        <w:t>年初预算</w:t>
      </w:r>
      <w:r>
        <w:rPr>
          <w:rFonts w:hint="eastAsia"/>
          <w:spacing w:val="-6"/>
          <w:lang w:val="en-US" w:eastAsia="zh-CN"/>
        </w:rPr>
        <w:t>0</w:t>
      </w:r>
      <w:r>
        <w:rPr>
          <w:spacing w:val="-6"/>
        </w:rPr>
        <w:t>万元，支出决算</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公务员医疗补助（项）。</w:t>
      </w:r>
      <w:r>
        <w:rPr>
          <w:rFonts w:hint="eastAsia"/>
          <w:spacing w:val="-6"/>
        </w:rPr>
        <w:t>年初预算安排</w:t>
      </w:r>
      <w:r>
        <w:rPr>
          <w:rFonts w:hint="eastAsia"/>
          <w:spacing w:val="-6"/>
          <w:lang w:val="en-US" w:eastAsia="zh-CN"/>
        </w:rPr>
        <w:t>1.138</w:t>
      </w:r>
      <w:r>
        <w:rPr>
          <w:spacing w:val="-6"/>
        </w:rPr>
        <w:t>万元，支出决算</w:t>
      </w:r>
      <w:r>
        <w:rPr>
          <w:rFonts w:hint="eastAsia"/>
          <w:spacing w:val="-6"/>
          <w:lang w:val="en-US" w:eastAsia="zh-CN"/>
        </w:rPr>
        <w:t>1.138</w:t>
      </w:r>
      <w:r>
        <w:rPr>
          <w:spacing w:val="-6"/>
        </w:rPr>
        <w:t>万元。</w:t>
      </w:r>
      <w:r>
        <w:rPr>
          <w:rFonts w:hint="eastAsia"/>
          <w:spacing w:val="-6"/>
        </w:rPr>
        <w:t>完成预算的100%。</w:t>
      </w:r>
      <w:r>
        <w:rPr>
          <w:spacing w:val="-6"/>
        </w:rPr>
        <w:t xml:space="preserve"> </w:t>
      </w:r>
    </w:p>
    <w:p>
      <w:pPr>
        <w:pStyle w:val="2"/>
        <w:spacing w:before="2" w:line="520" w:lineRule="exact"/>
        <w:ind w:right="270" w:firstLine="696" w:firstLineChars="225"/>
        <w:jc w:val="both"/>
        <w:rPr>
          <w:lang w:val="en-US"/>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。年初</w:t>
      </w:r>
      <w:r>
        <w:rPr>
          <w:rFonts w:hint="eastAsia"/>
          <w:spacing w:val="-6"/>
        </w:rPr>
        <w:t>预算为</w:t>
      </w:r>
      <w:r>
        <w:rPr>
          <w:rFonts w:hint="eastAsia"/>
          <w:spacing w:val="-6"/>
          <w:lang w:val="en-US" w:eastAsia="zh-CN"/>
        </w:rPr>
        <w:t>0</w:t>
      </w:r>
      <w:r>
        <w:rPr>
          <w:spacing w:val="-6"/>
        </w:rPr>
        <w:t xml:space="preserve">万元，支出决算为 </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rFonts w:hint="eastAsia"/>
          <w:spacing w:val="-6"/>
          <w:lang w:val="en-US" w:eastAsia="zh-CN"/>
        </w:rPr>
      </w:pPr>
      <w:r>
        <w:rPr>
          <w:rFonts w:hint="eastAsia"/>
          <w:b/>
          <w:spacing w:val="-6"/>
        </w:rPr>
        <w:t>12.城乡社区支出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年初预算为</w:t>
      </w:r>
      <w:r>
        <w:rPr>
          <w:rFonts w:hint="eastAsia"/>
          <w:spacing w:val="-6"/>
          <w:lang w:val="en-US" w:eastAsia="zh-CN"/>
        </w:rPr>
        <w:t>0</w:t>
      </w:r>
      <w:r>
        <w:rPr>
          <w:spacing w:val="-6"/>
        </w:rPr>
        <w:t>万元，支出决算</w:t>
      </w:r>
      <w:r>
        <w:rPr>
          <w:rFonts w:hint="eastAsia"/>
          <w:spacing w:val="-6"/>
          <w:lang w:val="en-US" w:eastAsia="zh-CN"/>
        </w:rPr>
        <w:t>0</w:t>
      </w:r>
      <w:r>
        <w:rPr>
          <w:spacing w:val="-6"/>
        </w:rPr>
        <w:t>万元。</w:t>
      </w:r>
      <w:r>
        <w:rPr>
          <w:rFonts w:hint="eastAsia"/>
          <w:spacing w:val="-6"/>
          <w:lang w:val="en-US" w:eastAsia="zh-CN"/>
        </w:rPr>
        <w:t xml:space="preserve"> </w:t>
      </w:r>
    </w:p>
    <w:p>
      <w:pPr>
        <w:pStyle w:val="2"/>
        <w:spacing w:before="2" w:line="520" w:lineRule="exact"/>
        <w:ind w:right="270" w:firstLine="696" w:firstLineChars="225"/>
        <w:jc w:val="both"/>
        <w:rPr>
          <w:rFonts w:hint="eastAsia"/>
          <w:spacing w:val="-6"/>
          <w:lang w:eastAsia="zh-CN"/>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rFonts w:hint="eastAsia"/>
          <w:spacing w:val="-6"/>
          <w:lang w:eastAsia="zh-CN"/>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r>
        <w:rPr>
          <w:rFonts w:hint="eastAsia"/>
          <w:spacing w:val="-6"/>
        </w:rPr>
        <w:t>年初预算未安排该支出，支出决算为</w:t>
      </w:r>
      <w:r>
        <w:rPr>
          <w:spacing w:val="-6"/>
        </w:rPr>
        <w:t xml:space="preserve"> </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spacing w:val="-6"/>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。初预算为</w:t>
      </w:r>
      <w:r>
        <w:rPr>
          <w:rFonts w:hint="eastAsia"/>
          <w:spacing w:val="-6"/>
          <w:lang w:val="en-US" w:eastAsia="zh-CN"/>
        </w:rPr>
        <w:t>0</w:t>
      </w:r>
      <w:r>
        <w:rPr>
          <w:spacing w:val="-6"/>
        </w:rPr>
        <w:t>万元，支出决算为</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rFonts w:hint="eastAsia"/>
          <w:spacing w:val="-6"/>
          <w:lang w:eastAsia="zh-CN"/>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其他城乡社区管理实务支出</w:t>
      </w:r>
      <w:r>
        <w:rPr>
          <w:b/>
          <w:spacing w:val="-6"/>
        </w:rPr>
        <w:t>（项）</w:t>
      </w:r>
      <w:r>
        <w:rPr>
          <w:rFonts w:hint="eastAsia"/>
          <w:spacing w:val="-6"/>
        </w:rPr>
        <w:t>。年初预算为</w:t>
      </w:r>
      <w:r>
        <w:rPr>
          <w:rFonts w:hint="eastAsia"/>
          <w:spacing w:val="-6"/>
          <w:lang w:val="en-US" w:eastAsia="zh-CN"/>
        </w:rPr>
        <w:t>0</w:t>
      </w:r>
      <w:r>
        <w:rPr>
          <w:spacing w:val="-6"/>
        </w:rPr>
        <w:t>万元，支</w:t>
      </w:r>
      <w:r>
        <w:rPr>
          <w:rFonts w:hint="eastAsia"/>
          <w:spacing w:val="-6"/>
        </w:rPr>
        <w:t>出决算为</w:t>
      </w:r>
      <w:r>
        <w:rPr>
          <w:rFonts w:hint="eastAsia"/>
          <w:spacing w:val="-6"/>
          <w:lang w:val="en-US" w:eastAsia="zh-CN"/>
        </w:rPr>
        <w:t>0</w:t>
      </w:r>
      <w:r>
        <w:rPr>
          <w:spacing w:val="-6"/>
        </w:rPr>
        <w:t>万元</w:t>
      </w:r>
      <w:r>
        <w:rPr>
          <w:rFonts w:hint="eastAsia"/>
          <w:spacing w:val="-6"/>
          <w:lang w:eastAsia="zh-CN"/>
        </w:rPr>
        <w:t>。</w:t>
      </w:r>
    </w:p>
    <w:p>
      <w:pPr>
        <w:pStyle w:val="2"/>
        <w:spacing w:before="2" w:line="520" w:lineRule="exact"/>
        <w:ind w:right="270" w:firstLine="696" w:firstLineChars="225"/>
        <w:jc w:val="both"/>
        <w:rPr>
          <w:rFonts w:hint="eastAsia"/>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。年初预算为0</w:t>
      </w:r>
      <w:r>
        <w:rPr>
          <w:spacing w:val="-6"/>
        </w:rPr>
        <w:t>万元，支出决算为</w:t>
      </w:r>
      <w:r>
        <w:rPr>
          <w:rFonts w:hint="eastAsia"/>
          <w:spacing w:val="-6"/>
          <w:lang w:val="en-US" w:eastAsia="zh-CN"/>
        </w:rPr>
        <w:t>0</w:t>
      </w:r>
      <w:r>
        <w:rPr>
          <w:rFonts w:hint="eastAsia"/>
          <w:spacing w:val="-6"/>
        </w:rPr>
        <w:t>万元。</w:t>
      </w:r>
    </w:p>
    <w:p>
      <w:pPr>
        <w:pStyle w:val="2"/>
        <w:spacing w:before="2" w:line="520" w:lineRule="exact"/>
        <w:ind w:right="270" w:firstLine="696" w:firstLineChars="225"/>
        <w:jc w:val="both"/>
        <w:rPr>
          <w:rFonts w:hint="eastAsia"/>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。年初预算为0</w:t>
      </w:r>
      <w:r>
        <w:rPr>
          <w:spacing w:val="-6"/>
        </w:rPr>
        <w:t>万元，支出决算为</w:t>
      </w:r>
      <w:r>
        <w:rPr>
          <w:rFonts w:hint="eastAsia"/>
          <w:spacing w:val="-6"/>
          <w:lang w:val="en-US" w:eastAsia="zh-CN"/>
        </w:rPr>
        <w:t>0</w:t>
      </w:r>
      <w:r>
        <w:rPr>
          <w:rFonts w:hint="eastAsia"/>
          <w:spacing w:val="-6"/>
        </w:rPr>
        <w:t>万元。</w:t>
      </w:r>
    </w:p>
    <w:p>
      <w:pPr>
        <w:pStyle w:val="2"/>
        <w:spacing w:before="2" w:line="520" w:lineRule="exact"/>
        <w:ind w:right="270" w:firstLine="696" w:firstLineChars="225"/>
        <w:jc w:val="both"/>
        <w:rPr>
          <w:rFonts w:hint="eastAsia"/>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。年初预算为0</w:t>
      </w:r>
      <w:r>
        <w:rPr>
          <w:spacing w:val="-6"/>
        </w:rPr>
        <w:t>万元，支出决算为</w:t>
      </w:r>
      <w:r>
        <w:rPr>
          <w:rFonts w:hint="eastAsia"/>
          <w:spacing w:val="-6"/>
          <w:lang w:val="en-US" w:eastAsia="zh-CN"/>
        </w:rPr>
        <w:t>0</w:t>
      </w:r>
      <w:r>
        <w:rPr>
          <w:rFonts w:hint="eastAsia"/>
          <w:spacing w:val="-6"/>
        </w:rPr>
        <w:t>万元。</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696" w:firstLineChars="225"/>
        <w:jc w:val="both"/>
        <w:textAlignment w:val="auto"/>
        <w:rPr>
          <w:rFonts w:hint="eastAsia"/>
          <w:lang w:val="en-US" w:eastAsia="zh-CN"/>
        </w:rPr>
      </w:pPr>
      <w:r>
        <w:rPr>
          <w:rFonts w:hint="eastAsia"/>
          <w:b/>
          <w:spacing w:val="-6"/>
        </w:rPr>
        <w:t>20</w:t>
      </w:r>
      <w:r>
        <w:rPr>
          <w:b/>
          <w:spacing w:val="-6"/>
        </w:rPr>
        <w:t>、住房保障支出（类）住房改革支出（款）住房公积金</w:t>
      </w:r>
      <w:r>
        <w:rPr>
          <w:rFonts w:hint="eastAsia"/>
          <w:b/>
          <w:spacing w:val="-6"/>
        </w:rPr>
        <w:t>（项）。</w:t>
      </w:r>
      <w:r>
        <w:rPr>
          <w:rFonts w:hint="eastAsia"/>
          <w:lang w:val="en-US"/>
        </w:rPr>
        <w:t>年初预算为</w:t>
      </w:r>
      <w:r>
        <w:rPr>
          <w:rFonts w:hint="eastAsia"/>
          <w:lang w:val="en-US" w:eastAsia="zh-CN"/>
        </w:rPr>
        <w:t>0</w:t>
      </w:r>
      <w:r>
        <w:rPr>
          <w:lang w:val="en-US"/>
        </w:rPr>
        <w:t>万元，支出决算为</w:t>
      </w:r>
      <w:r>
        <w:rPr>
          <w:rFonts w:hint="eastAsia"/>
          <w:lang w:val="en-US" w:eastAsia="zh-CN"/>
        </w:rPr>
        <w:t>0</w:t>
      </w:r>
      <w:r>
        <w:rPr>
          <w:lang w:val="en-US"/>
        </w:rPr>
        <w:t>万元</w:t>
      </w:r>
      <w:r>
        <w:rPr>
          <w:rFonts w:hint="eastAsia"/>
          <w:lang w:val="en-US" w:eastAsia="zh-CN"/>
        </w:rPr>
        <w:t>。</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lang w:val="en-US"/>
        </w:rPr>
      </w:pPr>
      <w:bookmarkStart w:id="0" w:name="_GoBack"/>
      <w:bookmarkEnd w:id="0"/>
      <w:r>
        <w:rPr>
          <w:rFonts w:hint="eastAsia" w:ascii="黑体" w:hAnsi="黑体" w:eastAsia="黑体"/>
          <w:lang w:val="en-US"/>
        </w:rPr>
        <w:t>六、一般公共预算财政拨款基本支出决算情况说明</w:t>
      </w:r>
      <w:r>
        <w:rPr>
          <w:rFonts w:ascii="黑体" w:hAnsi="黑体" w:eastAsia="黑体"/>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630" w:firstLineChars="225"/>
        <w:jc w:val="both"/>
        <w:textAlignment w:val="auto"/>
        <w:rPr>
          <w:lang w:val="en-US"/>
        </w:rPr>
      </w:pPr>
      <w:r>
        <w:rPr>
          <w:rFonts w:hint="eastAsia" w:ascii="黑体" w:hAnsi="黑体" w:eastAsia="黑体"/>
          <w:spacing w:val="-20"/>
          <w:lang w:val="en-US"/>
        </w:rPr>
        <w:t>七、一般公共预算财政拨款“三公”经费支出决算情况说明</w:t>
      </w:r>
      <w:r>
        <w:rPr>
          <w:lang w:val="en-US"/>
        </w:rPr>
        <w:t xml:space="preserve"> </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sz w:val="32"/>
          <w:szCs w:val="32"/>
        </w:rPr>
        <w:t>西华县委政研室</w:t>
      </w:r>
      <w:r>
        <w:rPr>
          <w:rFonts w:ascii="仿宋" w:hAnsi="仿宋" w:eastAsia="仿宋"/>
          <w:sz w:val="32"/>
          <w:szCs w:val="32"/>
        </w:rPr>
        <w:t>2017</w:t>
      </w:r>
      <w:r>
        <w:rPr>
          <w:rFonts w:hint="eastAsia" w:ascii="仿宋" w:hAnsi="仿宋" w:eastAsia="仿宋"/>
          <w:sz w:val="32"/>
          <w:szCs w:val="32"/>
        </w:rPr>
        <w:t>年“三公”经费财政拨款支出预算为</w:t>
      </w:r>
      <w:r>
        <w:rPr>
          <w:rFonts w:ascii="仿宋" w:hAnsi="仿宋" w:eastAsia="仿宋"/>
          <w:sz w:val="32"/>
          <w:szCs w:val="32"/>
        </w:rPr>
        <w:t>0</w:t>
      </w:r>
      <w:r>
        <w:rPr>
          <w:rFonts w:hint="eastAsia" w:ascii="仿宋" w:hAnsi="仿宋" w:eastAsia="仿宋"/>
          <w:sz w:val="32"/>
          <w:szCs w:val="32"/>
        </w:rPr>
        <w:t>万元，支出决算为</w:t>
      </w:r>
      <w:r>
        <w:rPr>
          <w:rFonts w:ascii="仿宋" w:hAnsi="仿宋" w:eastAsia="仿宋"/>
          <w:sz w:val="32"/>
          <w:szCs w:val="32"/>
        </w:rPr>
        <w:t>0</w:t>
      </w:r>
      <w:r>
        <w:rPr>
          <w:rFonts w:hint="eastAsia" w:ascii="仿宋" w:hAnsi="仿宋" w:eastAsia="仿宋"/>
          <w:sz w:val="32"/>
          <w:szCs w:val="32"/>
        </w:rPr>
        <w:t>万元，完成预算的</w:t>
      </w:r>
      <w:r>
        <w:rPr>
          <w:rFonts w:ascii="仿宋" w:hAnsi="仿宋" w:eastAsia="仿宋"/>
          <w:sz w:val="32"/>
          <w:szCs w:val="32"/>
        </w:rPr>
        <w:t>0%</w:t>
      </w:r>
      <w:r>
        <w:rPr>
          <w:rFonts w:hint="eastAsia" w:ascii="仿宋" w:hAnsi="仿宋" w:eastAsia="仿宋"/>
          <w:sz w:val="32"/>
          <w:szCs w:val="32"/>
        </w:rPr>
        <w:t>。</w:t>
      </w:r>
      <w:r>
        <w:rPr>
          <w:rFonts w:ascii="仿宋" w:hAnsi="仿宋" w:eastAsia="仿宋"/>
          <w:sz w:val="32"/>
          <w:szCs w:val="32"/>
        </w:rPr>
        <w:t>2017</w:t>
      </w:r>
      <w:r>
        <w:rPr>
          <w:rFonts w:hint="eastAsia" w:ascii="仿宋" w:hAnsi="仿宋" w:eastAsia="仿宋"/>
          <w:sz w:val="32"/>
          <w:szCs w:val="32"/>
        </w:rPr>
        <w:t>年“三公”经费财政拨款支出决算数比</w:t>
      </w:r>
      <w:r>
        <w:rPr>
          <w:rFonts w:ascii="仿宋" w:hAnsi="仿宋" w:eastAsia="仿宋"/>
          <w:sz w:val="32"/>
          <w:szCs w:val="32"/>
        </w:rPr>
        <w:t xml:space="preserve"> 2016 </w:t>
      </w:r>
      <w:r>
        <w:rPr>
          <w:rFonts w:hint="eastAsia" w:ascii="仿宋" w:hAnsi="仿宋" w:eastAsia="仿宋"/>
          <w:sz w:val="32"/>
          <w:szCs w:val="32"/>
        </w:rPr>
        <w:t>年增加（减少）</w:t>
      </w:r>
      <w:r>
        <w:rPr>
          <w:rFonts w:ascii="仿宋" w:hAnsi="仿宋" w:eastAsia="仿宋"/>
          <w:sz w:val="32"/>
          <w:szCs w:val="32"/>
        </w:rPr>
        <w:t>0</w:t>
      </w:r>
      <w:r>
        <w:rPr>
          <w:rFonts w:hint="eastAsia" w:ascii="仿宋" w:hAnsi="仿宋" w:eastAsia="仿宋"/>
          <w:sz w:val="32"/>
          <w:szCs w:val="32"/>
        </w:rPr>
        <w:t>万元，增长（下降）</w:t>
      </w:r>
      <w:r>
        <w:rPr>
          <w:rFonts w:ascii="仿宋" w:hAnsi="仿宋" w:eastAsia="仿宋"/>
          <w:sz w:val="32"/>
          <w:szCs w:val="32"/>
        </w:rPr>
        <w:t>0 %</w:t>
      </w:r>
      <w:r>
        <w:rPr>
          <w:rFonts w:hint="eastAsia" w:ascii="仿宋" w:hAnsi="仿宋" w:eastAsia="仿宋"/>
          <w:sz w:val="32"/>
          <w:szCs w:val="32"/>
        </w:rPr>
        <w:t>，主要原因：……。具体支出情况如下：</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sz w:val="32"/>
          <w:szCs w:val="32"/>
        </w:rPr>
        <w:t>（一）、公务用车购置及运行费</w:t>
      </w:r>
      <w:r>
        <w:rPr>
          <w:rFonts w:ascii="仿宋" w:hAnsi="仿宋" w:eastAsia="仿宋"/>
          <w:sz w:val="32"/>
          <w:szCs w:val="32"/>
        </w:rPr>
        <w:t>0</w:t>
      </w:r>
      <w:r>
        <w:rPr>
          <w:rFonts w:hint="eastAsia" w:ascii="仿宋" w:hAnsi="仿宋" w:eastAsia="仿宋"/>
          <w:sz w:val="32"/>
          <w:szCs w:val="32"/>
        </w:rPr>
        <w:t>万元，完成预算的</w:t>
      </w:r>
      <w:r>
        <w:rPr>
          <w:rFonts w:ascii="仿宋" w:hAnsi="仿宋" w:eastAsia="仿宋"/>
          <w:sz w:val="32"/>
          <w:szCs w:val="32"/>
        </w:rPr>
        <w:t>0%</w:t>
      </w:r>
      <w:r>
        <w:rPr>
          <w:rFonts w:hint="eastAsia" w:ascii="仿宋" w:hAnsi="仿宋" w:eastAsia="仿宋"/>
          <w:sz w:val="32"/>
          <w:szCs w:val="32"/>
        </w:rPr>
        <w:t>，公务用车购置</w:t>
      </w:r>
      <w:r>
        <w:rPr>
          <w:rFonts w:ascii="仿宋" w:hAnsi="仿宋" w:eastAsia="仿宋"/>
          <w:sz w:val="32"/>
          <w:szCs w:val="32"/>
        </w:rPr>
        <w:t>0</w:t>
      </w:r>
      <w:r>
        <w:rPr>
          <w:rFonts w:hint="eastAsia" w:ascii="仿宋" w:hAnsi="仿宋" w:eastAsia="仿宋"/>
          <w:sz w:val="32"/>
          <w:szCs w:val="32"/>
        </w:rPr>
        <w:t>万元，公务用车运行维护费</w:t>
      </w:r>
      <w:r>
        <w:rPr>
          <w:rFonts w:ascii="仿宋" w:hAnsi="仿宋" w:eastAsia="仿宋"/>
          <w:sz w:val="32"/>
          <w:szCs w:val="32"/>
        </w:rPr>
        <w:t>0</w:t>
      </w:r>
      <w:r>
        <w:rPr>
          <w:rFonts w:hint="eastAsia" w:ascii="仿宋" w:hAnsi="仿宋" w:eastAsia="仿宋"/>
          <w:sz w:val="32"/>
          <w:szCs w:val="32"/>
        </w:rPr>
        <w:t>万元，支出同比增加（减少）</w:t>
      </w:r>
      <w:r>
        <w:rPr>
          <w:rFonts w:ascii="仿宋" w:hAnsi="仿宋" w:eastAsia="仿宋"/>
          <w:sz w:val="32"/>
          <w:szCs w:val="32"/>
        </w:rPr>
        <w:t>0</w:t>
      </w:r>
      <w:r>
        <w:rPr>
          <w:rFonts w:hint="eastAsia" w:ascii="仿宋" w:hAnsi="仿宋" w:eastAsia="仿宋"/>
          <w:sz w:val="32"/>
          <w:szCs w:val="32"/>
        </w:rPr>
        <w:t>万元，增长（下降）</w:t>
      </w:r>
      <w:r>
        <w:rPr>
          <w:rFonts w:ascii="仿宋" w:hAnsi="仿宋" w:eastAsia="仿宋"/>
          <w:sz w:val="32"/>
          <w:szCs w:val="32"/>
        </w:rPr>
        <w:t>0%</w:t>
      </w:r>
      <w:r>
        <w:rPr>
          <w:rFonts w:hint="eastAsia" w:ascii="仿宋" w:hAnsi="仿宋" w:eastAsia="仿宋"/>
          <w:sz w:val="32"/>
          <w:szCs w:val="32"/>
        </w:rPr>
        <w:t>。主要用于……等支出。</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sz w:val="32"/>
          <w:szCs w:val="32"/>
        </w:rPr>
        <w:t>（二）公务接待费</w:t>
      </w:r>
      <w:r>
        <w:rPr>
          <w:rFonts w:ascii="仿宋" w:hAnsi="仿宋" w:eastAsia="仿宋"/>
          <w:sz w:val="32"/>
          <w:szCs w:val="32"/>
        </w:rPr>
        <w:t>0</w:t>
      </w:r>
      <w:r>
        <w:rPr>
          <w:rFonts w:hint="eastAsia" w:ascii="仿宋" w:hAnsi="仿宋" w:eastAsia="仿宋"/>
          <w:sz w:val="32"/>
          <w:szCs w:val="32"/>
        </w:rPr>
        <w:t>万元，完成预算的</w:t>
      </w:r>
      <w:r>
        <w:rPr>
          <w:rFonts w:ascii="仿宋" w:hAnsi="仿宋" w:eastAsia="仿宋"/>
          <w:sz w:val="32"/>
          <w:szCs w:val="32"/>
        </w:rPr>
        <w:t>0%</w:t>
      </w:r>
      <w:r>
        <w:rPr>
          <w:rFonts w:hint="eastAsia" w:ascii="仿宋" w:hAnsi="仿宋" w:eastAsia="仿宋"/>
          <w:sz w:val="32"/>
          <w:szCs w:val="32"/>
        </w:rPr>
        <w:t>，主要用于……。</w:t>
      </w:r>
      <w:r>
        <w:rPr>
          <w:rFonts w:ascii="仿宋" w:hAnsi="仿宋" w:eastAsia="仿宋"/>
          <w:sz w:val="32"/>
          <w:szCs w:val="32"/>
        </w:rPr>
        <w:t>2017</w:t>
      </w:r>
      <w:r>
        <w:rPr>
          <w:rFonts w:hint="eastAsia" w:ascii="仿宋" w:hAnsi="仿宋" w:eastAsia="仿宋"/>
          <w:sz w:val="32"/>
          <w:szCs w:val="32"/>
        </w:rPr>
        <w:t>年共接待</w:t>
      </w:r>
      <w:r>
        <w:rPr>
          <w:rFonts w:ascii="仿宋" w:hAnsi="仿宋" w:eastAsia="仿宋"/>
          <w:sz w:val="32"/>
          <w:szCs w:val="32"/>
        </w:rPr>
        <w:t>0</w:t>
      </w:r>
      <w:r>
        <w:rPr>
          <w:rFonts w:hint="eastAsia" w:ascii="仿宋" w:hAnsi="仿宋" w:eastAsia="仿宋"/>
          <w:sz w:val="32"/>
          <w:szCs w:val="32"/>
        </w:rPr>
        <w:t>批次、</w:t>
      </w:r>
      <w:r>
        <w:rPr>
          <w:rFonts w:ascii="仿宋" w:hAnsi="仿宋" w:eastAsia="仿宋"/>
          <w:sz w:val="32"/>
          <w:szCs w:val="32"/>
        </w:rPr>
        <w:t>0</w:t>
      </w:r>
      <w:r>
        <w:rPr>
          <w:rFonts w:hint="eastAsia" w:ascii="仿宋" w:hAnsi="仿宋" w:eastAsia="仿宋"/>
          <w:sz w:val="32"/>
          <w:szCs w:val="32"/>
        </w:rPr>
        <w:t>人次，支出同比增加（减少）</w:t>
      </w:r>
      <w:r>
        <w:rPr>
          <w:rFonts w:ascii="仿宋" w:hAnsi="仿宋" w:eastAsia="仿宋"/>
          <w:sz w:val="32"/>
          <w:szCs w:val="32"/>
        </w:rPr>
        <w:t>0</w:t>
      </w:r>
      <w:r>
        <w:rPr>
          <w:rFonts w:hint="eastAsia" w:ascii="仿宋" w:hAnsi="仿宋" w:eastAsia="仿宋"/>
          <w:sz w:val="32"/>
          <w:szCs w:val="32"/>
        </w:rPr>
        <w:t>万元，增长（下降）</w:t>
      </w:r>
      <w:r>
        <w:rPr>
          <w:rFonts w:ascii="仿宋" w:hAnsi="仿宋" w:eastAsia="仿宋"/>
          <w:sz w:val="32"/>
          <w:szCs w:val="32"/>
        </w:rPr>
        <w:t>0%</w:t>
      </w:r>
      <w:r>
        <w:rPr>
          <w:rFonts w:hint="eastAsia" w:ascii="仿宋" w:hAnsi="仿宋" w:eastAsia="仿宋"/>
          <w:sz w:val="32"/>
          <w:szCs w:val="32"/>
        </w:rPr>
        <w:t>。。</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color w:val="auto"/>
          <w:lang w:val="en-US"/>
        </w:rPr>
      </w:pPr>
      <w:r>
        <w:rPr>
          <w:rFonts w:hint="eastAsia" w:ascii="黑体" w:hAnsi="黑体" w:eastAsia="黑体"/>
          <w:color w:val="auto"/>
          <w:lang w:val="en-US"/>
        </w:rPr>
        <w:t>八、</w:t>
      </w:r>
      <w:r>
        <w:rPr>
          <w:rFonts w:hint="eastAsia" w:ascii="黑体" w:hAnsi="黑体" w:eastAsia="黑体"/>
          <w:color w:val="auto"/>
          <w:lang w:val="en-US" w:eastAsia="zh-CN"/>
        </w:rPr>
        <w:t>重点绩效评价结果等</w:t>
      </w:r>
      <w:r>
        <w:rPr>
          <w:rFonts w:hint="eastAsia" w:ascii="黑体" w:hAnsi="黑体" w:eastAsia="黑体"/>
          <w:color w:val="auto"/>
          <w:lang w:val="en-US"/>
        </w:rPr>
        <w:t>预算绩效情况说明</w:t>
      </w:r>
      <w:r>
        <w:rPr>
          <w:rFonts w:ascii="黑体" w:hAnsi="黑体" w:eastAsia="黑体"/>
          <w:color w:val="auto"/>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lang w:val="en-US"/>
        </w:rPr>
      </w:pPr>
      <w:r>
        <w:rPr>
          <w:rFonts w:hint="eastAsia" w:ascii="黑体" w:hAnsi="黑体" w:eastAsia="黑体"/>
          <w:lang w:val="en-US"/>
        </w:rPr>
        <w:t>九、政府性基金预算财政拨款支出决算情况说明</w:t>
      </w:r>
      <w:r>
        <w:rPr>
          <w:rFonts w:ascii="黑体" w:hAnsi="黑体" w:eastAsia="黑体"/>
          <w:lang w:val="en-US"/>
        </w:rPr>
        <w:t xml:space="preserve"> </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sz w:val="32"/>
          <w:szCs w:val="32"/>
        </w:rPr>
        <w:t>西华县委政研室</w:t>
      </w:r>
      <w:r>
        <w:rPr>
          <w:rFonts w:ascii="仿宋" w:hAnsi="仿宋" w:eastAsia="仿宋"/>
          <w:sz w:val="32"/>
          <w:szCs w:val="32"/>
        </w:rPr>
        <w:t>2017</w:t>
      </w:r>
      <w:r>
        <w:rPr>
          <w:rFonts w:hint="eastAsia" w:ascii="仿宋" w:hAnsi="仿宋" w:eastAsia="仿宋"/>
          <w:sz w:val="32"/>
          <w:szCs w:val="32"/>
        </w:rPr>
        <w:t>年政府性基金预算财政拨款</w:t>
      </w:r>
      <w:r>
        <w:rPr>
          <w:rFonts w:ascii="仿宋" w:hAnsi="仿宋" w:eastAsia="仿宋"/>
          <w:sz w:val="32"/>
          <w:szCs w:val="32"/>
        </w:rPr>
        <w:t>0</w:t>
      </w:r>
      <w:r>
        <w:rPr>
          <w:rFonts w:hint="eastAsia" w:ascii="仿宋" w:hAnsi="仿宋" w:eastAsia="仿宋"/>
          <w:sz w:val="32"/>
          <w:szCs w:val="32"/>
        </w:rPr>
        <w:t>万元</w:t>
      </w:r>
      <w:r>
        <w:rPr>
          <w:rFonts w:ascii="仿宋" w:hAnsi="仿宋" w:eastAsia="仿宋"/>
          <w:sz w:val="32"/>
          <w:szCs w:val="32"/>
        </w:rPr>
        <w:t xml:space="preserve">, </w:t>
      </w:r>
      <w:r>
        <w:rPr>
          <w:rFonts w:hint="eastAsia" w:ascii="仿宋" w:hAnsi="仿宋" w:eastAsia="仿宋"/>
          <w:sz w:val="32"/>
          <w:szCs w:val="32"/>
        </w:rPr>
        <w:t>同比增加（减少）支出</w:t>
      </w:r>
      <w:r>
        <w:rPr>
          <w:rFonts w:ascii="仿宋" w:hAnsi="仿宋" w:eastAsia="仿宋"/>
          <w:sz w:val="32"/>
          <w:szCs w:val="32"/>
        </w:rPr>
        <w:t>0</w:t>
      </w:r>
      <w:r>
        <w:rPr>
          <w:rFonts w:hint="eastAsia" w:ascii="仿宋" w:hAnsi="仿宋" w:eastAsia="仿宋"/>
          <w:sz w:val="32"/>
          <w:szCs w:val="32"/>
        </w:rPr>
        <w:t>万元，增长（下降）</w:t>
      </w:r>
      <w:r>
        <w:rPr>
          <w:rFonts w:ascii="仿宋" w:hAnsi="仿宋" w:eastAsia="仿宋"/>
          <w:sz w:val="32"/>
          <w:szCs w:val="32"/>
        </w:rPr>
        <w:t>0%,</w:t>
      </w:r>
      <w:r>
        <w:rPr>
          <w:rFonts w:hint="eastAsia" w:ascii="仿宋" w:hAnsi="仿宋" w:eastAsia="仿宋"/>
          <w:sz w:val="32"/>
          <w:szCs w:val="32"/>
        </w:rPr>
        <w:t>我单位没有政府性基金收入，也没有使用政府性基金安排的支出，故本表无数据。</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lang w:val="en-US"/>
        </w:rPr>
      </w:pPr>
      <w:r>
        <w:rPr>
          <w:rFonts w:hint="eastAsia" w:ascii="黑体" w:hAnsi="黑体" w:eastAsia="黑体"/>
          <w:lang w:val="en-US"/>
        </w:rPr>
        <w:t>十、机关运行经费支出情况说明</w:t>
      </w:r>
      <w:r>
        <w:rPr>
          <w:rFonts w:ascii="黑体" w:hAnsi="黑体" w:eastAsia="黑体"/>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hint="eastAsia" w:ascii="仿宋" w:hAnsi="仿宋" w:eastAsia="仿宋"/>
          <w:sz w:val="32"/>
          <w:szCs w:val="32"/>
        </w:rPr>
      </w:pPr>
      <w:r>
        <w:rPr>
          <w:rFonts w:hint="eastAsia" w:ascii="仿宋" w:hAnsi="仿宋" w:eastAsia="仿宋"/>
          <w:sz w:val="32"/>
          <w:szCs w:val="32"/>
        </w:rPr>
        <w:t>西华县委政研室</w:t>
      </w:r>
      <w:r>
        <w:rPr>
          <w:rFonts w:ascii="仿宋" w:hAnsi="仿宋" w:eastAsia="仿宋"/>
          <w:sz w:val="32"/>
          <w:szCs w:val="32"/>
        </w:rPr>
        <w:t xml:space="preserve"> </w:t>
      </w:r>
      <w:r>
        <w:rPr>
          <w:rFonts w:hint="eastAsia" w:ascii="仿宋" w:hAnsi="仿宋" w:eastAsia="仿宋"/>
          <w:sz w:val="32"/>
          <w:szCs w:val="32"/>
        </w:rPr>
        <w:t>单位</w:t>
      </w:r>
      <w:r>
        <w:rPr>
          <w:rFonts w:ascii="仿宋" w:hAnsi="仿宋" w:eastAsia="仿宋"/>
          <w:sz w:val="32"/>
          <w:szCs w:val="32"/>
        </w:rPr>
        <w:t>2017</w:t>
      </w:r>
      <w:r>
        <w:rPr>
          <w:rFonts w:hint="eastAsia" w:ascii="仿宋" w:hAnsi="仿宋" w:eastAsia="仿宋"/>
          <w:sz w:val="32"/>
          <w:szCs w:val="32"/>
        </w:rPr>
        <w:t>年机关运行经费支出</w:t>
      </w:r>
      <w:r>
        <w:rPr>
          <w:rFonts w:ascii="仿宋" w:hAnsi="仿宋" w:eastAsia="仿宋"/>
          <w:sz w:val="32"/>
          <w:szCs w:val="32"/>
        </w:rPr>
        <w:t>10.62</w:t>
      </w:r>
      <w:r>
        <w:rPr>
          <w:rFonts w:hint="eastAsia" w:ascii="仿宋" w:hAnsi="仿宋" w:eastAsia="仿宋"/>
          <w:sz w:val="32"/>
          <w:szCs w:val="32"/>
        </w:rPr>
        <w:t>万元，比</w:t>
      </w:r>
      <w:r>
        <w:rPr>
          <w:rFonts w:ascii="仿宋" w:hAnsi="仿宋" w:eastAsia="仿宋"/>
          <w:sz w:val="32"/>
          <w:szCs w:val="32"/>
        </w:rPr>
        <w:t xml:space="preserve"> 2016</w:t>
      </w:r>
      <w:r>
        <w:rPr>
          <w:rFonts w:hint="eastAsia" w:ascii="仿宋" w:hAnsi="仿宋" w:eastAsia="仿宋"/>
          <w:sz w:val="32"/>
          <w:szCs w:val="32"/>
        </w:rPr>
        <w:t>年增加</w:t>
      </w:r>
      <w:r>
        <w:rPr>
          <w:rFonts w:ascii="仿宋" w:hAnsi="仿宋" w:eastAsia="仿宋"/>
          <w:sz w:val="32"/>
          <w:szCs w:val="32"/>
        </w:rPr>
        <w:t>7.22</w:t>
      </w:r>
      <w:r>
        <w:rPr>
          <w:rFonts w:hint="eastAsia" w:ascii="仿宋" w:hAnsi="仿宋" w:eastAsia="仿宋"/>
          <w:sz w:val="32"/>
          <w:szCs w:val="32"/>
        </w:rPr>
        <w:t>万元，增长</w:t>
      </w:r>
      <w:r>
        <w:rPr>
          <w:rFonts w:ascii="仿宋" w:hAnsi="仿宋" w:eastAsia="仿宋"/>
          <w:sz w:val="32"/>
          <w:szCs w:val="32"/>
        </w:rPr>
        <w:t>212.42 %</w:t>
      </w:r>
      <w:r>
        <w:rPr>
          <w:rFonts w:hint="eastAsia" w:ascii="仿宋" w:hAnsi="仿宋" w:eastAsia="仿宋"/>
          <w:sz w:val="32"/>
          <w:szCs w:val="32"/>
        </w:rPr>
        <w:t>，原因调研任务大。</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lang w:val="en-US"/>
        </w:rPr>
      </w:pPr>
      <w:r>
        <w:rPr>
          <w:rFonts w:hint="eastAsia" w:ascii="黑体" w:hAnsi="黑体" w:eastAsia="黑体"/>
          <w:lang w:val="en-US"/>
        </w:rPr>
        <w:t>十一、政府采购支出情况说明</w:t>
      </w:r>
      <w:r>
        <w:rPr>
          <w:rFonts w:ascii="黑体" w:hAnsi="黑体" w:eastAsia="黑体"/>
          <w:lang w:val="en-US"/>
        </w:rPr>
        <w:t xml:space="preserve"> </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sz w:val="32"/>
          <w:szCs w:val="32"/>
        </w:rPr>
        <w:t>西华县委政研室</w:t>
      </w:r>
      <w:r>
        <w:rPr>
          <w:rFonts w:ascii="仿宋" w:hAnsi="仿宋" w:eastAsia="仿宋"/>
          <w:sz w:val="32"/>
          <w:szCs w:val="32"/>
        </w:rPr>
        <w:t>2017</w:t>
      </w:r>
      <w:r>
        <w:rPr>
          <w:rFonts w:hint="eastAsia" w:ascii="仿宋" w:hAnsi="仿宋" w:eastAsia="仿宋"/>
          <w:sz w:val="32"/>
          <w:szCs w:val="32"/>
        </w:rPr>
        <w:t>年政府采购支出总额</w:t>
      </w:r>
      <w:r>
        <w:rPr>
          <w:rFonts w:ascii="仿宋" w:hAnsi="仿宋" w:eastAsia="仿宋"/>
          <w:sz w:val="32"/>
          <w:szCs w:val="32"/>
        </w:rPr>
        <w:t>0</w:t>
      </w:r>
      <w:r>
        <w:rPr>
          <w:rFonts w:hint="eastAsia" w:ascii="仿宋" w:hAnsi="仿宋" w:eastAsia="仿宋"/>
          <w:sz w:val="32"/>
          <w:szCs w:val="32"/>
        </w:rPr>
        <w:t>万元，政府采购货物支出</w:t>
      </w:r>
      <w:r>
        <w:rPr>
          <w:rFonts w:ascii="仿宋" w:hAnsi="仿宋" w:eastAsia="仿宋"/>
          <w:sz w:val="32"/>
          <w:szCs w:val="32"/>
        </w:rPr>
        <w:t>0</w:t>
      </w:r>
      <w:r>
        <w:rPr>
          <w:rFonts w:hint="eastAsia" w:ascii="仿宋" w:hAnsi="仿宋" w:eastAsia="仿宋"/>
          <w:sz w:val="32"/>
          <w:szCs w:val="32"/>
        </w:rPr>
        <w:t>万元，政府采购工程支出</w:t>
      </w:r>
      <w:r>
        <w:rPr>
          <w:rFonts w:ascii="仿宋" w:hAnsi="仿宋" w:eastAsia="仿宋"/>
          <w:sz w:val="32"/>
          <w:szCs w:val="32"/>
        </w:rPr>
        <w:t>0</w:t>
      </w:r>
      <w:r>
        <w:rPr>
          <w:rFonts w:hint="eastAsia" w:ascii="仿宋" w:hAnsi="仿宋" w:eastAsia="仿宋"/>
          <w:sz w:val="32"/>
          <w:szCs w:val="32"/>
        </w:rPr>
        <w:t>万元，政府采购服务支出</w:t>
      </w:r>
      <w:r>
        <w:rPr>
          <w:rFonts w:ascii="仿宋" w:hAnsi="仿宋" w:eastAsia="仿宋"/>
          <w:sz w:val="32"/>
          <w:szCs w:val="32"/>
        </w:rPr>
        <w:t>0</w:t>
      </w:r>
      <w:r>
        <w:rPr>
          <w:rFonts w:hint="eastAsia" w:ascii="仿宋" w:hAnsi="仿宋" w:eastAsia="仿宋"/>
          <w:sz w:val="32"/>
          <w:szCs w:val="32"/>
        </w:rPr>
        <w:t>万元。</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rFonts w:ascii="黑体" w:hAnsi="黑体" w:eastAsia="黑体"/>
          <w:lang w:val="en-US"/>
        </w:rPr>
      </w:pPr>
      <w:r>
        <w:rPr>
          <w:rFonts w:hint="eastAsia" w:ascii="黑体" w:hAnsi="黑体" w:eastAsia="黑体"/>
          <w:lang w:val="en-US"/>
        </w:rPr>
        <w:t>十二、国有资产占用情况说明</w:t>
      </w:r>
      <w:r>
        <w:rPr>
          <w:rFonts w:ascii="黑体" w:hAnsi="黑体" w:eastAsia="黑体"/>
          <w:lang w:val="en-US"/>
        </w:rPr>
        <w:t xml:space="preserve"> </w:t>
      </w:r>
    </w:p>
    <w:p>
      <w:pPr>
        <w:keepNext w:val="0"/>
        <w:keepLines w:val="0"/>
        <w:pageBreakBefore w:val="0"/>
        <w:kinsoku/>
        <w:wordWrap/>
        <w:overflowPunct/>
        <w:topLinePunct w:val="0"/>
        <w:autoSpaceDE w:val="0"/>
        <w:autoSpaceDN w:val="0"/>
        <w:bidi w:val="0"/>
        <w:adjustRightInd/>
        <w:snapToGrid/>
        <w:spacing w:line="576" w:lineRule="exact"/>
        <w:ind w:firstLine="640" w:firstLineChars="200"/>
        <w:textAlignment w:val="auto"/>
        <w:rPr>
          <w:rFonts w:ascii="仿宋" w:hAnsi="仿宋" w:eastAsia="仿宋"/>
          <w:sz w:val="32"/>
          <w:szCs w:val="32"/>
        </w:rPr>
      </w:pPr>
      <w:r>
        <w:rPr>
          <w:rFonts w:hint="eastAsia" w:ascii="仿宋" w:hAnsi="仿宋" w:eastAsia="仿宋"/>
          <w:sz w:val="32"/>
          <w:szCs w:val="32"/>
        </w:rPr>
        <w:t>截至</w:t>
      </w:r>
      <w:r>
        <w:rPr>
          <w:rFonts w:ascii="仿宋" w:hAnsi="仿宋" w:eastAsia="仿宋"/>
          <w:sz w:val="32"/>
          <w:szCs w:val="32"/>
        </w:rPr>
        <w:t xml:space="preserve"> 2017</w:t>
      </w:r>
      <w:r>
        <w:rPr>
          <w:rFonts w:hint="eastAsia" w:ascii="仿宋" w:hAnsi="仿宋" w:eastAsia="仿宋"/>
          <w:sz w:val="32"/>
          <w:szCs w:val="32"/>
        </w:rPr>
        <w:t>年</w:t>
      </w:r>
      <w:r>
        <w:rPr>
          <w:rFonts w:ascii="仿宋" w:hAnsi="仿宋" w:eastAsia="仿宋"/>
          <w:sz w:val="32"/>
          <w:szCs w:val="32"/>
        </w:rPr>
        <w:t xml:space="preserve"> 12 </w:t>
      </w:r>
      <w:r>
        <w:rPr>
          <w:rFonts w:hint="eastAsia" w:ascii="仿宋" w:hAnsi="仿宋" w:eastAsia="仿宋"/>
          <w:sz w:val="32"/>
          <w:szCs w:val="32"/>
        </w:rPr>
        <w:t>月</w:t>
      </w:r>
      <w:r>
        <w:rPr>
          <w:rFonts w:ascii="仿宋" w:hAnsi="仿宋" w:eastAsia="仿宋"/>
          <w:sz w:val="32"/>
          <w:szCs w:val="32"/>
        </w:rPr>
        <w:t xml:space="preserve"> 31 </w:t>
      </w:r>
      <w:r>
        <w:rPr>
          <w:rFonts w:hint="eastAsia" w:ascii="仿宋" w:hAnsi="仿宋" w:eastAsia="仿宋"/>
          <w:sz w:val="32"/>
          <w:szCs w:val="32"/>
        </w:rPr>
        <w:t>日，西华县委政研室共有车辆</w:t>
      </w:r>
      <w:r>
        <w:rPr>
          <w:rFonts w:ascii="仿宋" w:hAnsi="仿宋" w:eastAsia="仿宋"/>
          <w:sz w:val="32"/>
          <w:szCs w:val="32"/>
        </w:rPr>
        <w:t>0</w:t>
      </w:r>
      <w:r>
        <w:rPr>
          <w:rFonts w:hint="eastAsia" w:ascii="仿宋" w:hAnsi="仿宋" w:eastAsia="仿宋"/>
          <w:sz w:val="32"/>
          <w:szCs w:val="32"/>
        </w:rPr>
        <w:t>辆，为一般公务用车；单价</w:t>
      </w:r>
      <w:r>
        <w:rPr>
          <w:rFonts w:ascii="仿宋" w:hAnsi="仿宋" w:eastAsia="仿宋"/>
          <w:sz w:val="32"/>
          <w:szCs w:val="32"/>
        </w:rPr>
        <w:t>50</w:t>
      </w:r>
      <w:r>
        <w:rPr>
          <w:rFonts w:hint="eastAsia" w:ascii="仿宋" w:hAnsi="仿宋" w:eastAsia="仿宋"/>
          <w:sz w:val="32"/>
          <w:szCs w:val="32"/>
        </w:rPr>
        <w:t>万元以上的通用设备</w:t>
      </w:r>
      <w:r>
        <w:rPr>
          <w:rFonts w:ascii="仿宋" w:hAnsi="仿宋" w:eastAsia="仿宋"/>
          <w:sz w:val="32"/>
          <w:szCs w:val="32"/>
        </w:rPr>
        <w:t>0</w:t>
      </w:r>
      <w:r>
        <w:rPr>
          <w:rFonts w:hint="eastAsia" w:ascii="仿宋" w:hAnsi="仿宋" w:eastAsia="仿宋"/>
          <w:sz w:val="32"/>
          <w:szCs w:val="32"/>
        </w:rPr>
        <w:t>台，单价</w:t>
      </w:r>
      <w:r>
        <w:rPr>
          <w:rFonts w:ascii="仿宋" w:hAnsi="仿宋" w:eastAsia="仿宋"/>
          <w:sz w:val="32"/>
          <w:szCs w:val="32"/>
        </w:rPr>
        <w:t>100</w:t>
      </w:r>
      <w:r>
        <w:rPr>
          <w:rFonts w:hint="eastAsia" w:ascii="仿宋" w:hAnsi="仿宋" w:eastAsia="仿宋"/>
          <w:sz w:val="32"/>
          <w:szCs w:val="32"/>
        </w:rPr>
        <w:t>万元以上的通用设备</w:t>
      </w:r>
      <w:r>
        <w:rPr>
          <w:rFonts w:ascii="仿宋" w:hAnsi="仿宋" w:eastAsia="仿宋"/>
          <w:sz w:val="32"/>
          <w:szCs w:val="32"/>
        </w:rPr>
        <w:t>0</w:t>
      </w:r>
      <w:r>
        <w:rPr>
          <w:rFonts w:hint="eastAsia" w:ascii="仿宋" w:hAnsi="仿宋" w:eastAsia="仿宋"/>
          <w:sz w:val="32"/>
          <w:szCs w:val="32"/>
        </w:rPr>
        <w:t>台。</w:t>
      </w: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ind w:firstLine="1080" w:firstLineChars="225"/>
        <w:jc w:val="center"/>
        <w:textAlignment w:val="auto"/>
        <w:rPr>
          <w:rFonts w:ascii="黑体" w:eastAsia="黑体"/>
          <w:sz w:val="48"/>
        </w:rPr>
      </w:pP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ind w:firstLine="1080" w:firstLineChars="225"/>
        <w:jc w:val="center"/>
        <w:textAlignment w:val="auto"/>
        <w:rPr>
          <w:rFonts w:ascii="黑体" w:eastAsia="黑体"/>
          <w:sz w:val="48"/>
        </w:rPr>
      </w:pP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ind w:firstLine="1080" w:firstLineChars="225"/>
        <w:jc w:val="center"/>
        <w:textAlignment w:val="auto"/>
        <w:rPr>
          <w:rFonts w:ascii="黑体" w:eastAsia="黑体"/>
          <w:sz w:val="48"/>
        </w:rPr>
      </w:pP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ind w:firstLine="1080" w:firstLineChars="225"/>
        <w:jc w:val="center"/>
        <w:textAlignment w:val="auto"/>
        <w:rPr>
          <w:rFonts w:ascii="黑体" w:eastAsia="黑体"/>
          <w:sz w:val="48"/>
        </w:rPr>
      </w:pPr>
    </w:p>
    <w:p>
      <w:pPr>
        <w:keepNext w:val="0"/>
        <w:keepLines w:val="0"/>
        <w:pageBreakBefore w:val="0"/>
        <w:widowControl w:val="0"/>
        <w:tabs>
          <w:tab w:val="left" w:pos="3993"/>
        </w:tabs>
        <w:kinsoku/>
        <w:wordWrap/>
        <w:overflowPunct/>
        <w:topLinePunct w:val="0"/>
        <w:autoSpaceDE w:val="0"/>
        <w:autoSpaceDN w:val="0"/>
        <w:bidi w:val="0"/>
        <w:adjustRightInd/>
        <w:snapToGrid/>
        <w:spacing w:before="32" w:line="576" w:lineRule="exact"/>
        <w:jc w:val="center"/>
        <w:textAlignment w:val="auto"/>
        <w:rPr>
          <w:rFonts w:ascii="黑体" w:eastAsia="黑体"/>
          <w:sz w:val="48"/>
        </w:rPr>
      </w:pPr>
      <w:r>
        <w:rPr>
          <w:rFonts w:hint="eastAsia" w:ascii="黑体" w:eastAsia="黑体"/>
          <w:sz w:val="48"/>
        </w:rPr>
        <w:t>第</w:t>
      </w:r>
      <w:r>
        <w:rPr>
          <w:rFonts w:hint="eastAsia" w:ascii="黑体" w:eastAsia="黑体"/>
          <w:sz w:val="48"/>
          <w:lang w:val="en-US" w:eastAsia="zh-CN"/>
        </w:rPr>
        <w:t>三</w:t>
      </w:r>
      <w:r>
        <w:rPr>
          <w:rFonts w:hint="eastAsia" w:ascii="黑体" w:eastAsia="黑体"/>
          <w:sz w:val="48"/>
        </w:rPr>
        <w:t>部分</w:t>
      </w:r>
      <w:r>
        <w:rPr>
          <w:rFonts w:ascii="黑体" w:eastAsia="黑体"/>
          <w:sz w:val="48"/>
        </w:rPr>
        <w:t xml:space="preserve"> 名词解释</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b/>
          <w:lang w:val="en-US"/>
        </w:rPr>
      </w:pP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643" w:firstLineChars="200"/>
        <w:jc w:val="both"/>
        <w:textAlignment w:val="auto"/>
        <w:rPr>
          <w:lang w:val="en-US"/>
        </w:rPr>
      </w:pPr>
      <w:r>
        <w:rPr>
          <w:rFonts w:hint="eastAsia"/>
          <w:b/>
          <w:lang w:val="en-US"/>
        </w:rPr>
        <w:t>一、财政拨款收入</w:t>
      </w:r>
      <w:r>
        <w:rPr>
          <w:rFonts w:hint="eastAsia"/>
          <w:lang w:val="en-US"/>
        </w:rPr>
        <w:t>：指省级财政当年拨付的资金。</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四、年初结转和结余</w:t>
      </w:r>
      <w:r>
        <w:rPr>
          <w:rFonts w:hint="eastAsia"/>
          <w:lang w:val="en-US"/>
        </w:rPr>
        <w:t>：指以前年度尚未完成、结转到本年</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lang w:val="en-US"/>
        </w:rPr>
      </w:pPr>
      <w:r>
        <w:rPr>
          <w:rFonts w:hint="eastAsia"/>
          <w:lang w:val="en-US"/>
        </w:rPr>
        <w:t>按有关规定继续使用的资金。</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b/>
          <w:lang w:val="en-US"/>
        </w:rPr>
      </w:pPr>
      <w:r>
        <w:rPr>
          <w:rFonts w:hint="eastAsia"/>
          <w:b/>
          <w:lang w:val="en-US"/>
        </w:rPr>
        <w:t>七、社会保障和就业（类）行政事业单位离退休（款）</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3" w:firstLineChars="225"/>
        <w:jc w:val="both"/>
        <w:textAlignment w:val="auto"/>
        <w:rPr>
          <w:lang w:val="en-US"/>
        </w:rPr>
      </w:pPr>
      <w:r>
        <w:rPr>
          <w:rFonts w:hint="eastAsia"/>
          <w:b/>
          <w:lang w:val="en-US"/>
        </w:rPr>
        <w:t>十五、“三公”经费</w:t>
      </w:r>
      <w:r>
        <w:rPr>
          <w:rFonts w:hint="eastAsia"/>
          <w:lang w:val="en-US"/>
        </w:rPr>
        <w:t>：指纳入省级财政预算管理，部门使</w:t>
      </w: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right="270" w:firstLine="720" w:firstLineChars="225"/>
        <w:jc w:val="both"/>
        <w:textAlignment w:val="auto"/>
        <w:rPr>
          <w:lang w:val="en-US"/>
        </w:rPr>
      </w:pPr>
      <w:r>
        <w:rPr>
          <w:rFonts w:hint="eastAsia"/>
          <w:lang w:val="en-US"/>
        </w:rPr>
        <w:t>用财政拨款安排的因公出国（境）费、公务用车购置及运行费和公务接待费。其中，因公出国（境）费反映单位公务出国（境）的住宿费、</w:t>
      </w:r>
      <w:r>
        <w:rPr>
          <w:rFonts w:hint="eastAsia"/>
          <w:lang w:val="en-US" w:eastAsia="zh-CN"/>
        </w:rPr>
        <w:t>差</w:t>
      </w:r>
      <w:r>
        <w:rPr>
          <w:rFonts w:hint="eastAsia"/>
          <w:lang w:val="en-US"/>
        </w:rPr>
        <w:t>旅费、伙食补助费、</w:t>
      </w:r>
      <w:r>
        <w:rPr>
          <w:rFonts w:hint="eastAsia"/>
          <w:lang w:val="en-US" w:eastAsia="zh-CN"/>
        </w:rPr>
        <w:t>公</w:t>
      </w:r>
      <w:r>
        <w:rPr>
          <w:rFonts w:hint="eastAsia"/>
          <w:lang w:val="en-US"/>
        </w:rPr>
        <w:t xml:space="preserve">杂费、培训费等支出；公务用车购置及运行费反映单位公务用车购置费及租用费、燃料费、维修费、过路过桥费、保险费、安全奖励费用等支出；公务接待费反映单位按规定开支的各类公务接待（含外宾接待）支出。 </w:t>
      </w:r>
    </w:p>
    <w:p>
      <w:pPr>
        <w:pStyle w:val="2"/>
        <w:keepNext w:val="0"/>
        <w:keepLines w:val="0"/>
        <w:pageBreakBefore w:val="0"/>
        <w:widowControl w:val="0"/>
        <w:numPr>
          <w:ilvl w:val="0"/>
          <w:numId w:val="1"/>
        </w:numPr>
        <w:kinsoku/>
        <w:wordWrap/>
        <w:overflowPunct/>
        <w:topLinePunct w:val="0"/>
        <w:autoSpaceDE w:val="0"/>
        <w:autoSpaceDN w:val="0"/>
        <w:bidi w:val="0"/>
        <w:adjustRightInd/>
        <w:snapToGrid/>
        <w:spacing w:before="2" w:line="576" w:lineRule="exact"/>
        <w:ind w:right="270" w:firstLine="723" w:firstLineChars="225"/>
        <w:jc w:val="both"/>
        <w:textAlignment w:val="auto"/>
        <w:rPr>
          <w:rFonts w:hint="eastAsia"/>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before="2" w:line="576" w:lineRule="exact"/>
        <w:ind w:right="270" w:rightChars="0"/>
        <w:jc w:val="both"/>
        <w:textAlignment w:val="auto"/>
        <w:rPr>
          <w:rFonts w:hint="eastAsia"/>
          <w:lang w:val="en-US"/>
        </w:rPr>
      </w:pP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left="317" w:right="270" w:firstLine="640" w:firstLineChars="200"/>
        <w:jc w:val="both"/>
        <w:textAlignment w:val="auto"/>
        <w:rPr>
          <w:lang w:val="en-US"/>
        </w:rPr>
      </w:pPr>
    </w:p>
    <w:p>
      <w:pPr>
        <w:keepNext w:val="0"/>
        <w:keepLines w:val="0"/>
        <w:pageBreakBefore w:val="0"/>
        <w:widowControl w:val="0"/>
        <w:kinsoku/>
        <w:wordWrap/>
        <w:overflowPunct/>
        <w:topLinePunct w:val="0"/>
        <w:autoSpaceDE w:val="0"/>
        <w:autoSpaceDN w:val="0"/>
        <w:bidi w:val="0"/>
        <w:adjustRightInd/>
        <w:snapToGrid/>
        <w:spacing w:line="576" w:lineRule="exact"/>
        <w:textAlignment w:val="auto"/>
        <w:sectPr>
          <w:footerReference r:id="rId4" w:type="default"/>
          <w:pgSz w:w="11910" w:h="16840"/>
          <w:pgMar w:top="1600" w:right="1520" w:bottom="920" w:left="1480" w:header="0" w:footer="726" w:gutter="0"/>
          <w:pgNumType w:start="1"/>
          <w:cols w:space="720" w:num="1"/>
        </w:sectPr>
      </w:pPr>
    </w:p>
    <w:p>
      <w:pPr>
        <w:pStyle w:val="2"/>
        <w:keepNext w:val="0"/>
        <w:keepLines w:val="0"/>
        <w:pageBreakBefore w:val="0"/>
        <w:widowControl w:val="0"/>
        <w:kinsoku/>
        <w:wordWrap/>
        <w:overflowPunct/>
        <w:topLinePunct w:val="0"/>
        <w:autoSpaceDE w:val="0"/>
        <w:autoSpaceDN w:val="0"/>
        <w:bidi w:val="0"/>
        <w:adjustRightInd/>
        <w:snapToGrid/>
        <w:spacing w:before="2" w:line="576" w:lineRule="exact"/>
        <w:ind w:left="317" w:right="270" w:firstLine="640" w:firstLineChars="200"/>
        <w:jc w:val="both"/>
        <w:textAlignment w:val="auto"/>
        <w:rPr>
          <w:lang w:val="en-US"/>
        </w:rPr>
      </w:pPr>
    </w:p>
    <w:sectPr>
      <w:footerReference r:id="rId5" w:type="default"/>
      <w:pgSz w:w="11910" w:h="16840"/>
      <w:pgMar w:top="1520" w:right="1278" w:bottom="1180" w:left="1480" w:header="0" w:footer="999"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ËÎÌå">
    <w:altName w:val="Times New Roman"/>
    <w:panose1 w:val="00000000000000000000"/>
    <w:charset w:val="00"/>
    <w:family w:val="auto"/>
    <w:pitch w:val="default"/>
    <w:sig w:usb0="00000000" w:usb1="00000000" w:usb2="00000000" w:usb3="00000000" w:csb0="00000001" w:csb1="00000000"/>
  </w:font>
  <w:font w:name="Batang">
    <w:panose1 w:val="02030600000101010101"/>
    <w:charset w:val="81"/>
    <w:family w:val="auto"/>
    <w:pitch w:val="default"/>
    <w:sig w:usb0="B00002AF" w:usb1="69D77CFB" w:usb2="00000030" w:usb3="00000000" w:csb0="4008009F" w:csb1="DFD7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rFonts w:ascii="仿宋_GB2312" w:hAnsi="仿宋_GB2312" w:eastAsia="仿宋_GB2312" w:cs="仿宋_GB2312"/>
        <w:sz w:val="18"/>
        <w:szCs w:val="18"/>
        <w:lang w:val="zh-CN" w:eastAsia="zh-CN" w:bidi="zh-CN"/>
      </w:rPr>
      <w:pict>
        <v:shape id="_x0000_s4097" o:spid="_x0000_s4097" o:spt="202" type="#_x0000_t202" style="position:absolute;left:0pt;margin-top:0pt;height:144pt;width:144pt;mso-position-horizontal:center;mso-position-horizontal-relative:margin;mso-wrap-style:none;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w:r>
  </w:p>
  <w:p>
    <w:pPr>
      <w:pStyle w:val="2"/>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w:pict>
        <v:shape id="_x0000_s4098" o:spid="_x0000_s4098" o:spt="202" type="#_x0000_t202" style="position:absolute;left:0pt;margin-top:0pt;height:144pt;width:144pt;mso-position-horizontal:center;mso-position-horizontal-relative:margin;mso-wrap-style:none;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w:r>
    <w:r>
      <w:rPr>
        <w:rFonts w:ascii="仿宋_GB2312" w:hAnsi="仿宋_GB2312" w:eastAsia="仿宋_GB2312" w:cs="仿宋_GB2312"/>
        <w:sz w:val="32"/>
        <w:szCs w:val="32"/>
        <w:lang w:val="zh-CN" w:eastAsia="zh-CN" w:bidi="zh-CN"/>
      </w:rPr>
      <w:pict>
        <v:shape id="_x0000_s4099" o:spid="_x0000_s4099" o:spt="202" type="#_x0000_t202" style="position:absolute;left:0pt;margin-left:289.15pt;margin-top:794.7pt;height:12pt;width:17.1pt;mso-position-horizontal-relative:page;mso-position-vertical-relative:pag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spacing w:before="12"/>
                  <w:rPr>
                    <w:rFonts w:ascii="Times New Roman"/>
                    <w:sz w:val="18"/>
                  </w:rPr>
                </w:pP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w:pict>
        <v:shape id="_x0000_s4100" o:spid="_x0000_s4100" o:spt="202" type="#_x0000_t202" style="position:absolute;left:0pt;margin-top:0pt;height:144pt;width:144pt;mso-position-horizontal:center;mso-position-horizontal-relative:margin;mso-wrap-style:none;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v:textbox>
        </v:shape>
      </w:pict>
    </w:r>
    <w:r>
      <w:rPr>
        <w:rFonts w:ascii="仿宋_GB2312" w:hAnsi="仿宋_GB2312" w:eastAsia="仿宋_GB2312" w:cs="仿宋_GB2312"/>
        <w:sz w:val="32"/>
        <w:szCs w:val="32"/>
        <w:lang w:val="zh-CN" w:eastAsia="zh-CN" w:bidi="zh-CN"/>
      </w:rPr>
      <w:pict>
        <v:shape id="_x0000_s4101" o:spid="_x0000_s4101" o:spt="202" type="#_x0000_t202" style="position:absolute;left:0pt;margin-left:295.15pt;margin-top:781.05pt;height:12pt;width:6.5pt;mso-position-horizontal-relative:page;mso-position-vertical-relative:page;z-index:-25165721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spacing w:before="12"/>
                  <w:rPr>
                    <w:rFonts w:ascii="Times New Roman"/>
                    <w:sz w:val="18"/>
                  </w:rPr>
                </w:pP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0359FC"/>
    <w:multiLevelType w:val="singleLevel"/>
    <w:tmpl w:val="4D0359FC"/>
    <w:lvl w:ilvl="0" w:tentative="0">
      <w:start w:val="1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drawingGridHorizontalSpacing w:val="110"/>
  <w:displayHorizontalDrawingGridEvery w:val="2"/>
  <w:displayVerticalDrawingGridEvery w:val="1"/>
  <w:characterSpacingControl w:val="doNotCompress"/>
  <w:hdrShapeDefaults>
    <o:shapelayout v:ext="edit">
      <o:idmap v:ext="edit" data="3,4"/>
    </o:shapelayout>
  </w:hdrShapeDefaults>
  <w:compat>
    <w:spaceForUL/>
    <w:doNotLeaveBackslashAlone/>
    <w:ulTrailSpace/>
    <w:doNotExpandShiftReturn/>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23A02CB7"/>
    <w:rsid w:val="314F3E97"/>
    <w:rsid w:val="36371B05"/>
    <w:rsid w:val="4EF745A9"/>
    <w:rsid w:val="4FEF2A2F"/>
    <w:rsid w:val="57854089"/>
    <w:rsid w:val="583B2016"/>
    <w:rsid w:val="5E4A1E32"/>
    <w:rsid w:val="7FBB5465"/>
    <w:rsid w:val="7FD95E4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autoSpaceDE w:val="0"/>
      <w:autoSpaceDN w:val="0"/>
    </w:pPr>
    <w:rPr>
      <w:rFonts w:ascii="仿宋_GB2312" w:hAnsi="仿宋_GB2312" w:eastAsia="仿宋_GB2312" w:cs="仿宋_GB2312"/>
      <w:sz w:val="22"/>
      <w:szCs w:val="22"/>
      <w:lang w:val="zh-CN" w:eastAsia="zh-CN" w:bidi="zh-CN"/>
    </w:rPr>
  </w:style>
  <w:style w:type="character" w:default="1" w:styleId="5">
    <w:name w:val="Default Paragraph Font"/>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Body Text"/>
    <w:basedOn w:val="1"/>
    <w:qFormat/>
    <w:uiPriority w:val="0"/>
    <w:rPr>
      <w:sz w:val="32"/>
      <w:szCs w:val="32"/>
    </w:rPr>
  </w:style>
  <w:style w:type="paragraph" w:styleId="3">
    <w:name w:val="footer"/>
    <w:basedOn w:val="1"/>
    <w:link w:val="10"/>
    <w:qFormat/>
    <w:uiPriority w:val="0"/>
    <w:pPr>
      <w:tabs>
        <w:tab w:val="center" w:pos="4153"/>
        <w:tab w:val="right" w:pos="8306"/>
      </w:tabs>
      <w:snapToGrid w:val="0"/>
    </w:pPr>
    <w:rPr>
      <w:rFonts w:ascii="仿宋_GB2312" w:hAnsi="仿宋_GB2312" w:eastAsia="仿宋_GB2312" w:cs="仿宋_GB2312"/>
      <w:sz w:val="18"/>
      <w:szCs w:val="18"/>
      <w:lang w:val="zh-CN" w:eastAsia="zh-CN" w:bidi="zh-CN"/>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rFonts w:ascii="仿宋_GB2312" w:hAnsi="仿宋_GB2312" w:eastAsia="仿宋_GB2312" w:cs="仿宋_GB2312"/>
      <w:sz w:val="18"/>
      <w:szCs w:val="18"/>
      <w:lang w:val="zh-CN" w:eastAsia="zh-CN" w:bidi="zh-CN"/>
    </w:rPr>
  </w:style>
  <w:style w:type="character" w:styleId="6">
    <w:name w:val="FollowedHyperlink"/>
    <w:basedOn w:val="5"/>
    <w:uiPriority w:val="0"/>
    <w:rPr>
      <w:color w:val="800080"/>
      <w:u w:val="single"/>
    </w:rPr>
  </w:style>
  <w:style w:type="paragraph" w:customStyle="1" w:styleId="8">
    <w:name w:val="批注框文本1"/>
    <w:basedOn w:val="1"/>
    <w:link w:val="9"/>
    <w:qFormat/>
    <w:uiPriority w:val="0"/>
    <w:rPr>
      <w:rFonts w:ascii="仿宋_GB2312" w:hAnsi="仿宋_GB2312" w:eastAsia="仿宋_GB2312" w:cs="仿宋_GB2312"/>
      <w:sz w:val="18"/>
      <w:szCs w:val="18"/>
      <w:lang w:val="zh-CN" w:bidi="zh-CN"/>
    </w:rPr>
  </w:style>
  <w:style w:type="character" w:customStyle="1" w:styleId="9">
    <w:name w:val="批注框文本 Char"/>
    <w:basedOn w:val="5"/>
    <w:link w:val="8"/>
    <w:semiHidden/>
    <w:uiPriority w:val="0"/>
    <w:rPr>
      <w:rFonts w:ascii="仿宋_GB2312" w:hAnsi="仿宋_GB2312" w:eastAsia="仿宋_GB2312" w:cs="仿宋_GB2312"/>
      <w:sz w:val="18"/>
      <w:szCs w:val="18"/>
      <w:lang w:val="zh-CN" w:bidi="zh-CN"/>
    </w:rPr>
  </w:style>
  <w:style w:type="character" w:customStyle="1" w:styleId="10">
    <w:name w:val="页脚 Char"/>
    <w:basedOn w:val="5"/>
    <w:link w:val="3"/>
    <w:semiHidden/>
    <w:qFormat/>
    <w:uiPriority w:val="0"/>
    <w:rPr>
      <w:rFonts w:ascii="仿宋_GB2312" w:hAnsi="仿宋_GB2312" w:eastAsia="仿宋_GB2312" w:cs="仿宋_GB2312"/>
      <w:sz w:val="18"/>
      <w:szCs w:val="18"/>
      <w:lang w:val="zh-CN" w:eastAsia="zh-CN" w:bidi="zh-CN"/>
    </w:rPr>
  </w:style>
  <w:style w:type="character" w:customStyle="1" w:styleId="11">
    <w:name w:val="页眉 Char"/>
    <w:basedOn w:val="5"/>
    <w:link w:val="4"/>
    <w:semiHidden/>
    <w:qFormat/>
    <w:uiPriority w:val="0"/>
    <w:rPr>
      <w:rFonts w:ascii="仿宋_GB2312" w:hAnsi="仿宋_GB2312" w:eastAsia="仿宋_GB2312" w:cs="仿宋_GB2312"/>
      <w:sz w:val="18"/>
      <w:szCs w:val="18"/>
      <w:lang w:val="zh-CN" w:eastAsia="zh-CN" w:bidi="zh-CN"/>
    </w:rPr>
  </w:style>
  <w:style w:type="paragraph" w:customStyle="1" w:styleId="12">
    <w:name w:val="Normal (Web)"/>
    <w:basedOn w:val="1"/>
    <w:qFormat/>
    <w:uiPriority w:val="0"/>
    <w:pPr>
      <w:widowControl/>
      <w:spacing w:before="100" w:beforeAutospacing="1" w:after="100" w:afterAutospacing="1"/>
    </w:pPr>
    <w:rPr>
      <w:rFonts w:ascii="宋体" w:hAnsi="宋体" w:eastAsia="宋体" w:cs="宋体"/>
      <w:sz w:val="24"/>
      <w:szCs w:val="24"/>
      <w:lang w:val="en-US" w:bidi="ar-SA"/>
    </w:rPr>
  </w:style>
  <w:style w:type="paragraph" w:customStyle="1" w:styleId="13">
    <w:name w:val="标题 11"/>
    <w:basedOn w:val="1"/>
    <w:qFormat/>
    <w:uiPriority w:val="0"/>
    <w:pPr>
      <w:spacing w:before="27"/>
      <w:ind w:left="2273" w:right="2175"/>
      <w:jc w:val="center"/>
      <w:outlineLvl w:val="1"/>
    </w:pPr>
    <w:rPr>
      <w:rFonts w:ascii="黑体" w:hAnsi="黑体" w:eastAsia="黑体" w:cs="黑体"/>
      <w:sz w:val="52"/>
      <w:szCs w:val="52"/>
    </w:rPr>
  </w:style>
  <w:style w:type="paragraph" w:customStyle="1" w:styleId="14">
    <w:name w:val="List Paragraph"/>
    <w:basedOn w:val="1"/>
    <w:uiPriority w:val="0"/>
  </w:style>
  <w:style w:type="paragraph" w:customStyle="1" w:styleId="15">
    <w:name w:val="Table Paragraph"/>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3381</Words>
  <Characters>19276</Characters>
  <Lines>160</Lines>
  <Paragraphs>45</Paragraphs>
  <TotalTime>14</TotalTime>
  <ScaleCrop>false</ScaleCrop>
  <LinksUpToDate>false</LinksUpToDate>
  <CharactersWithSpaces>0</CharactersWithSpaces>
  <Application>WPS Office_11.1.0.8013_F1E327BC-269C-435d-A152-05C5408002CA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2018-09-06T16:10:00Z</dcterms:created>
  <dc:creator>Administrator</dc:creator>
  <cp:lastModifiedBy>Administrator</cp:lastModifiedBy>
  <dcterms:modified xsi:type="dcterms:W3CDTF">2019-01-31T04:50:45Z</dcterms:modified>
  <dc:title>&lt;4D6963726F736F667420576F7264202D20BAD3C4CFCAA1B2C6D5FECCFC32303137C4EABEF6CBE3B9ABBFAACBB5C3F7205F382E3238B2CCD6F7C8CEB8C45F&gt;</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2052-11.1.0.8013</vt:lpwstr>
  </property>
</Properties>
</file>