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7"/>
        <w:ind w:left="-708" w:leftChars="-322" w:right="-63"/>
        <w:rPr>
          <w:rFonts w:hint="eastAsia" w:eastAsia="黑体"/>
          <w:lang w:val="en-US" w:eastAsia="zh-CN"/>
        </w:rPr>
      </w:pPr>
      <w:r>
        <w:rPr>
          <w:rFonts w:hint="eastAsia"/>
          <w:lang w:val="en-US" w:eastAsia="zh-CN"/>
        </w:rPr>
        <w:t>西华县林业局</w:t>
      </w:r>
    </w:p>
    <w:p>
      <w:pPr>
        <w:spacing w:before="285"/>
        <w:ind w:left="2273" w:right="-63"/>
        <w:rPr>
          <w:rFonts w:ascii="黑体" w:eastAsia="黑体"/>
          <w:sz w:val="52"/>
        </w:rPr>
      </w:pPr>
      <w:r>
        <w:rPr>
          <w:rFonts w:hint="eastAsia" w:ascii="黑体" w:eastAsia="黑体"/>
          <w:sz w:val="52"/>
        </w:rPr>
        <w:t>2017 年度部门决算</w:t>
      </w:r>
    </w:p>
    <w:p>
      <w:pPr>
        <w:pStyle w:val="2"/>
        <w:jc w:val="center"/>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spacing w:before="2"/>
        <w:rPr>
          <w:rFonts w:ascii="黑体"/>
          <w:sz w:val="49"/>
        </w:rPr>
      </w:pPr>
    </w:p>
    <w:p>
      <w:pPr>
        <w:pStyle w:val="2"/>
        <w:ind w:left="2273" w:right="2175"/>
        <w:jc w:val="center"/>
        <w:rPr>
          <w:rFonts w:ascii="黑体" w:eastAsia="黑体"/>
        </w:rPr>
      </w:pPr>
      <w:r>
        <w:rPr>
          <w:rFonts w:hint="eastAsia" w:ascii="黑体" w:eastAsia="黑体"/>
        </w:rPr>
        <w:t>二〇一八年</w:t>
      </w:r>
      <w:r>
        <w:rPr>
          <w:rFonts w:hint="eastAsia" w:ascii="黑体" w:eastAsia="黑体"/>
          <w:lang w:val="en-US" w:eastAsia="zh-CN"/>
        </w:rPr>
        <w:t>八</w:t>
      </w:r>
      <w:r>
        <w:rPr>
          <w:rFonts w:hint="eastAsia" w:ascii="黑体" w:eastAsia="黑体"/>
        </w:rPr>
        <w:t>月</w:t>
      </w:r>
    </w:p>
    <w:p>
      <w:pPr>
        <w:jc w:val="center"/>
        <w:sectPr>
          <w:footerReference r:id="rId3" w:type="default"/>
          <w:pgSz w:w="11910" w:h="16840"/>
          <w:pgMar w:top="1600" w:right="570" w:bottom="1180" w:left="1480" w:header="720" w:footer="999" w:gutter="0"/>
          <w:pgNumType w:start="1"/>
          <w:cols w:space="720" w:num="1"/>
        </w:sectPr>
      </w:pPr>
    </w:p>
    <w:p>
      <w:pPr>
        <w:tabs>
          <w:tab w:val="left" w:pos="3420"/>
        </w:tabs>
        <w:spacing w:before="26"/>
        <w:jc w:val="center"/>
        <w:rPr>
          <w:rFonts w:ascii="黑体" w:eastAsia="黑体"/>
          <w:sz w:val="36"/>
        </w:rPr>
      </w:pPr>
      <w:r>
        <w:rPr>
          <w:rFonts w:hint="eastAsia" w:ascii="黑体" w:eastAsia="黑体"/>
          <w:sz w:val="36"/>
        </w:rPr>
        <w:t>目    录</w:t>
      </w:r>
    </w:p>
    <w:p>
      <w:pPr>
        <w:pStyle w:val="2"/>
        <w:keepNext w:val="0"/>
        <w:keepLines w:val="0"/>
        <w:pageBreakBefore w:val="0"/>
        <w:widowControl w:val="0"/>
        <w:tabs>
          <w:tab w:val="left" w:pos="2027"/>
        </w:tabs>
        <w:kinsoku/>
        <w:wordWrap/>
        <w:overflowPunct/>
        <w:topLinePunct w:val="0"/>
        <w:autoSpaceDE w:val="0"/>
        <w:autoSpaceDN w:val="0"/>
        <w:bidi w:val="0"/>
        <w:spacing w:before="198" w:line="360" w:lineRule="auto"/>
        <w:ind w:left="108" w:leftChars="49" w:firstLine="640" w:firstLineChars="200"/>
        <w:textAlignment w:val="auto"/>
        <w:rPr>
          <w:rFonts w:ascii="黑体" w:eastAsia="黑体"/>
        </w:rPr>
      </w:pPr>
      <w:r>
        <w:rPr>
          <w:rFonts w:hint="eastAsia" w:ascii="黑体" w:eastAsia="黑体"/>
        </w:rPr>
        <w:t xml:space="preserve">第一部分 </w:t>
      </w:r>
      <w:r>
        <w:rPr>
          <w:rFonts w:hint="eastAsia" w:ascii="黑体" w:eastAsia="黑体"/>
          <w:lang w:eastAsia="zh-CN"/>
        </w:rPr>
        <w:t>西华县林业</w:t>
      </w:r>
      <w:r>
        <w:rPr>
          <w:rFonts w:hint="eastAsia" w:ascii="黑体" w:eastAsia="黑体"/>
        </w:rPr>
        <w:t>局概况</w:t>
      </w:r>
    </w:p>
    <w:p>
      <w:pPr>
        <w:pStyle w:val="2"/>
        <w:keepNext w:val="0"/>
        <w:keepLines w:val="0"/>
        <w:pageBreakBefore w:val="0"/>
        <w:widowControl w:val="0"/>
        <w:kinsoku/>
        <w:wordWrap/>
        <w:overflowPunct/>
        <w:topLinePunct w:val="0"/>
        <w:autoSpaceDE w:val="0"/>
        <w:autoSpaceDN w:val="0"/>
        <w:bidi w:val="0"/>
        <w:spacing w:before="225" w:line="360" w:lineRule="auto"/>
        <w:ind w:left="747" w:right="6233"/>
        <w:textAlignment w:val="auto"/>
        <w:rPr>
          <w:rFonts w:ascii="宋体" w:eastAsia="宋体"/>
        </w:rPr>
      </w:pPr>
      <w:r>
        <w:rPr>
          <w:rFonts w:hint="eastAsia" w:ascii="宋体" w:eastAsia="宋体"/>
        </w:rPr>
        <w:t>一、部门职责二、机构设置</w:t>
      </w:r>
    </w:p>
    <w:p>
      <w:pPr>
        <w:pStyle w:val="2"/>
        <w:keepNext w:val="0"/>
        <w:keepLines w:val="0"/>
        <w:pageBreakBefore w:val="0"/>
        <w:widowControl w:val="0"/>
        <w:tabs>
          <w:tab w:val="left" w:pos="2026"/>
        </w:tabs>
        <w:kinsoku/>
        <w:wordWrap/>
        <w:overflowPunct/>
        <w:topLinePunct w:val="0"/>
        <w:autoSpaceDE w:val="0"/>
        <w:autoSpaceDN w:val="0"/>
        <w:bidi w:val="0"/>
        <w:spacing w:line="360" w:lineRule="auto"/>
        <w:ind w:left="108" w:leftChars="49" w:firstLine="640" w:firstLineChars="200"/>
        <w:textAlignment w:val="auto"/>
        <w:rPr>
          <w:rFonts w:ascii="黑体" w:eastAsia="黑体"/>
        </w:rPr>
      </w:pPr>
      <w:r>
        <w:rPr>
          <w:rFonts w:hint="eastAsia" w:ascii="黑体" w:eastAsia="黑体"/>
        </w:rPr>
        <w:t>第</w:t>
      </w:r>
      <w:r>
        <w:rPr>
          <w:rFonts w:hint="eastAsia" w:ascii="黑体" w:eastAsia="黑体"/>
          <w:lang w:val="en-US" w:eastAsia="zh-CN"/>
        </w:rPr>
        <w:t>二</w:t>
      </w:r>
      <w:r>
        <w:rPr>
          <w:rFonts w:hint="eastAsia" w:ascii="黑体" w:eastAsia="黑体"/>
        </w:rPr>
        <w:t>部分</w:t>
      </w:r>
      <w:r>
        <w:rPr>
          <w:rFonts w:hint="eastAsia" w:ascii="黑体" w:eastAsia="黑体"/>
        </w:rPr>
        <w:tab/>
      </w:r>
      <w:r>
        <w:rPr>
          <w:rFonts w:hint="eastAsia" w:ascii="黑体" w:eastAsia="黑体"/>
        </w:rPr>
        <w:t xml:space="preserve"> 2017</w:t>
      </w:r>
      <w:r>
        <w:rPr>
          <w:rFonts w:hint="eastAsia" w:ascii="黑体" w:eastAsia="黑体"/>
          <w:spacing w:val="-82"/>
        </w:rPr>
        <w:t xml:space="preserve"> </w:t>
      </w:r>
      <w:r>
        <w:rPr>
          <w:rFonts w:hint="eastAsia" w:ascii="黑体" w:eastAsia="黑体"/>
        </w:rPr>
        <w:t>年度部门决算情况说明</w:t>
      </w:r>
    </w:p>
    <w:p>
      <w:pPr>
        <w:pStyle w:val="2"/>
        <w:keepNext w:val="0"/>
        <w:keepLines w:val="0"/>
        <w:pageBreakBefore w:val="0"/>
        <w:widowControl w:val="0"/>
        <w:kinsoku/>
        <w:wordWrap/>
        <w:overflowPunct/>
        <w:topLinePunct w:val="0"/>
        <w:autoSpaceDE w:val="0"/>
        <w:autoSpaceDN w:val="0"/>
        <w:bidi w:val="0"/>
        <w:spacing w:before="225" w:line="360" w:lineRule="auto"/>
        <w:ind w:left="271" w:leftChars="123" w:right="3675" w:firstLine="636" w:firstLineChars="200"/>
        <w:jc w:val="left"/>
        <w:textAlignment w:val="auto"/>
        <w:rPr>
          <w:rFonts w:hint="eastAsia" w:asciiTheme="minorEastAsia" w:hAnsiTheme="minorEastAsia" w:eastAsiaTheme="minorEastAsia" w:cstheme="minorEastAsia"/>
          <w:b w:val="0"/>
          <w:bCs w:val="0"/>
          <w:spacing w:val="-1"/>
          <w:sz w:val="32"/>
          <w:szCs w:val="32"/>
        </w:rPr>
      </w:pPr>
      <w:r>
        <w:rPr>
          <w:rFonts w:hint="eastAsia" w:asciiTheme="minorEastAsia" w:hAnsiTheme="minorEastAsia" w:eastAsiaTheme="minorEastAsia" w:cstheme="minorEastAsia"/>
          <w:b w:val="0"/>
          <w:bCs w:val="0"/>
          <w:spacing w:val="-1"/>
          <w:sz w:val="32"/>
          <w:szCs w:val="32"/>
        </w:rPr>
        <w:t>一、收入支出决算总体情况说</w:t>
      </w:r>
    </w:p>
    <w:p>
      <w:pPr>
        <w:pStyle w:val="2"/>
        <w:keepNext w:val="0"/>
        <w:keepLines w:val="0"/>
        <w:pageBreakBefore w:val="0"/>
        <w:widowControl w:val="0"/>
        <w:kinsoku/>
        <w:wordWrap/>
        <w:overflowPunct/>
        <w:topLinePunct w:val="0"/>
        <w:autoSpaceDE w:val="0"/>
        <w:autoSpaceDN w:val="0"/>
        <w:bidi w:val="0"/>
        <w:spacing w:before="225" w:line="360" w:lineRule="auto"/>
        <w:ind w:left="271" w:leftChars="123" w:right="3675" w:firstLine="640" w:firstLineChars="200"/>
        <w:jc w:val="left"/>
        <w:textAlignment w:val="auto"/>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二、</w:t>
      </w:r>
      <w:r>
        <w:rPr>
          <w:rFonts w:hint="eastAsia" w:asciiTheme="minorEastAsia" w:hAnsiTheme="minorEastAsia" w:eastAsiaTheme="minorEastAsia" w:cstheme="minorEastAsia"/>
          <w:b w:val="0"/>
          <w:bCs w:val="0"/>
          <w:sz w:val="32"/>
          <w:szCs w:val="32"/>
        </w:rPr>
        <w:t>一般公共预算收入决算说明</w:t>
      </w:r>
    </w:p>
    <w:p>
      <w:pPr>
        <w:keepNext w:val="0"/>
        <w:keepLines w:val="0"/>
        <w:pageBreakBefore w:val="0"/>
        <w:widowControl w:val="0"/>
        <w:kinsoku/>
        <w:wordWrap/>
        <w:overflowPunct/>
        <w:topLinePunct w:val="0"/>
        <w:autoSpaceDE w:val="0"/>
        <w:autoSpaceDN w:val="0"/>
        <w:bidi w:val="0"/>
        <w:spacing w:line="360" w:lineRule="auto"/>
        <w:ind w:firstLine="960" w:firstLineChars="300"/>
        <w:jc w:val="left"/>
        <w:textAlignment w:val="auto"/>
        <w:rPr>
          <w:rFonts w:hint="eastAsia" w:asciiTheme="minorEastAsia" w:hAnsiTheme="minorEastAsia" w:eastAsiaTheme="minorEastAsia" w:cstheme="minorEastAsia"/>
          <w:b w:val="0"/>
          <w:bCs w:val="0"/>
          <w:sz w:val="32"/>
          <w:szCs w:val="32"/>
        </w:rPr>
      </w:pPr>
      <w:r>
        <w:rPr>
          <w:rFonts w:hint="eastAsia" w:asciiTheme="minorEastAsia" w:hAnsiTheme="minorEastAsia" w:eastAsiaTheme="minorEastAsia" w:cstheme="minorEastAsia"/>
          <w:b w:val="0"/>
          <w:bCs w:val="0"/>
          <w:sz w:val="32"/>
          <w:szCs w:val="32"/>
          <w:lang w:val="en-US" w:eastAsia="zh-CN"/>
        </w:rPr>
        <w:t>三、</w:t>
      </w:r>
      <w:r>
        <w:rPr>
          <w:rFonts w:hint="eastAsia" w:asciiTheme="minorEastAsia" w:hAnsiTheme="minorEastAsia" w:eastAsiaTheme="minorEastAsia" w:cstheme="minorEastAsia"/>
          <w:b w:val="0"/>
          <w:bCs w:val="0"/>
          <w:sz w:val="32"/>
          <w:szCs w:val="32"/>
        </w:rPr>
        <w:t>支出决算情况说明</w:t>
      </w:r>
    </w:p>
    <w:p>
      <w:pPr>
        <w:keepNext w:val="0"/>
        <w:keepLines w:val="0"/>
        <w:pageBreakBefore w:val="0"/>
        <w:widowControl w:val="0"/>
        <w:numPr>
          <w:ilvl w:val="0"/>
          <w:numId w:val="1"/>
        </w:numPr>
        <w:kinsoku/>
        <w:wordWrap/>
        <w:overflowPunct/>
        <w:topLinePunct w:val="0"/>
        <w:autoSpaceDE w:val="0"/>
        <w:autoSpaceDN w:val="0"/>
        <w:bidi w:val="0"/>
        <w:spacing w:line="360" w:lineRule="auto"/>
        <w:ind w:left="271" w:leftChars="123" w:firstLine="640" w:firstLineChars="200"/>
        <w:jc w:val="left"/>
        <w:textAlignment w:val="auto"/>
        <w:rPr>
          <w:rFonts w:hint="eastAsia" w:asciiTheme="minorEastAsia" w:hAnsiTheme="minorEastAsia" w:eastAsiaTheme="minorEastAsia" w:cstheme="minorEastAsia"/>
          <w:b w:val="0"/>
          <w:bCs w:val="0"/>
          <w:sz w:val="32"/>
          <w:szCs w:val="32"/>
        </w:rPr>
      </w:pPr>
      <w:r>
        <w:rPr>
          <w:rFonts w:hint="eastAsia" w:asciiTheme="minorEastAsia" w:hAnsiTheme="minorEastAsia" w:eastAsiaTheme="minorEastAsia" w:cstheme="minorEastAsia"/>
          <w:b w:val="0"/>
          <w:bCs w:val="0"/>
          <w:sz w:val="32"/>
          <w:szCs w:val="32"/>
        </w:rPr>
        <w:t>一般公共预算财政拨款支出决算分项情况说明</w:t>
      </w:r>
    </w:p>
    <w:p>
      <w:pPr>
        <w:keepNext w:val="0"/>
        <w:keepLines w:val="0"/>
        <w:pageBreakBefore w:val="0"/>
        <w:widowControl w:val="0"/>
        <w:numPr>
          <w:ilvl w:val="0"/>
          <w:numId w:val="1"/>
        </w:numPr>
        <w:kinsoku/>
        <w:wordWrap/>
        <w:overflowPunct/>
        <w:topLinePunct w:val="0"/>
        <w:autoSpaceDE w:val="0"/>
        <w:autoSpaceDN w:val="0"/>
        <w:bidi w:val="0"/>
        <w:spacing w:line="360" w:lineRule="auto"/>
        <w:ind w:left="271" w:leftChars="123" w:firstLine="640" w:firstLineChars="200"/>
        <w:jc w:val="left"/>
        <w:textAlignment w:val="auto"/>
        <w:rPr>
          <w:rFonts w:hint="eastAsia" w:asciiTheme="minorEastAsia" w:hAnsiTheme="minorEastAsia" w:eastAsiaTheme="minorEastAsia" w:cstheme="minorEastAsia"/>
          <w:b w:val="0"/>
          <w:bCs w:val="0"/>
          <w:sz w:val="32"/>
          <w:szCs w:val="32"/>
        </w:rPr>
      </w:pPr>
      <w:r>
        <w:rPr>
          <w:rFonts w:hint="eastAsia" w:asciiTheme="minorEastAsia" w:hAnsiTheme="minorEastAsia" w:eastAsiaTheme="minorEastAsia" w:cstheme="minorEastAsia"/>
          <w:b w:val="0"/>
          <w:bCs w:val="0"/>
          <w:sz w:val="32"/>
          <w:szCs w:val="32"/>
        </w:rPr>
        <w:t>一般公共预算财政拨款基本支出决算情况说明</w:t>
      </w:r>
    </w:p>
    <w:p>
      <w:pPr>
        <w:keepNext w:val="0"/>
        <w:keepLines w:val="0"/>
        <w:pageBreakBefore w:val="0"/>
        <w:widowControl w:val="0"/>
        <w:numPr>
          <w:ilvl w:val="0"/>
          <w:numId w:val="2"/>
        </w:numPr>
        <w:kinsoku/>
        <w:wordWrap/>
        <w:overflowPunct/>
        <w:topLinePunct w:val="0"/>
        <w:autoSpaceDE w:val="0"/>
        <w:autoSpaceDN w:val="0"/>
        <w:bidi w:val="0"/>
        <w:spacing w:line="360" w:lineRule="auto"/>
        <w:ind w:left="271" w:leftChars="123" w:firstLine="640" w:firstLineChars="200"/>
        <w:jc w:val="left"/>
        <w:textAlignment w:val="auto"/>
        <w:rPr>
          <w:rFonts w:hint="eastAsia" w:asciiTheme="minorEastAsia" w:hAnsiTheme="minorEastAsia" w:eastAsiaTheme="minorEastAsia" w:cstheme="minorEastAsia"/>
          <w:b w:val="0"/>
          <w:bCs w:val="0"/>
          <w:sz w:val="32"/>
          <w:szCs w:val="32"/>
        </w:rPr>
      </w:pPr>
      <w:r>
        <w:rPr>
          <w:rFonts w:hint="eastAsia" w:asciiTheme="minorEastAsia" w:hAnsiTheme="minorEastAsia" w:eastAsiaTheme="minorEastAsia" w:cstheme="minorEastAsia"/>
          <w:b w:val="0"/>
          <w:bCs w:val="0"/>
          <w:sz w:val="32"/>
          <w:szCs w:val="32"/>
        </w:rPr>
        <w:t>一般公共预算财政拨款“三公”经费支出决算情况说</w:t>
      </w:r>
      <w:r>
        <w:rPr>
          <w:rFonts w:hint="eastAsia" w:asciiTheme="minorEastAsia" w:hAnsiTheme="minorEastAsia" w:eastAsiaTheme="minorEastAsia" w:cstheme="minorEastAsia"/>
          <w:b w:val="0"/>
          <w:bCs w:val="0"/>
          <w:sz w:val="32"/>
          <w:szCs w:val="32"/>
          <w:lang w:val="en-US" w:eastAsia="zh-CN"/>
        </w:rPr>
        <w:t>明</w:t>
      </w:r>
    </w:p>
    <w:p>
      <w:pPr>
        <w:keepNext w:val="0"/>
        <w:keepLines w:val="0"/>
        <w:pageBreakBefore w:val="0"/>
        <w:widowControl w:val="0"/>
        <w:kinsoku/>
        <w:wordWrap/>
        <w:overflowPunct/>
        <w:topLinePunct w:val="0"/>
        <w:autoSpaceDE w:val="0"/>
        <w:autoSpaceDN w:val="0"/>
        <w:bidi w:val="0"/>
        <w:adjustRightInd w:val="0"/>
        <w:snapToGrid w:val="0"/>
        <w:spacing w:line="360" w:lineRule="auto"/>
        <w:ind w:left="271" w:leftChars="123" w:firstLine="643"/>
        <w:jc w:val="left"/>
        <w:textAlignment w:val="auto"/>
        <w:rPr>
          <w:rFonts w:hint="eastAsia" w:asciiTheme="minorEastAsia" w:hAnsiTheme="minorEastAsia" w:eastAsiaTheme="minorEastAsia" w:cstheme="minorEastAsia"/>
          <w:b w:val="0"/>
          <w:bCs w:val="0"/>
          <w:sz w:val="32"/>
          <w:szCs w:val="32"/>
        </w:rPr>
      </w:pPr>
      <w:r>
        <w:rPr>
          <w:rFonts w:hint="eastAsia" w:asciiTheme="minorEastAsia" w:hAnsiTheme="minorEastAsia" w:eastAsiaTheme="minorEastAsia" w:cstheme="minorEastAsia"/>
          <w:b w:val="0"/>
          <w:bCs w:val="0"/>
          <w:sz w:val="32"/>
          <w:szCs w:val="32"/>
          <w:lang w:eastAsia="zh-CN"/>
        </w:rPr>
        <w:t>七、</w:t>
      </w:r>
      <w:r>
        <w:rPr>
          <w:rFonts w:hint="eastAsia" w:asciiTheme="minorEastAsia" w:hAnsiTheme="minorEastAsia" w:eastAsiaTheme="minorEastAsia" w:cstheme="minorEastAsia"/>
          <w:b w:val="0"/>
          <w:bCs w:val="0"/>
          <w:sz w:val="32"/>
          <w:szCs w:val="32"/>
        </w:rPr>
        <w:t>政府基金收支情况说明</w:t>
      </w:r>
    </w:p>
    <w:p>
      <w:pPr>
        <w:keepNext w:val="0"/>
        <w:keepLines w:val="0"/>
        <w:pageBreakBefore w:val="0"/>
        <w:widowControl w:val="0"/>
        <w:kinsoku/>
        <w:wordWrap/>
        <w:overflowPunct/>
        <w:topLinePunct w:val="0"/>
        <w:autoSpaceDE w:val="0"/>
        <w:autoSpaceDN w:val="0"/>
        <w:bidi w:val="0"/>
        <w:adjustRightInd w:val="0"/>
        <w:snapToGrid w:val="0"/>
        <w:spacing w:line="360" w:lineRule="auto"/>
        <w:ind w:left="271" w:leftChars="123" w:firstLine="643"/>
        <w:jc w:val="left"/>
        <w:textAlignment w:val="auto"/>
        <w:rPr>
          <w:rFonts w:hint="eastAsia" w:asciiTheme="minorEastAsia" w:hAnsiTheme="minorEastAsia" w:eastAsiaTheme="minorEastAsia" w:cstheme="minorEastAsia"/>
          <w:b w:val="0"/>
          <w:bCs w:val="0"/>
          <w:spacing w:val="-20"/>
          <w:sz w:val="32"/>
          <w:szCs w:val="32"/>
          <w:lang w:val="en-US" w:eastAsia="zh-CN"/>
        </w:rPr>
        <w:sectPr>
          <w:pgSz w:w="11910" w:h="16840"/>
          <w:pgMar w:top="1500" w:right="1520" w:bottom="1180" w:left="1480" w:header="0" w:footer="999" w:gutter="0"/>
          <w:cols w:space="720" w:num="1"/>
        </w:sectPr>
      </w:pPr>
      <w:r>
        <w:rPr>
          <w:rFonts w:hint="eastAsia" w:asciiTheme="minorEastAsia" w:hAnsiTheme="minorEastAsia" w:eastAsiaTheme="minorEastAsia" w:cstheme="minorEastAsia"/>
          <w:b w:val="0"/>
          <w:bCs w:val="0"/>
          <w:sz w:val="32"/>
          <w:szCs w:val="32"/>
          <w:lang w:eastAsia="zh-CN"/>
        </w:rPr>
        <w:t>八、</w:t>
      </w:r>
      <w:r>
        <w:rPr>
          <w:rFonts w:hint="eastAsia" w:asciiTheme="minorEastAsia" w:hAnsiTheme="minorEastAsia" w:eastAsiaTheme="minorEastAsia" w:cstheme="minorEastAsia"/>
          <w:b w:val="0"/>
          <w:bCs w:val="0"/>
          <w:sz w:val="32"/>
          <w:szCs w:val="32"/>
        </w:rPr>
        <w:t>重点绩效评</w:t>
      </w:r>
      <w:bookmarkStart w:id="0" w:name="_GoBack"/>
      <w:bookmarkEnd w:id="0"/>
      <w:r>
        <w:rPr>
          <w:rFonts w:hint="eastAsia" w:asciiTheme="minorEastAsia" w:hAnsiTheme="minorEastAsia" w:eastAsiaTheme="minorEastAsia" w:cstheme="minorEastAsia"/>
          <w:b w:val="0"/>
          <w:bCs w:val="0"/>
          <w:sz w:val="32"/>
          <w:szCs w:val="32"/>
        </w:rPr>
        <w:t>价等预算绩效情况说明</w:t>
      </w:r>
    </w:p>
    <w:p>
      <w:pPr>
        <w:keepNext w:val="0"/>
        <w:keepLines w:val="0"/>
        <w:pageBreakBefore w:val="0"/>
        <w:widowControl w:val="0"/>
        <w:numPr>
          <w:ilvl w:val="0"/>
          <w:numId w:val="0"/>
        </w:numPr>
        <w:kinsoku/>
        <w:wordWrap/>
        <w:overflowPunct/>
        <w:topLinePunct w:val="0"/>
        <w:autoSpaceDE w:val="0"/>
        <w:autoSpaceDN w:val="0"/>
        <w:bidi w:val="0"/>
        <w:spacing w:line="360" w:lineRule="auto"/>
        <w:jc w:val="left"/>
        <w:textAlignment w:val="auto"/>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eastAsia="zh-CN"/>
        </w:rPr>
        <w:t>九、</w:t>
      </w:r>
      <w:r>
        <w:rPr>
          <w:rFonts w:hint="eastAsia" w:asciiTheme="minorEastAsia" w:hAnsiTheme="minorEastAsia" w:eastAsiaTheme="minorEastAsia" w:cstheme="minorEastAsia"/>
          <w:b w:val="0"/>
          <w:bCs w:val="0"/>
          <w:sz w:val="32"/>
          <w:szCs w:val="32"/>
        </w:rPr>
        <w:t>机关运行经费支出情况</w:t>
      </w:r>
      <w:r>
        <w:rPr>
          <w:rFonts w:hint="eastAsia" w:asciiTheme="minorEastAsia" w:hAnsiTheme="minorEastAsia" w:eastAsiaTheme="minorEastAsia" w:cstheme="minorEastAsia"/>
          <w:b w:val="0"/>
          <w:bCs w:val="0"/>
          <w:sz w:val="32"/>
          <w:szCs w:val="32"/>
          <w:lang w:val="en-US" w:eastAsia="zh-CN"/>
        </w:rPr>
        <w:t>说明</w:t>
      </w:r>
    </w:p>
    <w:p>
      <w:pPr>
        <w:pStyle w:val="2"/>
        <w:keepNext w:val="0"/>
        <w:keepLines w:val="0"/>
        <w:pageBreakBefore w:val="0"/>
        <w:widowControl w:val="0"/>
        <w:numPr>
          <w:ilvl w:val="0"/>
          <w:numId w:val="0"/>
        </w:numPr>
        <w:kinsoku/>
        <w:wordWrap/>
        <w:overflowPunct/>
        <w:topLinePunct w:val="0"/>
        <w:autoSpaceDE w:val="0"/>
        <w:autoSpaceDN w:val="0"/>
        <w:bidi w:val="0"/>
        <w:spacing w:line="360" w:lineRule="auto"/>
        <w:ind w:leftChars="323" w:right="3994" w:rightChars="0"/>
        <w:jc w:val="left"/>
        <w:textAlignment w:val="auto"/>
        <w:rPr>
          <w:rFonts w:hint="eastAsia" w:asciiTheme="minorEastAsia" w:hAnsiTheme="minorEastAsia" w:eastAsiaTheme="minorEastAsia" w:cstheme="minorEastAsia"/>
          <w:b w:val="0"/>
          <w:bCs w:val="0"/>
          <w:sz w:val="32"/>
          <w:szCs w:val="32"/>
        </w:rPr>
      </w:pPr>
      <w:r>
        <w:rPr>
          <w:rFonts w:hint="eastAsia" w:asciiTheme="minorEastAsia" w:hAnsiTheme="minorEastAsia" w:eastAsiaTheme="minorEastAsia" w:cstheme="minorEastAsia"/>
          <w:b w:val="0"/>
          <w:bCs w:val="0"/>
          <w:sz w:val="32"/>
          <w:szCs w:val="32"/>
          <w:lang w:eastAsia="zh-CN"/>
        </w:rPr>
        <w:t>十、</w:t>
      </w:r>
      <w:r>
        <w:rPr>
          <w:rFonts w:hint="eastAsia" w:asciiTheme="minorEastAsia" w:hAnsiTheme="minorEastAsia" w:eastAsiaTheme="minorEastAsia" w:cstheme="minorEastAsia"/>
          <w:b w:val="0"/>
          <w:bCs w:val="0"/>
          <w:sz w:val="32"/>
          <w:szCs w:val="32"/>
        </w:rPr>
        <w:t>政府采购支出情况</w:t>
      </w:r>
      <w:r>
        <w:rPr>
          <w:rFonts w:hint="eastAsia" w:asciiTheme="minorEastAsia" w:hAnsiTheme="minorEastAsia" w:eastAsiaTheme="minorEastAsia" w:cstheme="minorEastAsia"/>
          <w:b w:val="0"/>
          <w:bCs w:val="0"/>
          <w:sz w:val="32"/>
          <w:szCs w:val="32"/>
          <w:lang w:val="en-US" w:eastAsia="zh-CN"/>
        </w:rPr>
        <w:t>说明</w:t>
      </w:r>
    </w:p>
    <w:p>
      <w:pPr>
        <w:keepNext w:val="0"/>
        <w:keepLines w:val="0"/>
        <w:pageBreakBefore w:val="0"/>
        <w:widowControl w:val="0"/>
        <w:kinsoku/>
        <w:wordWrap/>
        <w:overflowPunct/>
        <w:topLinePunct w:val="0"/>
        <w:autoSpaceDE w:val="0"/>
        <w:autoSpaceDN w:val="0"/>
        <w:bidi w:val="0"/>
        <w:spacing w:line="360" w:lineRule="auto"/>
        <w:ind w:firstLine="640" w:firstLineChars="200"/>
        <w:jc w:val="left"/>
        <w:textAlignment w:val="auto"/>
        <w:rPr>
          <w:rFonts w:hint="eastAsia" w:asciiTheme="minorEastAsia" w:hAnsiTheme="minorEastAsia" w:eastAsiaTheme="minorEastAsia" w:cstheme="minorEastAsia"/>
          <w:b w:val="0"/>
          <w:bCs w:val="0"/>
          <w:spacing w:val="-20"/>
          <w:sz w:val="32"/>
          <w:szCs w:val="32"/>
          <w:lang w:val="en-US" w:eastAsia="zh-CN"/>
        </w:rPr>
      </w:pPr>
      <w:r>
        <w:rPr>
          <w:rFonts w:hint="eastAsia" w:asciiTheme="minorEastAsia" w:hAnsiTheme="minorEastAsia" w:eastAsiaTheme="minorEastAsia" w:cstheme="minorEastAsia"/>
          <w:b w:val="0"/>
          <w:bCs w:val="0"/>
          <w:sz w:val="32"/>
          <w:szCs w:val="32"/>
          <w:lang w:eastAsia="zh-CN"/>
        </w:rPr>
        <w:t>十一、</w:t>
      </w:r>
      <w:r>
        <w:rPr>
          <w:rFonts w:hint="eastAsia" w:asciiTheme="minorEastAsia" w:hAnsiTheme="minorEastAsia" w:eastAsiaTheme="minorEastAsia" w:cstheme="minorEastAsia"/>
          <w:b w:val="0"/>
          <w:bCs w:val="0"/>
          <w:sz w:val="32"/>
          <w:szCs w:val="32"/>
        </w:rPr>
        <w:t>国有资产占用情况说明</w:t>
      </w:r>
    </w:p>
    <w:p>
      <w:pPr>
        <w:pStyle w:val="2"/>
        <w:keepNext w:val="0"/>
        <w:keepLines w:val="0"/>
        <w:pageBreakBefore w:val="0"/>
        <w:widowControl w:val="0"/>
        <w:kinsoku/>
        <w:wordWrap/>
        <w:overflowPunct/>
        <w:topLinePunct w:val="0"/>
        <w:autoSpaceDE w:val="0"/>
        <w:autoSpaceDN w:val="0"/>
        <w:bidi w:val="0"/>
        <w:adjustRightInd/>
        <w:snapToGrid/>
        <w:spacing w:before="223" w:line="360" w:lineRule="auto"/>
        <w:ind w:left="271" w:leftChars="123" w:right="1434"/>
        <w:jc w:val="left"/>
        <w:textAlignment w:val="auto"/>
        <w:rPr>
          <w:rFonts w:hint="eastAsia" w:asciiTheme="minorEastAsia" w:hAnsiTheme="minorEastAsia" w:eastAsiaTheme="minorEastAsia" w:cstheme="minorEastAsia"/>
          <w:b w:val="0"/>
          <w:bCs w:val="0"/>
          <w:spacing w:val="-20"/>
          <w:sz w:val="32"/>
          <w:szCs w:val="32"/>
          <w:lang w:val="en-US" w:eastAsia="zh-CN"/>
        </w:rPr>
        <w:sectPr>
          <w:pgSz w:w="11910" w:h="16840"/>
          <w:pgMar w:top="1500" w:right="1520" w:bottom="1180" w:left="1480" w:header="0" w:footer="999" w:gutter="0"/>
          <w:cols w:space="720" w:num="1"/>
        </w:sectPr>
      </w:pPr>
    </w:p>
    <w:p>
      <w:pPr>
        <w:pStyle w:val="2"/>
        <w:tabs>
          <w:tab w:val="left" w:pos="2027"/>
        </w:tabs>
        <w:spacing w:line="407" w:lineRule="exact"/>
        <w:ind w:left="108" w:leftChars="49" w:firstLine="640" w:firstLineChars="200"/>
        <w:rPr>
          <w:rFonts w:ascii="黑体" w:eastAsia="黑体"/>
        </w:rPr>
      </w:pPr>
      <w:r>
        <w:rPr>
          <w:rFonts w:hint="eastAsia" w:ascii="黑体" w:eastAsia="黑体"/>
        </w:rPr>
        <w:t>第</w:t>
      </w:r>
      <w:r>
        <w:rPr>
          <w:rFonts w:hint="eastAsia" w:ascii="黑体" w:eastAsia="黑体"/>
          <w:lang w:val="en-US" w:eastAsia="zh-CN"/>
        </w:rPr>
        <w:t>三</w:t>
      </w:r>
      <w:r>
        <w:rPr>
          <w:rFonts w:hint="eastAsia" w:ascii="黑体" w:eastAsia="黑体"/>
        </w:rPr>
        <w:t>部分</w:t>
      </w:r>
      <w:r>
        <w:rPr>
          <w:rFonts w:hint="eastAsia" w:ascii="黑体" w:eastAsia="黑体"/>
        </w:rPr>
        <w:tab/>
      </w:r>
      <w:r>
        <w:rPr>
          <w:rFonts w:hint="eastAsia" w:ascii="黑体" w:eastAsia="黑体"/>
        </w:rPr>
        <w:t>名词解释</w:t>
      </w:r>
    </w:p>
    <w:p>
      <w:pPr>
        <w:pStyle w:val="2"/>
        <w:tabs>
          <w:tab w:val="left" w:pos="2027"/>
        </w:tabs>
        <w:spacing w:line="406" w:lineRule="exact"/>
        <w:ind w:left="108" w:leftChars="49" w:firstLine="640" w:firstLineChars="200"/>
        <w:rPr>
          <w:rFonts w:hint="eastAsia" w:eastAsia="黑体"/>
          <w:lang w:val="en-US" w:eastAsia="zh-CN"/>
        </w:rPr>
      </w:pPr>
    </w:p>
    <w:p>
      <w:pPr>
        <w:pStyle w:val="2"/>
        <w:tabs>
          <w:tab w:val="left" w:pos="2027"/>
        </w:tabs>
        <w:spacing w:line="406" w:lineRule="exact"/>
        <w:ind w:left="108" w:leftChars="49" w:firstLine="640" w:firstLineChars="200"/>
        <w:rPr>
          <w:rFonts w:ascii="黑体" w:eastAsia="黑体"/>
        </w:rPr>
      </w:pPr>
      <w:r>
        <w:rPr>
          <w:rFonts w:hint="eastAsia" w:eastAsia="黑体"/>
          <w:lang w:val="en-US" w:eastAsia="zh-CN"/>
        </w:rPr>
        <w:t>附件：</w:t>
      </w:r>
      <w:r>
        <w:rPr>
          <w:rFonts w:hint="eastAsia" w:ascii="黑体" w:eastAsia="黑体"/>
        </w:rPr>
        <w:t>2017</w:t>
      </w:r>
      <w:r>
        <w:rPr>
          <w:rFonts w:hint="eastAsia" w:ascii="黑体" w:eastAsia="黑体"/>
          <w:spacing w:val="-82"/>
        </w:rPr>
        <w:t xml:space="preserve"> </w:t>
      </w:r>
      <w:r>
        <w:rPr>
          <w:rFonts w:hint="eastAsia" w:ascii="黑体" w:eastAsia="黑体"/>
        </w:rPr>
        <w:t>年度部门决算表</w:t>
      </w:r>
    </w:p>
    <w:p>
      <w:pPr>
        <w:pStyle w:val="2"/>
        <w:spacing w:before="225" w:line="372" w:lineRule="auto"/>
        <w:ind w:left="747" w:right="4954"/>
        <w:rPr>
          <w:rFonts w:ascii="宋体" w:eastAsia="宋体"/>
        </w:rPr>
      </w:pPr>
      <w:r>
        <w:rPr>
          <w:rFonts w:hint="eastAsia" w:ascii="宋体" w:eastAsia="宋体"/>
          <w:spacing w:val="-2"/>
        </w:rPr>
        <w:t>一、收入支出决算总表</w:t>
      </w:r>
      <w:r>
        <w:rPr>
          <w:rFonts w:hint="eastAsia" w:ascii="宋体" w:eastAsia="宋体"/>
        </w:rPr>
        <w:t>二、收入决算表</w:t>
      </w:r>
    </w:p>
    <w:p>
      <w:pPr>
        <w:pStyle w:val="2"/>
        <w:spacing w:line="406" w:lineRule="exact"/>
        <w:ind w:left="747"/>
        <w:rPr>
          <w:rFonts w:ascii="宋体" w:eastAsia="宋体"/>
        </w:rPr>
      </w:pPr>
      <w:r>
        <w:rPr>
          <w:rFonts w:hint="eastAsia" w:ascii="宋体" w:eastAsia="宋体"/>
          <w:spacing w:val="-1"/>
        </w:rPr>
        <w:t>三、支出决算表</w:t>
      </w:r>
    </w:p>
    <w:p>
      <w:pPr>
        <w:pStyle w:val="2"/>
        <w:spacing w:before="224"/>
        <w:ind w:left="747"/>
        <w:rPr>
          <w:rFonts w:ascii="宋体" w:eastAsia="宋体"/>
        </w:rPr>
      </w:pPr>
      <w:r>
        <w:rPr>
          <w:rFonts w:hint="eastAsia" w:ascii="宋体" w:eastAsia="宋体"/>
        </w:rPr>
        <w:t>四、财政拨款收入支出决算总表</w:t>
      </w:r>
    </w:p>
    <w:p>
      <w:pPr>
        <w:pStyle w:val="2"/>
        <w:spacing w:before="224"/>
        <w:ind w:left="747"/>
        <w:rPr>
          <w:rFonts w:ascii="宋体" w:eastAsia="宋体"/>
        </w:rPr>
      </w:pPr>
      <w:r>
        <w:rPr>
          <w:rFonts w:hint="eastAsia" w:ascii="宋体" w:eastAsia="宋体"/>
        </w:rPr>
        <w:t>五、一般公共预算财政拨款支出决算表</w:t>
      </w:r>
    </w:p>
    <w:p>
      <w:pPr>
        <w:pStyle w:val="2"/>
        <w:spacing w:before="224"/>
        <w:ind w:left="747"/>
        <w:rPr>
          <w:rFonts w:ascii="宋体" w:eastAsia="宋体"/>
        </w:rPr>
      </w:pPr>
      <w:r>
        <w:rPr>
          <w:rFonts w:hint="eastAsia" w:ascii="宋体" w:eastAsia="宋体"/>
        </w:rPr>
        <w:t>六、一般公共预算财政拨款基本支出决算表</w:t>
      </w:r>
    </w:p>
    <w:p>
      <w:pPr>
        <w:pStyle w:val="2"/>
        <w:spacing w:before="224" w:line="372" w:lineRule="auto"/>
        <w:ind w:left="747" w:right="795"/>
        <w:rPr>
          <w:rFonts w:ascii="宋体" w:hAnsi="宋体" w:eastAsia="宋体"/>
        </w:rPr>
      </w:pPr>
      <w:r>
        <w:rPr>
          <w:rFonts w:hint="eastAsia" w:ascii="宋体" w:hAnsi="宋体" w:eastAsia="宋体"/>
        </w:rPr>
        <w:t>七、一般公共预算财政拨款“三公”经费支出决算表八、政府性基金预算财政拨款收入支出决算表</w:t>
      </w:r>
    </w:p>
    <w:p>
      <w:pPr>
        <w:spacing w:line="407" w:lineRule="exact"/>
        <w:sectPr>
          <w:pgSz w:w="11910" w:h="16840"/>
          <w:pgMar w:top="1520" w:right="1520" w:bottom="1180" w:left="1480" w:header="0" w:footer="999" w:gutter="0"/>
          <w:cols w:space="720" w:num="1"/>
        </w:sectPr>
      </w:pPr>
    </w:p>
    <w:p>
      <w:pPr>
        <w:ind w:firstLine="442" w:firstLineChars="100"/>
        <w:jc w:val="center"/>
        <w:rPr>
          <w:rFonts w:ascii="仿宋" w:hAnsi="仿宋" w:eastAsia="仿宋" w:cs="Times New Roman"/>
          <w:b/>
          <w:bCs/>
          <w:sz w:val="44"/>
          <w:szCs w:val="44"/>
        </w:rPr>
      </w:pPr>
    </w:p>
    <w:p>
      <w:pPr>
        <w:ind w:firstLine="442" w:firstLineChars="100"/>
        <w:jc w:val="center"/>
        <w:rPr>
          <w:rFonts w:ascii="仿宋" w:hAnsi="仿宋" w:eastAsia="仿宋" w:cs="Times New Roman"/>
          <w:b/>
          <w:bCs/>
          <w:sz w:val="44"/>
          <w:szCs w:val="44"/>
        </w:rPr>
      </w:pPr>
      <w:r>
        <w:rPr>
          <w:rFonts w:hint="eastAsia" w:ascii="仿宋" w:hAnsi="仿宋" w:eastAsia="仿宋" w:cs="仿宋"/>
          <w:b/>
          <w:bCs/>
          <w:sz w:val="44"/>
          <w:szCs w:val="44"/>
        </w:rPr>
        <w:t>第一部分</w:t>
      </w:r>
    </w:p>
    <w:p>
      <w:pPr>
        <w:ind w:firstLine="442" w:firstLineChars="100"/>
        <w:jc w:val="center"/>
        <w:rPr>
          <w:rFonts w:ascii="仿宋" w:hAnsi="仿宋" w:eastAsia="仿宋" w:cs="Times New Roman"/>
          <w:b/>
          <w:bCs/>
          <w:sz w:val="44"/>
          <w:szCs w:val="44"/>
        </w:rPr>
      </w:pPr>
    </w:p>
    <w:p>
      <w:pPr>
        <w:ind w:firstLine="883" w:firstLineChars="200"/>
        <w:jc w:val="center"/>
        <w:rPr>
          <w:rFonts w:ascii="仿宋" w:hAnsi="仿宋" w:eastAsia="仿宋" w:cs="Times New Roman"/>
          <w:b/>
          <w:bCs/>
          <w:sz w:val="44"/>
          <w:szCs w:val="44"/>
        </w:rPr>
      </w:pPr>
      <w:r>
        <w:rPr>
          <w:rFonts w:ascii="仿宋" w:hAnsi="仿宋" w:eastAsia="仿宋" w:cs="仿宋"/>
          <w:b/>
          <w:bCs/>
          <w:sz w:val="44"/>
          <w:szCs w:val="44"/>
        </w:rPr>
        <w:t>林业局</w:t>
      </w:r>
      <w:r>
        <w:rPr>
          <w:rFonts w:hint="eastAsia" w:ascii="仿宋" w:hAnsi="仿宋" w:eastAsia="仿宋" w:cs="仿宋"/>
          <w:b/>
          <w:bCs/>
          <w:sz w:val="44"/>
          <w:szCs w:val="44"/>
        </w:rPr>
        <w:t>单位概况</w:t>
      </w:r>
    </w:p>
    <w:p>
      <w:pPr>
        <w:ind w:firstLine="640" w:firstLineChars="200"/>
        <w:rPr>
          <w:rFonts w:ascii="仿宋" w:hAnsi="仿宋" w:eastAsia="仿宋" w:cs="Times New Roman"/>
          <w:sz w:val="32"/>
          <w:szCs w:val="32"/>
        </w:rPr>
      </w:pPr>
    </w:p>
    <w:p>
      <w:pPr>
        <w:jc w:val="left"/>
        <w:rPr>
          <w:rFonts w:ascii="仿宋" w:hAnsi="仿宋" w:eastAsia="仿宋" w:cs="Times New Roman"/>
          <w:b/>
          <w:bCs/>
          <w:sz w:val="32"/>
          <w:szCs w:val="32"/>
        </w:rPr>
      </w:pPr>
      <w:r>
        <w:rPr>
          <w:rFonts w:ascii="仿宋" w:hAnsi="仿宋" w:eastAsia="仿宋" w:cs="仿宋"/>
          <w:b/>
          <w:bCs/>
          <w:sz w:val="32"/>
          <w:szCs w:val="32"/>
        </w:rPr>
        <w:t xml:space="preserve">   </w:t>
      </w:r>
      <w:r>
        <w:rPr>
          <w:rFonts w:hint="eastAsia" w:ascii="仿宋" w:hAnsi="仿宋" w:eastAsia="仿宋" w:cs="仿宋"/>
          <w:b/>
          <w:bCs/>
          <w:sz w:val="32"/>
          <w:szCs w:val="32"/>
        </w:rPr>
        <w:t>一、</w:t>
      </w:r>
      <w:r>
        <w:rPr>
          <w:rFonts w:ascii="仿宋" w:hAnsi="仿宋" w:eastAsia="仿宋" w:cs="仿宋"/>
          <w:b/>
          <w:bCs/>
          <w:sz w:val="32"/>
          <w:szCs w:val="32"/>
        </w:rPr>
        <w:t>林业局</w:t>
      </w:r>
      <w:r>
        <w:rPr>
          <w:rFonts w:hint="eastAsia" w:ascii="仿宋" w:hAnsi="仿宋" w:eastAsia="仿宋" w:cs="仿宋"/>
          <w:b/>
          <w:bCs/>
          <w:sz w:val="32"/>
          <w:szCs w:val="32"/>
        </w:rPr>
        <w:t>部门概况和主要职责</w:t>
      </w:r>
    </w:p>
    <w:p>
      <w:pPr>
        <w:ind w:firstLine="643" w:firstLineChars="200"/>
        <w:rPr>
          <w:rFonts w:ascii="仿宋" w:hAnsi="仿宋" w:eastAsia="仿宋" w:cs="仿宋"/>
          <w:b/>
          <w:bCs/>
          <w:sz w:val="32"/>
          <w:szCs w:val="32"/>
        </w:rPr>
      </w:pPr>
      <w:r>
        <w:rPr>
          <w:rFonts w:hint="eastAsia" w:ascii="仿宋" w:hAnsi="仿宋" w:eastAsia="仿宋" w:cs="仿宋"/>
          <w:b/>
          <w:bCs/>
          <w:sz w:val="32"/>
          <w:szCs w:val="32"/>
        </w:rPr>
        <w:t>（一）概况</w:t>
      </w:r>
    </w:p>
    <w:p>
      <w:pPr>
        <w:ind w:firstLine="640" w:firstLineChars="200"/>
        <w:rPr>
          <w:rFonts w:ascii="仿宋" w:hAnsi="仿宋" w:eastAsia="仿宋" w:cs="Times New Roman"/>
          <w:bCs/>
          <w:sz w:val="32"/>
          <w:szCs w:val="32"/>
        </w:rPr>
      </w:pPr>
      <w:r>
        <w:rPr>
          <w:rFonts w:hint="eastAsia" w:ascii="仿宋" w:hAnsi="仿宋" w:eastAsia="仿宋" w:cs="Times New Roman"/>
          <w:bCs/>
          <w:sz w:val="32"/>
          <w:szCs w:val="32"/>
        </w:rPr>
        <w:t>负责全县林业及其生态建设的监督管理。拟订林业及其生态建设发展的中长期规划。组织开展森林资源、陆生野生动植物资源、湿地的调查、动态监测和评估，并发布相关信息。承担林业生态文明建设的有关工作。</w:t>
      </w:r>
    </w:p>
    <w:p>
      <w:pPr>
        <w:ind w:firstLine="640" w:firstLineChars="200"/>
        <w:rPr>
          <w:rFonts w:ascii="仿宋" w:hAnsi="仿宋" w:eastAsia="仿宋" w:cs="Times New Roman"/>
          <w:bCs/>
          <w:sz w:val="32"/>
          <w:szCs w:val="32"/>
        </w:rPr>
      </w:pPr>
      <w:r>
        <w:rPr>
          <w:rFonts w:hint="eastAsia" w:ascii="仿宋" w:hAnsi="仿宋" w:eastAsia="仿宋" w:cs="Times New Roman"/>
          <w:bCs/>
          <w:sz w:val="32"/>
          <w:szCs w:val="32"/>
        </w:rPr>
        <w:t>组织、协调、指导和监督全县造林绿化工作。制定全县造林绿化的指导性计划，指导各类公益林和商品林的培育，指导、监督全县全民义务植树、造林绿化工作。承担西华县绿化委员会的日常工作。</w:t>
      </w:r>
    </w:p>
    <w:p>
      <w:pPr>
        <w:ind w:firstLine="640" w:firstLineChars="200"/>
        <w:rPr>
          <w:rFonts w:ascii="仿宋" w:hAnsi="仿宋" w:eastAsia="仿宋" w:cs="Times New Roman"/>
          <w:bCs/>
          <w:sz w:val="32"/>
          <w:szCs w:val="32"/>
        </w:rPr>
      </w:pPr>
      <w:r>
        <w:rPr>
          <w:rFonts w:hint="eastAsia" w:ascii="仿宋" w:hAnsi="仿宋" w:eastAsia="仿宋" w:cs="Times New Roman"/>
          <w:bCs/>
          <w:sz w:val="32"/>
          <w:szCs w:val="32"/>
        </w:rPr>
        <w:t>承担全县森林资源保护发展监督管理的责任。组织执行全县森林限额采伐，监督检查林木凭证采伐、运输，组织、指导林地、林权管理，组织实施林权登记、发证工作，拟订林地保护利用规划并指导实施，依法承担林地征用、占用的初审、上报工作，管理国有林场的国有森林资源，履行相关执法职能和审批职能。</w:t>
      </w:r>
    </w:p>
    <w:p>
      <w:pPr>
        <w:ind w:firstLine="640" w:firstLineChars="200"/>
        <w:rPr>
          <w:rFonts w:ascii="仿宋" w:hAnsi="仿宋" w:eastAsia="仿宋" w:cs="Times New Roman"/>
          <w:bCs/>
          <w:sz w:val="32"/>
          <w:szCs w:val="32"/>
        </w:rPr>
      </w:pPr>
      <w:r>
        <w:rPr>
          <w:rFonts w:hint="eastAsia" w:ascii="仿宋" w:hAnsi="仿宋" w:eastAsia="仿宋" w:cs="Times New Roman"/>
          <w:bCs/>
          <w:sz w:val="32"/>
          <w:szCs w:val="32"/>
        </w:rPr>
        <w:t>组织、协调、指导和监督全县湿地保护工作。组织实施湿地的管理、规划、保护、利用。</w:t>
      </w:r>
    </w:p>
    <w:p>
      <w:pPr>
        <w:ind w:firstLine="640" w:firstLineChars="200"/>
        <w:rPr>
          <w:rFonts w:ascii="仿宋" w:hAnsi="仿宋" w:eastAsia="仿宋" w:cs="Times New Roman"/>
          <w:bCs/>
          <w:sz w:val="32"/>
          <w:szCs w:val="32"/>
        </w:rPr>
      </w:pPr>
      <w:r>
        <w:rPr>
          <w:rFonts w:hint="eastAsia" w:ascii="仿宋" w:hAnsi="仿宋" w:eastAsia="仿宋" w:cs="Times New Roman"/>
          <w:bCs/>
          <w:sz w:val="32"/>
          <w:szCs w:val="32"/>
        </w:rPr>
        <w:t>组织、协调、指导和监督全县沙化防治工作。</w:t>
      </w:r>
    </w:p>
    <w:p>
      <w:pPr>
        <w:ind w:firstLine="640" w:firstLineChars="200"/>
        <w:rPr>
          <w:rFonts w:ascii="仿宋" w:hAnsi="仿宋" w:eastAsia="仿宋" w:cs="Times New Roman"/>
          <w:bCs/>
          <w:sz w:val="32"/>
          <w:szCs w:val="32"/>
        </w:rPr>
      </w:pPr>
      <w:r>
        <w:rPr>
          <w:rFonts w:hint="eastAsia" w:ascii="仿宋" w:hAnsi="仿宋" w:eastAsia="仿宋" w:cs="Times New Roman"/>
          <w:bCs/>
          <w:sz w:val="32"/>
          <w:szCs w:val="32"/>
        </w:rPr>
        <w:t>组织、指导全县陆生野生动植物资源的保护和合理开发利用。</w:t>
      </w:r>
    </w:p>
    <w:p>
      <w:pPr>
        <w:ind w:firstLine="803" w:firstLineChars="250"/>
        <w:rPr>
          <w:rFonts w:ascii="仿宋" w:hAnsi="仿宋" w:eastAsia="仿宋" w:cs="Times New Roman"/>
          <w:b/>
          <w:bCs/>
          <w:sz w:val="32"/>
          <w:szCs w:val="32"/>
        </w:rPr>
      </w:pPr>
      <w:r>
        <w:rPr>
          <w:rFonts w:ascii="仿宋" w:hAnsi="仿宋" w:eastAsia="仿宋" w:cs="仿宋"/>
          <w:b/>
          <w:bCs/>
          <w:sz w:val="32"/>
          <w:szCs w:val="32"/>
        </w:rPr>
        <w:t>(</w:t>
      </w:r>
      <w:r>
        <w:rPr>
          <w:rFonts w:hint="eastAsia" w:ascii="仿宋" w:hAnsi="仿宋" w:eastAsia="仿宋" w:cs="仿宋"/>
          <w:b/>
          <w:bCs/>
          <w:sz w:val="32"/>
          <w:szCs w:val="32"/>
        </w:rPr>
        <w:t>二）职能</w:t>
      </w:r>
      <w:r>
        <w:rPr>
          <w:rFonts w:ascii="仿宋" w:hAnsi="仿宋" w:eastAsia="仿宋" w:cs="仿宋"/>
          <w:b/>
          <w:bCs/>
          <w:sz w:val="32"/>
          <w:szCs w:val="32"/>
        </w:rPr>
        <w:t xml:space="preserve"> </w:t>
      </w:r>
      <w:r>
        <w:rPr>
          <w:rFonts w:hint="eastAsia" w:ascii="仿宋" w:hAnsi="仿宋" w:eastAsia="仿宋" w:cs="仿宋"/>
          <w:b/>
          <w:bCs/>
          <w:sz w:val="32"/>
          <w:szCs w:val="32"/>
        </w:rPr>
        <w:t>　　</w:t>
      </w:r>
    </w:p>
    <w:p>
      <w:pPr>
        <w:ind w:firstLine="640" w:firstLineChars="200"/>
        <w:rPr>
          <w:rFonts w:ascii="仿宋" w:hAnsi="仿宋" w:eastAsia="仿宋" w:cs="仿宋"/>
          <w:bCs/>
          <w:sz w:val="32"/>
          <w:szCs w:val="32"/>
        </w:rPr>
      </w:pPr>
      <w:r>
        <w:rPr>
          <w:rFonts w:hint="eastAsia" w:ascii="仿宋" w:hAnsi="仿宋" w:eastAsia="仿宋" w:cs="仿宋"/>
          <w:bCs/>
          <w:sz w:val="32"/>
          <w:szCs w:val="32"/>
        </w:rPr>
        <w:t>承担组织、协调、指导、监督全县森林防火工作的责任。承担县政府护林防火指挥部的具体工作。承担林业行政执法监管的责任，指导全县森林公安工作，监督管理森林公安队伍，指导全县林业重大违法案件的查处。指导林业有害生物的防治、检疫工作。</w:t>
      </w:r>
    </w:p>
    <w:p>
      <w:pPr>
        <w:ind w:firstLine="640" w:firstLineChars="200"/>
        <w:rPr>
          <w:rFonts w:ascii="仿宋" w:hAnsi="仿宋" w:eastAsia="仿宋" w:cs="仿宋"/>
          <w:bCs/>
          <w:sz w:val="32"/>
          <w:szCs w:val="32"/>
        </w:rPr>
      </w:pPr>
      <w:r>
        <w:rPr>
          <w:rFonts w:hint="eastAsia" w:ascii="仿宋" w:hAnsi="仿宋" w:eastAsia="仿宋" w:cs="仿宋"/>
          <w:bCs/>
          <w:sz w:val="32"/>
          <w:szCs w:val="32"/>
        </w:rPr>
        <w:t>承担组织、协调、指导、监督全县森林防火工作的责任。承担县政府护林防火指挥部的具体工作。承担林业行政执法监管的责任，指导全县森林公安工作，监督管理森林公安队伍，指导全县林业重大违法案件的查处。指导林业有害生物的防治、检疫工作。</w:t>
      </w:r>
    </w:p>
    <w:p>
      <w:pPr>
        <w:ind w:firstLine="640" w:firstLineChars="200"/>
        <w:rPr>
          <w:rFonts w:ascii="仿宋" w:hAnsi="仿宋" w:eastAsia="仿宋" w:cs="仿宋"/>
          <w:bCs/>
          <w:sz w:val="32"/>
          <w:szCs w:val="32"/>
        </w:rPr>
      </w:pPr>
      <w:r>
        <w:rPr>
          <w:rFonts w:hint="eastAsia" w:ascii="仿宋" w:hAnsi="仿宋" w:eastAsia="仿宋" w:cs="仿宋"/>
          <w:bCs/>
          <w:sz w:val="32"/>
          <w:szCs w:val="32"/>
        </w:rPr>
        <w:t>编制部门预算并组织实施，提出县级财政林业专项转移支付资金的预算建议，管理监督县级林业资金，管理县级林业国有资产。</w:t>
      </w:r>
    </w:p>
    <w:p>
      <w:pPr>
        <w:ind w:firstLine="640" w:firstLineChars="200"/>
        <w:rPr>
          <w:rFonts w:ascii="仿宋" w:hAnsi="仿宋" w:eastAsia="仿宋" w:cs="仿宋"/>
          <w:bCs/>
          <w:sz w:val="32"/>
          <w:szCs w:val="32"/>
        </w:rPr>
      </w:pPr>
      <w:r>
        <w:rPr>
          <w:rFonts w:hint="eastAsia" w:ascii="仿宋" w:hAnsi="仿宋" w:eastAsia="仿宋" w:cs="仿宋"/>
          <w:bCs/>
          <w:sz w:val="32"/>
          <w:szCs w:val="32"/>
        </w:rPr>
        <w:t>组织指导全县林业的科技、教育和外事工作，指导全县林业队伍的建设。</w:t>
      </w:r>
    </w:p>
    <w:p>
      <w:pPr>
        <w:ind w:firstLine="640" w:firstLineChars="200"/>
        <w:rPr>
          <w:rFonts w:ascii="仿宋" w:hAnsi="仿宋" w:eastAsia="仿宋" w:cs="Times New Roman"/>
          <w:sz w:val="32"/>
          <w:szCs w:val="32"/>
        </w:rPr>
      </w:pPr>
      <w:r>
        <w:rPr>
          <w:rFonts w:hint="eastAsia" w:ascii="仿宋" w:hAnsi="仿宋" w:eastAsia="仿宋" w:cs="仿宋"/>
          <w:bCs/>
          <w:sz w:val="32"/>
          <w:szCs w:val="32"/>
        </w:rPr>
        <w:t>承办县政府交办的其他事项。</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二、</w:t>
      </w:r>
      <w:r>
        <w:rPr>
          <w:rFonts w:ascii="仿宋" w:hAnsi="仿宋" w:eastAsia="仿宋" w:cs="仿宋"/>
          <w:b/>
          <w:bCs/>
          <w:sz w:val="32"/>
          <w:szCs w:val="32"/>
        </w:rPr>
        <w:t>林业局</w:t>
      </w:r>
      <w:r>
        <w:rPr>
          <w:rFonts w:hint="eastAsia" w:ascii="仿宋" w:hAnsi="仿宋" w:eastAsia="仿宋" w:cs="仿宋"/>
          <w:b/>
          <w:bCs/>
          <w:sz w:val="32"/>
          <w:szCs w:val="32"/>
        </w:rPr>
        <w:t>单位构成</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局机关由四股一室构成，二级机构由，森林公安局，森防站，林技站，退耕办，木竹检查站，林权中心，林果办，国有苗圃</w:t>
      </w:r>
    </w:p>
    <w:p>
      <w:pPr>
        <w:ind w:firstLine="640" w:firstLineChars="200"/>
        <w:rPr>
          <w:rFonts w:ascii="仿宋" w:hAnsi="仿宋" w:eastAsia="仿宋" w:cs="Times New Roman"/>
          <w:sz w:val="32"/>
          <w:szCs w:val="32"/>
        </w:rPr>
      </w:pPr>
    </w:p>
    <w:p>
      <w:pPr>
        <w:jc w:val="center"/>
        <w:rPr>
          <w:rFonts w:ascii="仿宋" w:hAnsi="仿宋" w:eastAsia="仿宋" w:cs="仿宋"/>
          <w:b/>
          <w:bCs/>
          <w:sz w:val="44"/>
          <w:szCs w:val="44"/>
        </w:rPr>
      </w:pPr>
      <w:r>
        <w:rPr>
          <w:rFonts w:ascii="仿宋" w:hAnsi="仿宋" w:eastAsia="仿宋" w:cs="仿宋"/>
          <w:b/>
          <w:bCs/>
          <w:sz w:val="44"/>
          <w:szCs w:val="44"/>
        </w:rPr>
        <w:t xml:space="preserve"> </w:t>
      </w:r>
    </w:p>
    <w:p>
      <w:pPr>
        <w:jc w:val="center"/>
        <w:rPr>
          <w:rFonts w:ascii="仿宋" w:hAnsi="仿宋" w:eastAsia="仿宋" w:cs="仿宋"/>
          <w:b/>
          <w:bCs/>
          <w:sz w:val="44"/>
          <w:szCs w:val="44"/>
        </w:rPr>
      </w:pPr>
    </w:p>
    <w:p>
      <w:pPr>
        <w:jc w:val="center"/>
        <w:rPr>
          <w:rFonts w:ascii="仿宋" w:hAnsi="仿宋" w:eastAsia="仿宋" w:cs="仿宋"/>
          <w:b/>
          <w:bCs/>
          <w:sz w:val="44"/>
          <w:szCs w:val="44"/>
        </w:rPr>
      </w:pPr>
    </w:p>
    <w:p>
      <w:pPr>
        <w:jc w:val="center"/>
        <w:rPr>
          <w:rFonts w:ascii="仿宋" w:hAnsi="仿宋" w:eastAsia="仿宋" w:cs="仿宋"/>
          <w:b/>
          <w:bCs/>
          <w:sz w:val="44"/>
          <w:szCs w:val="44"/>
        </w:rPr>
      </w:pPr>
    </w:p>
    <w:p>
      <w:pPr>
        <w:jc w:val="center"/>
        <w:rPr>
          <w:rFonts w:ascii="仿宋" w:hAnsi="仿宋" w:eastAsia="仿宋" w:cs="仿宋"/>
          <w:b/>
          <w:bCs/>
          <w:sz w:val="44"/>
          <w:szCs w:val="44"/>
        </w:rPr>
      </w:pPr>
    </w:p>
    <w:p>
      <w:pPr>
        <w:jc w:val="center"/>
        <w:rPr>
          <w:rFonts w:ascii="仿宋" w:hAnsi="仿宋" w:eastAsia="仿宋" w:cs="仿宋"/>
          <w:b/>
          <w:bCs/>
          <w:sz w:val="44"/>
          <w:szCs w:val="44"/>
        </w:rPr>
      </w:pPr>
    </w:p>
    <w:p>
      <w:pPr>
        <w:jc w:val="center"/>
        <w:rPr>
          <w:rFonts w:ascii="仿宋" w:hAnsi="仿宋" w:eastAsia="仿宋" w:cs="仿宋"/>
          <w:b/>
          <w:bCs/>
          <w:sz w:val="44"/>
          <w:szCs w:val="44"/>
        </w:rPr>
      </w:pPr>
    </w:p>
    <w:p>
      <w:pPr>
        <w:jc w:val="center"/>
        <w:rPr>
          <w:rFonts w:ascii="仿宋" w:hAnsi="仿宋" w:eastAsia="仿宋" w:cs="仿宋"/>
          <w:b/>
          <w:bCs/>
          <w:sz w:val="44"/>
          <w:szCs w:val="44"/>
        </w:rPr>
      </w:pPr>
    </w:p>
    <w:p>
      <w:pPr>
        <w:jc w:val="center"/>
        <w:rPr>
          <w:rFonts w:ascii="仿宋" w:hAnsi="仿宋" w:eastAsia="仿宋" w:cs="仿宋"/>
          <w:b/>
          <w:bCs/>
          <w:sz w:val="44"/>
          <w:szCs w:val="44"/>
        </w:rPr>
      </w:pPr>
    </w:p>
    <w:p>
      <w:pPr>
        <w:jc w:val="center"/>
        <w:rPr>
          <w:rFonts w:ascii="仿宋" w:hAnsi="仿宋" w:eastAsia="仿宋" w:cs="仿宋"/>
          <w:b/>
          <w:bCs/>
          <w:sz w:val="44"/>
          <w:szCs w:val="44"/>
        </w:rPr>
      </w:pPr>
    </w:p>
    <w:p>
      <w:pPr>
        <w:jc w:val="center"/>
        <w:rPr>
          <w:rFonts w:ascii="仿宋" w:hAnsi="仿宋" w:eastAsia="仿宋" w:cs="仿宋"/>
          <w:b/>
          <w:bCs/>
          <w:sz w:val="44"/>
          <w:szCs w:val="44"/>
        </w:rPr>
      </w:pPr>
    </w:p>
    <w:p>
      <w:pPr>
        <w:jc w:val="center"/>
        <w:rPr>
          <w:rFonts w:ascii="仿宋" w:hAnsi="仿宋" w:eastAsia="仿宋" w:cs="仿宋"/>
          <w:b/>
          <w:bCs/>
          <w:sz w:val="44"/>
          <w:szCs w:val="44"/>
        </w:rPr>
      </w:pPr>
    </w:p>
    <w:p>
      <w:pPr>
        <w:jc w:val="center"/>
        <w:rPr>
          <w:rFonts w:ascii="仿宋" w:hAnsi="仿宋" w:eastAsia="仿宋" w:cs="仿宋"/>
          <w:b/>
          <w:bCs/>
          <w:sz w:val="44"/>
          <w:szCs w:val="44"/>
        </w:rPr>
      </w:pPr>
    </w:p>
    <w:p>
      <w:pPr>
        <w:jc w:val="center"/>
        <w:rPr>
          <w:rFonts w:ascii="仿宋" w:hAnsi="仿宋" w:eastAsia="仿宋" w:cs="仿宋"/>
          <w:b/>
          <w:bCs/>
          <w:sz w:val="44"/>
          <w:szCs w:val="44"/>
        </w:rPr>
      </w:pPr>
    </w:p>
    <w:p>
      <w:pPr>
        <w:jc w:val="center"/>
        <w:rPr>
          <w:rFonts w:ascii="仿宋" w:hAnsi="仿宋" w:eastAsia="仿宋" w:cs="仿宋"/>
          <w:b/>
          <w:bCs/>
          <w:sz w:val="44"/>
          <w:szCs w:val="44"/>
        </w:rPr>
      </w:pPr>
    </w:p>
    <w:p>
      <w:pPr>
        <w:jc w:val="center"/>
        <w:rPr>
          <w:rFonts w:ascii="仿宋" w:hAnsi="仿宋" w:eastAsia="仿宋" w:cs="仿宋"/>
          <w:b/>
          <w:bCs/>
          <w:sz w:val="44"/>
          <w:szCs w:val="44"/>
        </w:rPr>
      </w:pPr>
    </w:p>
    <w:p>
      <w:pPr>
        <w:jc w:val="center"/>
        <w:rPr>
          <w:rFonts w:ascii="仿宋" w:hAnsi="仿宋" w:eastAsia="仿宋" w:cs="仿宋"/>
          <w:b/>
          <w:bCs/>
          <w:sz w:val="44"/>
          <w:szCs w:val="44"/>
        </w:rPr>
      </w:pPr>
    </w:p>
    <w:p>
      <w:pPr>
        <w:jc w:val="center"/>
        <w:rPr>
          <w:rFonts w:ascii="仿宋" w:hAnsi="仿宋" w:eastAsia="仿宋" w:cs="仿宋"/>
          <w:b/>
          <w:bCs/>
          <w:sz w:val="44"/>
          <w:szCs w:val="44"/>
        </w:rPr>
      </w:pPr>
    </w:p>
    <w:p>
      <w:pPr>
        <w:jc w:val="center"/>
        <w:rPr>
          <w:rFonts w:ascii="仿宋" w:hAnsi="仿宋" w:eastAsia="仿宋" w:cs="Times New Roman"/>
          <w:b/>
          <w:bCs/>
          <w:sz w:val="44"/>
          <w:szCs w:val="44"/>
        </w:rPr>
      </w:pPr>
      <w:r>
        <w:rPr>
          <w:rFonts w:ascii="仿宋" w:hAnsi="仿宋" w:eastAsia="仿宋" w:cs="仿宋"/>
          <w:b/>
          <w:bCs/>
          <w:sz w:val="44"/>
          <w:szCs w:val="44"/>
        </w:rPr>
        <w:t xml:space="preserve">  </w:t>
      </w:r>
      <w:r>
        <w:rPr>
          <w:rFonts w:hint="eastAsia" w:ascii="仿宋" w:hAnsi="仿宋" w:eastAsia="仿宋" w:cs="仿宋"/>
          <w:b/>
          <w:bCs/>
          <w:sz w:val="44"/>
          <w:szCs w:val="44"/>
        </w:rPr>
        <w:t>第</w:t>
      </w:r>
      <w:r>
        <w:rPr>
          <w:rFonts w:hint="eastAsia" w:ascii="仿宋" w:hAnsi="仿宋" w:eastAsia="仿宋" w:cs="仿宋"/>
          <w:b/>
          <w:bCs/>
          <w:sz w:val="44"/>
          <w:szCs w:val="44"/>
          <w:lang w:val="en-US" w:eastAsia="zh-CN"/>
        </w:rPr>
        <w:t>二</w:t>
      </w:r>
      <w:r>
        <w:rPr>
          <w:rFonts w:hint="eastAsia" w:ascii="仿宋" w:hAnsi="仿宋" w:eastAsia="仿宋" w:cs="仿宋"/>
          <w:b/>
          <w:bCs/>
          <w:sz w:val="44"/>
          <w:szCs w:val="44"/>
        </w:rPr>
        <w:t>部分</w:t>
      </w:r>
    </w:p>
    <w:p>
      <w:pPr>
        <w:jc w:val="center"/>
        <w:rPr>
          <w:rFonts w:ascii="仿宋" w:hAnsi="仿宋" w:eastAsia="仿宋" w:cs="Times New Roman"/>
          <w:b/>
          <w:bCs/>
          <w:sz w:val="44"/>
          <w:szCs w:val="44"/>
        </w:rPr>
      </w:pPr>
    </w:p>
    <w:p>
      <w:pPr>
        <w:ind w:firstLine="883" w:firstLineChars="200"/>
        <w:jc w:val="center"/>
        <w:rPr>
          <w:rFonts w:ascii="仿宋" w:hAnsi="仿宋" w:eastAsia="仿宋" w:cs="Times New Roman"/>
          <w:b/>
          <w:bCs/>
          <w:sz w:val="44"/>
          <w:szCs w:val="44"/>
        </w:rPr>
      </w:pPr>
      <w:r>
        <w:rPr>
          <w:rFonts w:ascii="仿宋" w:hAnsi="仿宋" w:eastAsia="仿宋" w:cs="仿宋"/>
          <w:b/>
          <w:bCs/>
          <w:sz w:val="44"/>
          <w:szCs w:val="44"/>
        </w:rPr>
        <w:t>林业局</w:t>
      </w:r>
      <w:r>
        <w:rPr>
          <w:rFonts w:hint="eastAsia" w:ascii="仿宋" w:hAnsi="仿宋" w:eastAsia="仿宋" w:cs="仿宋"/>
          <w:b/>
          <w:bCs/>
          <w:sz w:val="44"/>
          <w:szCs w:val="44"/>
        </w:rPr>
        <w:t>单位</w:t>
      </w:r>
      <w:r>
        <w:rPr>
          <w:rFonts w:ascii="仿宋" w:hAnsi="仿宋" w:eastAsia="仿宋" w:cs="仿宋"/>
          <w:b/>
          <w:bCs/>
          <w:sz w:val="44"/>
          <w:szCs w:val="44"/>
        </w:rPr>
        <w:t>2017</w:t>
      </w:r>
      <w:r>
        <w:rPr>
          <w:rFonts w:hint="eastAsia" w:ascii="仿宋" w:hAnsi="仿宋" w:eastAsia="仿宋" w:cs="仿宋"/>
          <w:b/>
          <w:bCs/>
          <w:sz w:val="44"/>
          <w:szCs w:val="44"/>
        </w:rPr>
        <w:t>年度部门决算情况说明</w:t>
      </w:r>
    </w:p>
    <w:p>
      <w:pPr>
        <w:ind w:firstLine="880" w:firstLineChars="200"/>
        <w:rPr>
          <w:rFonts w:ascii="仿宋" w:hAnsi="仿宋" w:eastAsia="仿宋" w:cs="Times New Roman"/>
          <w:sz w:val="44"/>
          <w:szCs w:val="44"/>
        </w:rPr>
      </w:pP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一、收入支出决算总体情况说明</w:t>
      </w:r>
    </w:p>
    <w:p>
      <w:pPr>
        <w:ind w:firstLine="640" w:firstLineChars="200"/>
        <w:rPr>
          <w:rFonts w:ascii="仿宋" w:hAnsi="仿宋" w:eastAsia="仿宋" w:cs="仿宋"/>
          <w:sz w:val="32"/>
          <w:szCs w:val="32"/>
        </w:rPr>
      </w:pPr>
      <w:r>
        <w:rPr>
          <w:rFonts w:hint="eastAsia" w:ascii="仿宋" w:hAnsi="仿宋" w:eastAsia="仿宋" w:cs="仿宋"/>
          <w:sz w:val="32"/>
          <w:szCs w:val="32"/>
        </w:rPr>
        <w:t>林业局2017年收入总计317.17万元，支出总计317.17万元，与2016年相比收、支总计各减少132.54万元，减少23.96%。主要原因：项目支出减少(项目资金整合)。</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二、一般公共预算收入决算情况说明</w:t>
      </w:r>
    </w:p>
    <w:p>
      <w:pPr>
        <w:ind w:firstLine="640" w:firstLineChars="200"/>
        <w:rPr>
          <w:rFonts w:ascii="仿宋" w:hAnsi="仿宋" w:eastAsia="仿宋" w:cs="Times New Roman"/>
          <w:sz w:val="32"/>
          <w:szCs w:val="32"/>
        </w:rPr>
      </w:pPr>
      <w:r>
        <w:rPr>
          <w:rFonts w:hint="eastAsia" w:ascii="仿宋" w:hAnsi="仿宋" w:eastAsia="仿宋" w:cs="仿宋"/>
          <w:sz w:val="32"/>
          <w:szCs w:val="32"/>
        </w:rPr>
        <w:t>林业局本年收入合计317.17元，其中：财政拨款收入317.17万元，占总收入的100%；政府性基金收入0万元，事业收入0万元，其它收入0万元。</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三、支出决算情况说明</w:t>
      </w:r>
    </w:p>
    <w:p>
      <w:pPr>
        <w:ind w:firstLine="640" w:firstLineChars="200"/>
        <w:rPr>
          <w:rFonts w:ascii="仿宋" w:hAnsi="仿宋" w:eastAsia="仿宋" w:cs="Times New Roman"/>
          <w:sz w:val="32"/>
          <w:szCs w:val="32"/>
        </w:rPr>
      </w:pPr>
      <w:r>
        <w:rPr>
          <w:rFonts w:hint="eastAsia" w:ascii="仿宋" w:hAnsi="仿宋" w:eastAsia="仿宋" w:cs="仿宋"/>
          <w:sz w:val="32"/>
          <w:szCs w:val="32"/>
        </w:rPr>
        <w:t>林业局本年支出合计317.17万元，其中：基本支出317.17万元，占总支出的%，比2016年（减少）支出132.66万元，（下降）23.96%；项目支出0万元，占总支出的0%，比2016年增加（减少）支出0万元，增长（下降）0%。</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四、一般公共预算财政拨款支出决算分项情况说明</w:t>
      </w:r>
    </w:p>
    <w:p>
      <w:pPr>
        <w:ind w:firstLine="640" w:firstLineChars="200"/>
        <w:rPr>
          <w:rFonts w:ascii="仿宋" w:hAnsi="仿宋" w:eastAsia="仿宋" w:cs="Times New Roman"/>
          <w:sz w:val="32"/>
          <w:szCs w:val="32"/>
        </w:rPr>
      </w:pPr>
      <w:r>
        <w:rPr>
          <w:rFonts w:ascii="仿宋" w:hAnsi="仿宋" w:eastAsia="仿宋" w:cs="仿宋"/>
          <w:sz w:val="32"/>
          <w:szCs w:val="32"/>
        </w:rPr>
        <w:t>林业局</w:t>
      </w:r>
      <w:r>
        <w:rPr>
          <w:rFonts w:hint="eastAsia" w:ascii="仿宋" w:hAnsi="仿宋" w:eastAsia="仿宋" w:cs="仿宋"/>
          <w:sz w:val="32"/>
          <w:szCs w:val="32"/>
        </w:rPr>
        <w:t>单位2017 年一般公共预算财政拨款支出年初预算为317.2万元，支出决算为317.17万元，完成年初预算的100 %。主要用于以下方面：一般公共预算（类）支出317.17万元，占总支出的100%；社会保障和就业支出万元，占总支出的%。</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五、一般公共预算财政拨款基本支出决算情况说明</w:t>
      </w:r>
    </w:p>
    <w:p>
      <w:pPr>
        <w:ind w:firstLine="640" w:firstLineChars="200"/>
        <w:rPr>
          <w:rFonts w:ascii="仿宋" w:hAnsi="仿宋" w:eastAsia="仿宋" w:cs="Times New Roman"/>
          <w:sz w:val="32"/>
          <w:szCs w:val="32"/>
        </w:rPr>
      </w:pPr>
      <w:r>
        <w:rPr>
          <w:rFonts w:ascii="仿宋" w:hAnsi="仿宋" w:eastAsia="仿宋" w:cs="仿宋"/>
          <w:sz w:val="32"/>
          <w:szCs w:val="32"/>
        </w:rPr>
        <w:t>林业局</w:t>
      </w:r>
      <w:r>
        <w:rPr>
          <w:rFonts w:hint="eastAsia" w:ascii="仿宋" w:hAnsi="仿宋" w:eastAsia="仿宋" w:cs="仿宋"/>
          <w:sz w:val="32"/>
          <w:szCs w:val="32"/>
        </w:rPr>
        <w:t>单位</w:t>
      </w:r>
      <w:r>
        <w:rPr>
          <w:rFonts w:ascii="仿宋" w:hAnsi="仿宋" w:eastAsia="仿宋" w:cs="仿宋"/>
          <w:sz w:val="32"/>
          <w:szCs w:val="32"/>
        </w:rPr>
        <w:t>2017</w:t>
      </w:r>
      <w:r>
        <w:rPr>
          <w:rFonts w:hint="eastAsia" w:ascii="仿宋" w:hAnsi="仿宋" w:eastAsia="仿宋" w:cs="仿宋"/>
          <w:sz w:val="32"/>
          <w:szCs w:val="32"/>
        </w:rPr>
        <w:t>年一般公共预算财政拨款基本支出 317.17万元，同比（减少）支出132.54万元，（下降）23.96%。其中：人员经费228.24万元，同比（减少）支出32万元，（下降）18%。主要包括：基本工资、津贴补贴、 奖金、社会保障缴费、绩效工资、其他工资福利支出、离休费、退休费、抚恤金、生活补助、 医疗费、住房公积金、其他对个人和家庭的补助支出；公用经费88.51万元，同比（减少支出0.46万元，（下降）3.16%。主要包括：办公费、印刷费、咨询费、水费、电费、邮电费、物业管理费、差旅费、维 修（护）费、租赁费、会议费、培训费、公务接待费、专用材料费、劳务费、委托业务费、福利费、公务用车运 行维护费、其他交通费用、其他商品和服务 支出、办公设备购置、专用设备购置、大型修缮、信息网络及软件购置更新、其他资本性支出。</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六、一般公共预算财政拨款“三公”经费支出决算情况说明</w:t>
      </w:r>
    </w:p>
    <w:p>
      <w:pPr>
        <w:ind w:firstLine="640" w:firstLineChars="200"/>
        <w:rPr>
          <w:rFonts w:ascii="仿宋" w:hAnsi="仿宋" w:eastAsia="仿宋" w:cs="仿宋"/>
          <w:sz w:val="32"/>
          <w:szCs w:val="32"/>
        </w:rPr>
      </w:pPr>
      <w:r>
        <w:rPr>
          <w:rFonts w:ascii="仿宋" w:hAnsi="仿宋" w:eastAsia="仿宋" w:cs="仿宋"/>
          <w:sz w:val="32"/>
          <w:szCs w:val="32"/>
        </w:rPr>
        <w:t>林业局</w:t>
      </w:r>
      <w:r>
        <w:rPr>
          <w:rFonts w:hint="eastAsia" w:ascii="仿宋" w:hAnsi="仿宋" w:eastAsia="仿宋" w:cs="仿宋"/>
          <w:sz w:val="32"/>
          <w:szCs w:val="32"/>
        </w:rPr>
        <w:t>单位2017年“三公”经费财政拨款支出预算为4.56万元，支出决算为2.56万元，完成预算的56%。2017年“三公”经费财政拨款支出决算数比 2016 年（减少）0.5万元，（下降）15 %，主要原因：按规定压缩开支。具体支出情况如下：</w:t>
      </w:r>
    </w:p>
    <w:p>
      <w:pPr>
        <w:ind w:firstLine="640" w:firstLineChars="200"/>
        <w:rPr>
          <w:rFonts w:ascii="仿宋" w:hAnsi="仿宋" w:eastAsia="仿宋" w:cs="仿宋"/>
          <w:sz w:val="32"/>
          <w:szCs w:val="32"/>
        </w:rPr>
      </w:pPr>
      <w:r>
        <w:rPr>
          <w:rFonts w:hint="eastAsia" w:ascii="仿宋" w:hAnsi="仿宋" w:eastAsia="仿宋" w:cs="仿宋"/>
          <w:sz w:val="32"/>
          <w:szCs w:val="32"/>
        </w:rPr>
        <w:t>（一）、公务用车购置及运行费2.56万元，完成预算的100%，公务用车购置0万元，公务用车运行维护费2.56万元，支出同比增加（减少）0万元，增长（下降）0%。主要用于下乡检查等支出。</w:t>
      </w:r>
    </w:p>
    <w:p>
      <w:pPr>
        <w:ind w:firstLine="640" w:firstLineChars="200"/>
        <w:rPr>
          <w:rFonts w:ascii="仿宋" w:hAnsi="仿宋" w:eastAsia="仿宋" w:cs="Times New Roman"/>
          <w:sz w:val="32"/>
          <w:szCs w:val="32"/>
        </w:rPr>
      </w:pPr>
      <w:r>
        <w:rPr>
          <w:rFonts w:hint="eastAsia" w:ascii="仿宋" w:hAnsi="仿宋" w:eastAsia="仿宋" w:cs="仿宋"/>
          <w:sz w:val="32"/>
          <w:szCs w:val="32"/>
        </w:rPr>
        <w:t>（二）公务接待费0.43万元，完成预算的21.5%，主要用于上级检查支出。2017年共接待16批次、128人次，支出同比（减少）1.57万元，（下降）77%。</w:t>
      </w:r>
    </w:p>
    <w:p>
      <w:pPr>
        <w:ind w:firstLine="643" w:firstLineChars="200"/>
        <w:rPr>
          <w:rFonts w:ascii="仿宋" w:hAnsi="仿宋" w:eastAsia="仿宋" w:cs="Times New Roman"/>
          <w:sz w:val="32"/>
          <w:szCs w:val="32"/>
        </w:rPr>
      </w:pPr>
      <w:r>
        <w:rPr>
          <w:rFonts w:hint="eastAsia" w:ascii="仿宋" w:hAnsi="仿宋" w:eastAsia="仿宋" w:cs="仿宋"/>
          <w:b/>
          <w:bCs/>
          <w:sz w:val="32"/>
          <w:szCs w:val="32"/>
        </w:rPr>
        <w:t>七、政府基金收支情况说明。</w:t>
      </w:r>
    </w:p>
    <w:p>
      <w:pPr>
        <w:ind w:firstLine="640" w:firstLineChars="200"/>
        <w:rPr>
          <w:rFonts w:hint="eastAsia" w:ascii="仿宋" w:hAnsi="仿宋" w:eastAsia="仿宋" w:cs="仿宋"/>
          <w:sz w:val="32"/>
          <w:szCs w:val="32"/>
        </w:rPr>
      </w:pPr>
      <w:r>
        <w:rPr>
          <w:rFonts w:ascii="仿宋" w:hAnsi="仿宋" w:eastAsia="仿宋" w:cs="仿宋"/>
          <w:sz w:val="32"/>
          <w:szCs w:val="32"/>
        </w:rPr>
        <w:t>林业局</w:t>
      </w:r>
      <w:r>
        <w:rPr>
          <w:rFonts w:hint="eastAsia" w:ascii="仿宋" w:hAnsi="仿宋" w:eastAsia="仿宋" w:cs="仿宋"/>
          <w:sz w:val="32"/>
          <w:szCs w:val="32"/>
        </w:rPr>
        <w:t>单位2017年政府性基金预算财政拨款0万元, 同比增加（减少）支出0万元，增长（下降）0%,原因没有基金预算。</w:t>
      </w:r>
    </w:p>
    <w:p>
      <w:pPr>
        <w:adjustRightInd w:val="0"/>
        <w:snapToGrid w:val="0"/>
        <w:spacing w:line="360" w:lineRule="auto"/>
        <w:ind w:firstLine="643"/>
        <w:rPr>
          <w:rFonts w:ascii="仿宋" w:hAnsi="仿宋" w:eastAsia="仿宋" w:cs="仿宋"/>
          <w:b/>
          <w:bCs/>
          <w:sz w:val="32"/>
          <w:szCs w:val="32"/>
        </w:rPr>
      </w:pPr>
      <w:r>
        <w:rPr>
          <w:rFonts w:hint="eastAsia" w:ascii="仿宋" w:hAnsi="仿宋" w:eastAsia="仿宋" w:cs="仿宋"/>
          <w:b/>
          <w:bCs/>
          <w:sz w:val="32"/>
          <w:szCs w:val="32"/>
          <w:lang w:eastAsia="zh-CN"/>
        </w:rPr>
        <w:t>八</w:t>
      </w:r>
      <w:r>
        <w:rPr>
          <w:rFonts w:hint="eastAsia" w:ascii="仿宋" w:hAnsi="仿宋" w:eastAsia="仿宋" w:cs="仿宋"/>
          <w:b/>
          <w:bCs/>
          <w:sz w:val="32"/>
          <w:szCs w:val="32"/>
        </w:rPr>
        <w:t>、重点绩效评价等预算绩效情况说明。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2017年度,本单位没有民生项目和重点支出项目,所以未开展预算绩效评</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lang w:eastAsia="zh-CN"/>
        </w:rPr>
        <w:t>九</w:t>
      </w:r>
      <w:r>
        <w:rPr>
          <w:rFonts w:hint="eastAsia" w:ascii="仿宋" w:hAnsi="仿宋" w:eastAsia="仿宋" w:cs="仿宋"/>
          <w:b/>
          <w:bCs/>
          <w:sz w:val="32"/>
          <w:szCs w:val="32"/>
        </w:rPr>
        <w:t>、机关运行经费支出情况。</w:t>
      </w:r>
    </w:p>
    <w:p>
      <w:pPr>
        <w:ind w:firstLine="660"/>
        <w:rPr>
          <w:rFonts w:ascii="仿宋" w:hAnsi="仿宋" w:eastAsia="仿宋" w:cs="仿宋"/>
          <w:sz w:val="32"/>
          <w:szCs w:val="32"/>
        </w:rPr>
      </w:pPr>
      <w:r>
        <w:rPr>
          <w:rFonts w:ascii="仿宋" w:hAnsi="仿宋" w:eastAsia="仿宋" w:cs="仿宋"/>
          <w:sz w:val="32"/>
          <w:szCs w:val="32"/>
        </w:rPr>
        <w:t>林业局</w:t>
      </w:r>
      <w:r>
        <w:rPr>
          <w:rFonts w:hint="eastAsia" w:ascii="仿宋" w:hAnsi="仿宋" w:eastAsia="仿宋" w:cs="仿宋"/>
          <w:sz w:val="32"/>
          <w:szCs w:val="32"/>
        </w:rPr>
        <w:t>单位2017年机关运行经费支出88.91万元，比 2016年（减少）0.46万元，增长（下降）3.16%，原因按规定压缩开支。</w:t>
      </w:r>
    </w:p>
    <w:p>
      <w:pPr>
        <w:ind w:firstLine="660"/>
        <w:rPr>
          <w:rFonts w:ascii="仿宋" w:hAnsi="仿宋" w:eastAsia="仿宋" w:cs="Times New Roman"/>
          <w:b/>
          <w:bCs/>
          <w:sz w:val="32"/>
          <w:szCs w:val="32"/>
        </w:rPr>
      </w:pPr>
      <w:r>
        <w:rPr>
          <w:rFonts w:hint="eastAsia" w:ascii="仿宋" w:hAnsi="仿宋" w:eastAsia="仿宋" w:cs="仿宋"/>
          <w:b/>
          <w:bCs/>
          <w:sz w:val="32"/>
          <w:szCs w:val="32"/>
          <w:lang w:eastAsia="zh-CN"/>
        </w:rPr>
        <w:t>十</w:t>
      </w:r>
      <w:r>
        <w:rPr>
          <w:rFonts w:hint="eastAsia" w:ascii="仿宋" w:hAnsi="仿宋" w:eastAsia="仿宋" w:cs="仿宋"/>
          <w:b/>
          <w:bCs/>
          <w:sz w:val="32"/>
          <w:szCs w:val="32"/>
        </w:rPr>
        <w:t>、政府采购支出情况。</w:t>
      </w:r>
    </w:p>
    <w:p>
      <w:pPr>
        <w:ind w:firstLine="640" w:firstLineChars="200"/>
        <w:rPr>
          <w:rFonts w:ascii="仿宋" w:hAnsi="仿宋" w:eastAsia="仿宋" w:cs="Times New Roman"/>
          <w:sz w:val="32"/>
          <w:szCs w:val="32"/>
        </w:rPr>
      </w:pPr>
      <w:r>
        <w:rPr>
          <w:rFonts w:ascii="仿宋" w:hAnsi="仿宋" w:eastAsia="仿宋" w:cs="仿宋"/>
          <w:sz w:val="32"/>
          <w:szCs w:val="32"/>
        </w:rPr>
        <w:t>林业局</w:t>
      </w:r>
      <w:r>
        <w:rPr>
          <w:rFonts w:hint="eastAsia" w:ascii="仿宋" w:hAnsi="仿宋" w:eastAsia="仿宋" w:cs="仿宋"/>
          <w:sz w:val="32"/>
          <w:szCs w:val="32"/>
        </w:rPr>
        <w:t>单位</w:t>
      </w:r>
      <w:r>
        <w:rPr>
          <w:rFonts w:ascii="仿宋" w:hAnsi="仿宋" w:eastAsia="仿宋" w:cs="仿宋"/>
          <w:sz w:val="32"/>
          <w:szCs w:val="32"/>
        </w:rPr>
        <w:t>2017</w:t>
      </w:r>
      <w:r>
        <w:rPr>
          <w:rFonts w:hint="eastAsia" w:ascii="仿宋" w:hAnsi="仿宋" w:eastAsia="仿宋" w:cs="仿宋"/>
          <w:sz w:val="32"/>
          <w:szCs w:val="32"/>
        </w:rPr>
        <w:t>年政府采购支出总额0万元，政府采购货物支出0万元，政府采购工程支出0万元，政府采购服务支出0万元。</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十</w:t>
      </w:r>
      <w:r>
        <w:rPr>
          <w:rFonts w:hint="eastAsia" w:ascii="仿宋" w:hAnsi="仿宋" w:eastAsia="仿宋" w:cs="仿宋"/>
          <w:b/>
          <w:bCs/>
          <w:sz w:val="32"/>
          <w:szCs w:val="32"/>
          <w:lang w:eastAsia="zh-CN"/>
        </w:rPr>
        <w:t>一</w:t>
      </w:r>
      <w:r>
        <w:rPr>
          <w:rFonts w:hint="eastAsia" w:ascii="仿宋" w:hAnsi="仿宋" w:eastAsia="仿宋" w:cs="仿宋"/>
          <w:b/>
          <w:bCs/>
          <w:sz w:val="32"/>
          <w:szCs w:val="32"/>
        </w:rPr>
        <w:t>、国有资产占用情况说明。</w:t>
      </w:r>
    </w:p>
    <w:p>
      <w:pPr>
        <w:ind w:firstLine="640" w:firstLineChars="200"/>
        <w:rPr>
          <w:rFonts w:ascii="仿宋" w:hAnsi="仿宋" w:eastAsia="仿宋" w:cs="Times New Roman"/>
          <w:sz w:val="32"/>
          <w:szCs w:val="32"/>
        </w:rPr>
      </w:pPr>
      <w:r>
        <w:rPr>
          <w:rFonts w:hint="eastAsia" w:ascii="仿宋" w:hAnsi="仿宋" w:eastAsia="仿宋" w:cs="仿宋"/>
          <w:sz w:val="32"/>
          <w:szCs w:val="32"/>
        </w:rPr>
        <w:t>截至</w:t>
      </w:r>
      <w:r>
        <w:rPr>
          <w:rFonts w:ascii="仿宋" w:hAnsi="仿宋" w:eastAsia="仿宋" w:cs="仿宋"/>
          <w:sz w:val="32"/>
          <w:szCs w:val="32"/>
        </w:rPr>
        <w:t xml:space="preserve"> 2017</w:t>
      </w:r>
      <w:r>
        <w:rPr>
          <w:rFonts w:hint="eastAsia" w:ascii="仿宋" w:hAnsi="仿宋" w:eastAsia="仿宋" w:cs="仿宋"/>
          <w:sz w:val="32"/>
          <w:szCs w:val="32"/>
        </w:rPr>
        <w:t>年</w:t>
      </w:r>
      <w:r>
        <w:rPr>
          <w:rFonts w:ascii="仿宋" w:hAnsi="仿宋" w:eastAsia="仿宋" w:cs="仿宋"/>
          <w:sz w:val="32"/>
          <w:szCs w:val="32"/>
        </w:rPr>
        <w:t xml:space="preserve"> 12 </w:t>
      </w:r>
      <w:r>
        <w:rPr>
          <w:rFonts w:hint="eastAsia" w:ascii="仿宋" w:hAnsi="仿宋" w:eastAsia="仿宋" w:cs="仿宋"/>
          <w:sz w:val="32"/>
          <w:szCs w:val="32"/>
        </w:rPr>
        <w:t>月</w:t>
      </w:r>
      <w:r>
        <w:rPr>
          <w:rFonts w:ascii="仿宋" w:hAnsi="仿宋" w:eastAsia="仿宋" w:cs="仿宋"/>
          <w:sz w:val="32"/>
          <w:szCs w:val="32"/>
        </w:rPr>
        <w:t xml:space="preserve"> 31 </w:t>
      </w:r>
      <w:r>
        <w:rPr>
          <w:rFonts w:hint="eastAsia" w:ascii="仿宋" w:hAnsi="仿宋" w:eastAsia="仿宋" w:cs="仿宋"/>
          <w:sz w:val="32"/>
          <w:szCs w:val="32"/>
        </w:rPr>
        <w:t>日，</w:t>
      </w:r>
      <w:r>
        <w:rPr>
          <w:rFonts w:ascii="仿宋" w:hAnsi="仿宋" w:eastAsia="仿宋" w:cs="仿宋"/>
          <w:sz w:val="32"/>
          <w:szCs w:val="32"/>
        </w:rPr>
        <w:t>林业局</w:t>
      </w:r>
      <w:r>
        <w:rPr>
          <w:rFonts w:hint="eastAsia" w:ascii="仿宋" w:hAnsi="仿宋" w:eastAsia="仿宋" w:cs="仿宋"/>
          <w:sz w:val="32"/>
          <w:szCs w:val="32"/>
        </w:rPr>
        <w:t>单位共有车辆1辆，为一般公务用车；单价</w:t>
      </w:r>
      <w:r>
        <w:rPr>
          <w:rFonts w:ascii="仿宋" w:hAnsi="仿宋" w:eastAsia="仿宋" w:cs="仿宋"/>
          <w:sz w:val="32"/>
          <w:szCs w:val="32"/>
        </w:rPr>
        <w:t>50</w:t>
      </w:r>
      <w:r>
        <w:rPr>
          <w:rFonts w:hint="eastAsia" w:ascii="仿宋" w:hAnsi="仿宋" w:eastAsia="仿宋" w:cs="仿宋"/>
          <w:sz w:val="32"/>
          <w:szCs w:val="32"/>
        </w:rPr>
        <w:t>万元以上的通用设备0台，单价</w:t>
      </w:r>
      <w:r>
        <w:rPr>
          <w:rFonts w:ascii="仿宋" w:hAnsi="仿宋" w:eastAsia="仿宋" w:cs="仿宋"/>
          <w:sz w:val="32"/>
          <w:szCs w:val="32"/>
        </w:rPr>
        <w:t>100</w:t>
      </w:r>
      <w:r>
        <w:rPr>
          <w:rFonts w:hint="eastAsia" w:ascii="仿宋" w:hAnsi="仿宋" w:eastAsia="仿宋" w:cs="仿宋"/>
          <w:sz w:val="32"/>
          <w:szCs w:val="32"/>
        </w:rPr>
        <w:t>万元以上的通用设备0台。</w:t>
      </w:r>
    </w:p>
    <w:p>
      <w:pPr>
        <w:adjustRightInd w:val="0"/>
        <w:snapToGrid w:val="0"/>
        <w:spacing w:line="360" w:lineRule="auto"/>
        <w:ind w:firstLine="643"/>
        <w:rPr>
          <w:rFonts w:hint="eastAsia" w:ascii="仿宋" w:hAnsi="仿宋" w:eastAsia="仿宋" w:cs="仿宋"/>
          <w:sz w:val="32"/>
          <w:szCs w:val="32"/>
        </w:rPr>
      </w:pPr>
    </w:p>
    <w:p>
      <w:pPr>
        <w:adjustRightInd w:val="0"/>
        <w:snapToGrid w:val="0"/>
        <w:spacing w:line="360" w:lineRule="auto"/>
        <w:ind w:firstLine="643"/>
        <w:rPr>
          <w:rFonts w:hint="eastAsia" w:ascii="仿宋" w:hAnsi="仿宋" w:eastAsia="仿宋" w:cs="仿宋"/>
          <w:sz w:val="32"/>
          <w:szCs w:val="32"/>
        </w:rPr>
      </w:pPr>
    </w:p>
    <w:p>
      <w:pPr>
        <w:adjustRightInd w:val="0"/>
        <w:snapToGrid w:val="0"/>
        <w:spacing w:line="360" w:lineRule="auto"/>
        <w:ind w:firstLine="643"/>
        <w:rPr>
          <w:rFonts w:hint="eastAsia" w:ascii="仿宋" w:hAnsi="仿宋" w:eastAsia="仿宋" w:cs="仿宋"/>
          <w:sz w:val="32"/>
          <w:szCs w:val="32"/>
        </w:rPr>
      </w:pPr>
    </w:p>
    <w:p>
      <w:pPr>
        <w:adjustRightInd w:val="0"/>
        <w:snapToGrid w:val="0"/>
        <w:spacing w:line="360" w:lineRule="auto"/>
        <w:ind w:firstLine="643"/>
        <w:rPr>
          <w:rFonts w:hint="eastAsia" w:ascii="仿宋" w:hAnsi="仿宋" w:eastAsia="仿宋" w:cs="仿宋"/>
          <w:sz w:val="32"/>
          <w:szCs w:val="32"/>
        </w:rPr>
      </w:pPr>
    </w:p>
    <w:p>
      <w:pPr>
        <w:adjustRightInd w:val="0"/>
        <w:snapToGrid w:val="0"/>
        <w:spacing w:line="360" w:lineRule="auto"/>
        <w:ind w:firstLine="643"/>
        <w:rPr>
          <w:rFonts w:hint="eastAsia" w:ascii="仿宋" w:hAnsi="仿宋" w:eastAsia="仿宋" w:cs="仿宋"/>
          <w:sz w:val="32"/>
          <w:szCs w:val="32"/>
        </w:rPr>
      </w:pPr>
    </w:p>
    <w:p>
      <w:pPr>
        <w:adjustRightInd w:val="0"/>
        <w:snapToGrid w:val="0"/>
        <w:spacing w:line="360" w:lineRule="auto"/>
        <w:ind w:firstLine="643"/>
        <w:rPr>
          <w:rFonts w:hint="eastAsia" w:ascii="仿宋" w:hAnsi="仿宋" w:eastAsia="仿宋" w:cs="仿宋"/>
          <w:sz w:val="32"/>
          <w:szCs w:val="32"/>
        </w:rPr>
      </w:pPr>
    </w:p>
    <w:p>
      <w:pPr>
        <w:adjustRightInd w:val="0"/>
        <w:snapToGrid w:val="0"/>
        <w:spacing w:line="360" w:lineRule="auto"/>
        <w:ind w:firstLine="643"/>
        <w:rPr>
          <w:rFonts w:hint="eastAsia" w:ascii="仿宋" w:hAnsi="仿宋" w:eastAsia="仿宋" w:cs="仿宋"/>
          <w:sz w:val="32"/>
          <w:szCs w:val="32"/>
        </w:rPr>
      </w:pPr>
    </w:p>
    <w:p>
      <w:pPr>
        <w:adjustRightInd w:val="0"/>
        <w:snapToGrid w:val="0"/>
        <w:spacing w:line="360" w:lineRule="auto"/>
        <w:ind w:firstLine="643"/>
        <w:rPr>
          <w:rFonts w:hint="eastAsia" w:ascii="仿宋" w:hAnsi="仿宋" w:eastAsia="仿宋" w:cs="仿宋"/>
          <w:sz w:val="32"/>
          <w:szCs w:val="32"/>
        </w:rPr>
      </w:pPr>
    </w:p>
    <w:p>
      <w:pPr>
        <w:adjustRightInd w:val="0"/>
        <w:snapToGrid w:val="0"/>
        <w:spacing w:line="360" w:lineRule="auto"/>
        <w:ind w:firstLine="643"/>
        <w:rPr>
          <w:rFonts w:hint="eastAsia" w:ascii="仿宋" w:hAnsi="仿宋" w:eastAsia="仿宋" w:cs="仿宋"/>
          <w:sz w:val="32"/>
          <w:szCs w:val="32"/>
        </w:rPr>
      </w:pPr>
    </w:p>
    <w:p>
      <w:pPr>
        <w:adjustRightInd w:val="0"/>
        <w:snapToGrid w:val="0"/>
        <w:spacing w:line="360" w:lineRule="auto"/>
        <w:ind w:firstLine="643"/>
        <w:rPr>
          <w:rFonts w:hint="eastAsia" w:ascii="仿宋" w:hAnsi="仿宋" w:eastAsia="仿宋" w:cs="仿宋"/>
          <w:sz w:val="32"/>
          <w:szCs w:val="32"/>
        </w:rPr>
      </w:pPr>
    </w:p>
    <w:p>
      <w:pPr>
        <w:adjustRightInd w:val="0"/>
        <w:snapToGrid w:val="0"/>
        <w:spacing w:line="360" w:lineRule="auto"/>
        <w:ind w:firstLine="643"/>
        <w:rPr>
          <w:rFonts w:hint="eastAsia" w:ascii="仿宋" w:hAnsi="仿宋" w:eastAsia="仿宋" w:cs="仿宋"/>
          <w:sz w:val="32"/>
          <w:szCs w:val="32"/>
        </w:rPr>
      </w:pPr>
    </w:p>
    <w:p>
      <w:pPr>
        <w:ind w:firstLine="883" w:firstLineChars="200"/>
        <w:jc w:val="center"/>
        <w:rPr>
          <w:rFonts w:hint="eastAsia" w:ascii="仿宋" w:hAnsi="仿宋" w:eastAsia="仿宋" w:cs="仿宋"/>
          <w:b/>
          <w:bCs/>
          <w:sz w:val="44"/>
          <w:szCs w:val="44"/>
        </w:rPr>
      </w:pPr>
    </w:p>
    <w:p>
      <w:pPr>
        <w:ind w:firstLine="883" w:firstLineChars="200"/>
        <w:jc w:val="center"/>
        <w:rPr>
          <w:rFonts w:hint="eastAsia" w:ascii="仿宋" w:hAnsi="仿宋" w:eastAsia="仿宋" w:cs="仿宋"/>
          <w:b/>
          <w:bCs/>
          <w:sz w:val="44"/>
          <w:szCs w:val="44"/>
        </w:rPr>
      </w:pPr>
    </w:p>
    <w:p>
      <w:pPr>
        <w:ind w:firstLine="883" w:firstLineChars="200"/>
        <w:jc w:val="center"/>
        <w:rPr>
          <w:rFonts w:hint="eastAsia" w:ascii="仿宋" w:hAnsi="仿宋" w:eastAsia="仿宋" w:cs="仿宋"/>
          <w:b/>
          <w:bCs/>
          <w:sz w:val="44"/>
          <w:szCs w:val="44"/>
        </w:rPr>
      </w:pPr>
    </w:p>
    <w:p>
      <w:pPr>
        <w:ind w:firstLine="883" w:firstLineChars="200"/>
        <w:jc w:val="center"/>
        <w:rPr>
          <w:rFonts w:hint="eastAsia" w:ascii="仿宋" w:hAnsi="仿宋" w:eastAsia="仿宋" w:cs="仿宋"/>
          <w:b/>
          <w:bCs/>
          <w:sz w:val="44"/>
          <w:szCs w:val="44"/>
        </w:rPr>
      </w:pPr>
    </w:p>
    <w:p>
      <w:pPr>
        <w:ind w:firstLine="883" w:firstLineChars="200"/>
        <w:jc w:val="center"/>
        <w:rPr>
          <w:rFonts w:hint="eastAsia" w:ascii="仿宋" w:hAnsi="仿宋" w:eastAsia="仿宋" w:cs="仿宋"/>
          <w:b/>
          <w:bCs/>
          <w:sz w:val="44"/>
          <w:szCs w:val="44"/>
        </w:rPr>
      </w:pPr>
    </w:p>
    <w:p>
      <w:pPr>
        <w:ind w:firstLine="2209" w:firstLineChars="500"/>
        <w:jc w:val="both"/>
        <w:rPr>
          <w:rFonts w:ascii="仿宋" w:hAnsi="仿宋" w:eastAsia="仿宋" w:cs="Times New Roman"/>
          <w:b/>
          <w:bCs/>
          <w:sz w:val="44"/>
          <w:szCs w:val="44"/>
        </w:rPr>
      </w:pPr>
      <w:r>
        <w:rPr>
          <w:rFonts w:hint="eastAsia" w:ascii="仿宋" w:hAnsi="仿宋" w:eastAsia="仿宋" w:cs="仿宋"/>
          <w:b/>
          <w:bCs/>
          <w:sz w:val="44"/>
          <w:szCs w:val="44"/>
        </w:rPr>
        <w:t>第</w:t>
      </w:r>
      <w:r>
        <w:rPr>
          <w:rFonts w:hint="eastAsia" w:ascii="仿宋" w:hAnsi="仿宋" w:eastAsia="仿宋" w:cs="仿宋"/>
          <w:b/>
          <w:bCs/>
          <w:sz w:val="44"/>
          <w:szCs w:val="44"/>
          <w:lang w:val="en-US" w:eastAsia="zh-CN"/>
        </w:rPr>
        <w:t>三</w:t>
      </w:r>
      <w:r>
        <w:rPr>
          <w:rFonts w:hint="eastAsia" w:ascii="仿宋" w:hAnsi="仿宋" w:eastAsia="仿宋" w:cs="仿宋"/>
          <w:b/>
          <w:bCs/>
          <w:sz w:val="44"/>
          <w:szCs w:val="44"/>
        </w:rPr>
        <w:t>部分</w:t>
      </w:r>
      <w:r>
        <w:rPr>
          <w:rFonts w:ascii="仿宋" w:hAnsi="仿宋" w:eastAsia="仿宋" w:cs="仿宋"/>
          <w:b/>
          <w:bCs/>
          <w:sz w:val="44"/>
          <w:szCs w:val="44"/>
        </w:rPr>
        <w:t xml:space="preserve">  </w:t>
      </w:r>
      <w:r>
        <w:rPr>
          <w:rFonts w:hint="eastAsia" w:ascii="仿宋" w:hAnsi="仿宋" w:eastAsia="仿宋" w:cs="仿宋"/>
          <w:b/>
          <w:bCs/>
          <w:sz w:val="44"/>
          <w:szCs w:val="44"/>
        </w:rPr>
        <w:t>名词解释</w:t>
      </w:r>
    </w:p>
    <w:p>
      <w:pPr>
        <w:ind w:firstLine="640" w:firstLineChars="200"/>
        <w:rPr>
          <w:rFonts w:ascii="仿宋" w:hAnsi="仿宋" w:eastAsia="仿宋" w:cs="Times New Roman"/>
          <w:sz w:val="32"/>
          <w:szCs w:val="32"/>
        </w:rPr>
      </w:pPr>
    </w:p>
    <w:p>
      <w:pPr>
        <w:ind w:firstLine="640" w:firstLineChars="200"/>
        <w:rPr>
          <w:rFonts w:ascii="仿宋" w:hAnsi="仿宋" w:eastAsia="仿宋" w:cs="Times New Roman"/>
          <w:sz w:val="32"/>
          <w:szCs w:val="32"/>
        </w:rPr>
      </w:pPr>
      <w:r>
        <w:rPr>
          <w:rFonts w:hint="eastAsia" w:ascii="仿宋" w:hAnsi="仿宋" w:eastAsia="仿宋" w:cs="仿宋"/>
          <w:sz w:val="32"/>
          <w:szCs w:val="32"/>
        </w:rPr>
        <w:t>一、财政拨款收入：单位从同级政府财政部门取得的各类财政拨款。</w:t>
      </w:r>
    </w:p>
    <w:p>
      <w:pPr>
        <w:ind w:firstLine="640" w:firstLineChars="200"/>
        <w:rPr>
          <w:rFonts w:ascii="仿宋" w:hAnsi="仿宋" w:eastAsia="仿宋" w:cs="Times New Roman"/>
          <w:sz w:val="32"/>
          <w:szCs w:val="32"/>
        </w:rPr>
      </w:pPr>
      <w:r>
        <w:rPr>
          <w:rFonts w:hint="eastAsia" w:ascii="仿宋" w:hAnsi="仿宋" w:eastAsia="仿宋" w:cs="仿宋"/>
          <w:sz w:val="32"/>
          <w:szCs w:val="32"/>
        </w:rPr>
        <w:t>二、事业收入：事业单位开展专业业务活动及其辅助活动取得的收入。</w:t>
      </w:r>
    </w:p>
    <w:p>
      <w:pPr>
        <w:ind w:firstLine="640" w:firstLineChars="200"/>
        <w:rPr>
          <w:rFonts w:ascii="仿宋" w:hAnsi="仿宋" w:eastAsia="仿宋" w:cs="Times New Roman"/>
          <w:sz w:val="32"/>
          <w:szCs w:val="32"/>
        </w:rPr>
      </w:pPr>
      <w:r>
        <w:rPr>
          <w:rFonts w:hint="eastAsia" w:ascii="仿宋" w:hAnsi="仿宋" w:eastAsia="仿宋" w:cs="仿宋"/>
          <w:sz w:val="32"/>
          <w:szCs w:val="32"/>
        </w:rPr>
        <w:t>三、上级补助收入：事业单位从主管部门和上级单位取得的非财政补助收入。</w:t>
      </w:r>
    </w:p>
    <w:p>
      <w:pPr>
        <w:ind w:firstLine="640" w:firstLineChars="200"/>
        <w:rPr>
          <w:rFonts w:ascii="仿宋" w:hAnsi="仿宋" w:eastAsia="仿宋" w:cs="Times New Roman"/>
          <w:sz w:val="32"/>
          <w:szCs w:val="32"/>
        </w:rPr>
      </w:pPr>
      <w:r>
        <w:rPr>
          <w:rFonts w:hint="eastAsia" w:ascii="仿宋" w:hAnsi="仿宋" w:eastAsia="仿宋" w:cs="仿宋"/>
          <w:sz w:val="32"/>
          <w:szCs w:val="32"/>
        </w:rPr>
        <w:t>四、附属单位上缴收入：事业单位取得附属独立核算单位根据有关规定上缴的收入。</w:t>
      </w:r>
    </w:p>
    <w:p>
      <w:pPr>
        <w:ind w:firstLine="640" w:firstLineChars="200"/>
        <w:rPr>
          <w:rFonts w:ascii="仿宋" w:hAnsi="仿宋" w:eastAsia="仿宋" w:cs="Times New Roman"/>
          <w:sz w:val="32"/>
          <w:szCs w:val="32"/>
        </w:rPr>
      </w:pPr>
      <w:r>
        <w:rPr>
          <w:rFonts w:hint="eastAsia" w:ascii="仿宋" w:hAnsi="仿宋" w:eastAsia="仿宋" w:cs="仿宋"/>
          <w:sz w:val="32"/>
          <w:szCs w:val="32"/>
        </w:rPr>
        <w:t>五、经营收入：事业单位在专业业务活动及其辅助活动之外开展非独立核算经营活动取得的收入。</w:t>
      </w:r>
    </w:p>
    <w:p>
      <w:pPr>
        <w:ind w:firstLine="640" w:firstLineChars="200"/>
        <w:rPr>
          <w:rFonts w:ascii="仿宋" w:hAnsi="仿宋" w:eastAsia="仿宋" w:cs="Times New Roman"/>
          <w:sz w:val="32"/>
          <w:szCs w:val="32"/>
        </w:rPr>
      </w:pPr>
      <w:r>
        <w:rPr>
          <w:rFonts w:hint="eastAsia" w:ascii="仿宋" w:hAnsi="仿宋" w:eastAsia="仿宋" w:cs="仿宋"/>
          <w:sz w:val="32"/>
          <w:szCs w:val="32"/>
        </w:rPr>
        <w:t>六、其他收入：单位取得的除“财政拨款收入”、“事业收入”、“上级补助收入”、“附属单位上缴收入”、“经营收入”等以外的收入。</w:t>
      </w:r>
    </w:p>
    <w:p>
      <w:pPr>
        <w:ind w:firstLine="640" w:firstLineChars="200"/>
        <w:rPr>
          <w:rFonts w:ascii="仿宋" w:hAnsi="仿宋" w:eastAsia="仿宋" w:cs="Times New Roman"/>
          <w:sz w:val="32"/>
          <w:szCs w:val="32"/>
        </w:rPr>
      </w:pPr>
      <w:r>
        <w:rPr>
          <w:rFonts w:hint="eastAsia" w:ascii="仿宋" w:hAnsi="仿宋" w:eastAsia="仿宋" w:cs="仿宋"/>
          <w:sz w:val="32"/>
          <w:szCs w:val="32"/>
        </w:rPr>
        <w:t>七、用事业基金弥补收支差额：事业单位在当年收入不足以安排当年支出的情况下，使用以前年度积累的事业基金（事业单位当年收支相抵后按国家规定提取、用于弥补以后年度收支差额的基金）弥补当年收支缺口的资金。</w:t>
      </w:r>
    </w:p>
    <w:p>
      <w:pPr>
        <w:ind w:firstLine="640" w:firstLineChars="200"/>
        <w:rPr>
          <w:rFonts w:ascii="仿宋" w:hAnsi="仿宋" w:eastAsia="仿宋" w:cs="Times New Roman"/>
          <w:sz w:val="32"/>
          <w:szCs w:val="32"/>
        </w:rPr>
      </w:pPr>
      <w:r>
        <w:rPr>
          <w:rFonts w:hint="eastAsia" w:ascii="仿宋" w:hAnsi="仿宋" w:eastAsia="仿宋" w:cs="仿宋"/>
          <w:sz w:val="32"/>
          <w:szCs w:val="32"/>
        </w:rPr>
        <w:t>八、基本支出：为保障机构正常运转、完成日常工作任务而发生的人员支出和公用支出。</w:t>
      </w:r>
    </w:p>
    <w:p>
      <w:pPr>
        <w:ind w:firstLine="640" w:firstLineChars="200"/>
        <w:rPr>
          <w:rFonts w:ascii="仿宋" w:hAnsi="仿宋" w:eastAsia="仿宋" w:cs="Times New Roman"/>
          <w:sz w:val="32"/>
          <w:szCs w:val="32"/>
        </w:rPr>
      </w:pPr>
      <w:r>
        <w:rPr>
          <w:rFonts w:hint="eastAsia" w:ascii="仿宋" w:hAnsi="仿宋" w:eastAsia="仿宋" w:cs="仿宋"/>
          <w:sz w:val="32"/>
          <w:szCs w:val="32"/>
        </w:rPr>
        <w:t>九、项目支出：基本支出之外为完成特定行政任务和事业发展目标所发生的支出。</w:t>
      </w:r>
    </w:p>
    <w:p>
      <w:pPr>
        <w:ind w:firstLine="640" w:firstLineChars="200"/>
        <w:rPr>
          <w:rFonts w:ascii="仿宋" w:hAnsi="仿宋" w:eastAsia="仿宋" w:cs="Times New Roman"/>
          <w:sz w:val="32"/>
          <w:szCs w:val="32"/>
        </w:rPr>
      </w:pPr>
      <w:r>
        <w:rPr>
          <w:rFonts w:hint="eastAsia" w:ascii="仿宋" w:hAnsi="仿宋" w:eastAsia="仿宋" w:cs="仿宋"/>
          <w:sz w:val="32"/>
          <w:szCs w:val="32"/>
        </w:rPr>
        <w:t>十、“三公”经费：纳入同级财政预决算管理“三公”经费，指部门使用财政拨款安排的因公出国（境）费、公务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等支出；公务接待费反映单位按规定开支的各类公务接待（含外宾接待）支出。</w:t>
      </w:r>
    </w:p>
    <w:p>
      <w:pPr>
        <w:ind w:firstLine="640" w:firstLineChars="200"/>
        <w:rPr>
          <w:rFonts w:ascii="仿宋" w:hAnsi="仿宋" w:eastAsia="仿宋" w:cs="Times New Roman"/>
          <w:sz w:val="32"/>
          <w:szCs w:val="32"/>
        </w:rPr>
      </w:pPr>
      <w:r>
        <w:rPr>
          <w:rFonts w:hint="eastAsia" w:ascii="仿宋" w:hAnsi="仿宋" w:eastAsia="仿宋" w:cs="仿宋"/>
          <w:sz w:val="32"/>
          <w:szCs w:val="32"/>
        </w:rPr>
        <w:t>十一、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 w:hAnsi="仿宋" w:eastAsia="仿宋" w:cs="Times New Roman"/>
          <w:sz w:val="32"/>
          <w:szCs w:val="32"/>
        </w:rPr>
      </w:pPr>
      <w:r>
        <w:rPr>
          <w:rFonts w:hint="eastAsia" w:ascii="仿宋" w:hAnsi="仿宋" w:eastAsia="仿宋" w:cs="仿宋"/>
          <w:sz w:val="32"/>
          <w:szCs w:val="32"/>
        </w:rPr>
        <w:t>十二、工资福利支出：单位支付给在职职工和编制外长期聘用人员的各类劳动报酬，以及为上述人员缴纳的各项社会保险费等。</w:t>
      </w:r>
    </w:p>
    <w:p>
      <w:pPr>
        <w:ind w:firstLine="640" w:firstLineChars="200"/>
        <w:rPr>
          <w:rFonts w:ascii="仿宋" w:hAnsi="仿宋" w:eastAsia="仿宋" w:cs="Times New Roman"/>
          <w:sz w:val="32"/>
          <w:szCs w:val="32"/>
        </w:rPr>
      </w:pPr>
      <w:r>
        <w:rPr>
          <w:rFonts w:hint="eastAsia" w:ascii="仿宋" w:hAnsi="仿宋" w:eastAsia="仿宋" w:cs="仿宋"/>
          <w:sz w:val="32"/>
          <w:szCs w:val="32"/>
        </w:rPr>
        <w:t>十三、商品和服务支出：单位购买商品和服务的支出。</w:t>
      </w:r>
    </w:p>
    <w:p>
      <w:pPr>
        <w:ind w:firstLine="640" w:firstLineChars="200"/>
        <w:rPr>
          <w:rFonts w:ascii="仿宋" w:hAnsi="仿宋" w:eastAsia="仿宋" w:cs="Times New Roman"/>
          <w:sz w:val="32"/>
          <w:szCs w:val="32"/>
        </w:rPr>
      </w:pPr>
      <w:r>
        <w:rPr>
          <w:rFonts w:hint="eastAsia" w:ascii="仿宋" w:hAnsi="仿宋" w:eastAsia="仿宋" w:cs="仿宋"/>
          <w:sz w:val="32"/>
          <w:szCs w:val="32"/>
        </w:rPr>
        <w:t>十四、对个人和家庭的补助支出：单位用于对个人和家庭的补助支出。</w:t>
      </w:r>
    </w:p>
    <w:p>
      <w:pPr>
        <w:ind w:firstLine="640" w:firstLineChars="200"/>
        <w:rPr>
          <w:rFonts w:ascii="仿宋" w:hAnsi="仿宋" w:eastAsia="仿宋" w:cs="Times New Roman"/>
          <w:sz w:val="32"/>
          <w:szCs w:val="32"/>
        </w:rPr>
      </w:pPr>
      <w:r>
        <w:rPr>
          <w:rFonts w:hint="eastAsia" w:ascii="仿宋" w:hAnsi="仿宋" w:eastAsia="仿宋" w:cs="仿宋"/>
          <w:sz w:val="32"/>
          <w:szCs w:val="32"/>
        </w:rPr>
        <w:t>十五、年末结转：本年度或以前年度预算安排，已执行但尚未完成或因客观条件发生变化无法按原计划实施，需延迟到以后年度按有关规定继续使用的资金。</w:t>
      </w:r>
    </w:p>
    <w:p>
      <w:pPr>
        <w:ind w:firstLine="640" w:firstLineChars="200"/>
        <w:rPr>
          <w:rFonts w:ascii="仿宋" w:hAnsi="仿宋" w:eastAsia="仿宋" w:cs="Times New Roman"/>
          <w:sz w:val="32"/>
          <w:szCs w:val="32"/>
        </w:rPr>
      </w:pPr>
      <w:r>
        <w:rPr>
          <w:rFonts w:hint="eastAsia" w:ascii="仿宋" w:hAnsi="仿宋" w:eastAsia="仿宋" w:cs="仿宋"/>
          <w:sz w:val="32"/>
          <w:szCs w:val="32"/>
        </w:rPr>
        <w:t>十六、年末结余：本年度或以前年度预算安排，已执行完毕或因客观条件发生变化无法按原预算安排实施，不需要再使用或无法按原预算安排继续使用的资金。</w:t>
      </w:r>
    </w:p>
    <w:p>
      <w:pPr>
        <w:ind w:firstLine="640" w:firstLineChars="200"/>
        <w:rPr>
          <w:rFonts w:ascii="仿宋" w:hAnsi="仿宋" w:eastAsia="仿宋" w:cs="Times New Roman"/>
          <w:sz w:val="32"/>
          <w:szCs w:val="32"/>
        </w:rPr>
      </w:pPr>
    </w:p>
    <w:p>
      <w:pPr>
        <w:ind w:firstLine="640" w:firstLineChars="200"/>
        <w:rPr>
          <w:rFonts w:ascii="仿宋" w:hAnsi="仿宋" w:eastAsia="仿宋" w:cs="Times New Roman"/>
          <w:sz w:val="32"/>
          <w:szCs w:val="32"/>
        </w:rPr>
      </w:pPr>
      <w:r>
        <w:rPr>
          <w:rFonts w:hint="eastAsia" w:eastAsia="黑体"/>
          <w:sz w:val="32"/>
          <w:szCs w:val="32"/>
          <w:lang w:val="en-US" w:eastAsia="zh-CN"/>
        </w:rPr>
        <w:t>附件：</w:t>
      </w:r>
      <w:r>
        <w:rPr>
          <w:rFonts w:hint="eastAsia" w:ascii="黑体" w:eastAsia="黑体"/>
          <w:sz w:val="32"/>
          <w:szCs w:val="32"/>
        </w:rPr>
        <w:t>2017</w:t>
      </w:r>
      <w:r>
        <w:rPr>
          <w:rFonts w:hint="eastAsia" w:ascii="黑体" w:eastAsia="黑体"/>
          <w:spacing w:val="-82"/>
          <w:sz w:val="32"/>
          <w:szCs w:val="32"/>
        </w:rPr>
        <w:t xml:space="preserve"> </w:t>
      </w:r>
      <w:r>
        <w:rPr>
          <w:rFonts w:hint="eastAsia" w:ascii="黑体" w:eastAsia="黑体"/>
          <w:sz w:val="32"/>
          <w:szCs w:val="32"/>
        </w:rPr>
        <w:t>年度部门决算表</w:t>
      </w:r>
    </w:p>
    <w:p>
      <w:pPr>
        <w:ind w:firstLine="883" w:firstLineChars="200"/>
        <w:jc w:val="center"/>
        <w:rPr>
          <w:rFonts w:ascii="仿宋" w:hAnsi="仿宋" w:eastAsia="仿宋" w:cs="Times New Roman"/>
          <w:b/>
          <w:bCs/>
          <w:sz w:val="44"/>
          <w:szCs w:val="44"/>
        </w:rPr>
      </w:pPr>
      <w:r>
        <w:rPr>
          <w:rFonts w:ascii="仿宋" w:hAnsi="仿宋" w:eastAsia="仿宋" w:cs="仿宋"/>
          <w:b/>
          <w:bCs/>
          <w:sz w:val="44"/>
          <w:szCs w:val="44"/>
        </w:rPr>
        <w:t>林业局</w:t>
      </w:r>
      <w:r>
        <w:rPr>
          <w:rFonts w:hint="eastAsia" w:ascii="仿宋" w:hAnsi="仿宋" w:eastAsia="仿宋" w:cs="仿宋"/>
          <w:b/>
          <w:bCs/>
          <w:sz w:val="44"/>
          <w:szCs w:val="44"/>
        </w:rPr>
        <w:t>单位</w:t>
      </w:r>
      <w:r>
        <w:rPr>
          <w:rFonts w:ascii="仿宋" w:hAnsi="仿宋" w:eastAsia="仿宋" w:cs="仿宋"/>
          <w:b/>
          <w:bCs/>
          <w:sz w:val="44"/>
          <w:szCs w:val="44"/>
        </w:rPr>
        <w:t>2017</w:t>
      </w:r>
      <w:r>
        <w:rPr>
          <w:rFonts w:hint="eastAsia" w:ascii="仿宋" w:hAnsi="仿宋" w:eastAsia="仿宋" w:cs="仿宋"/>
          <w:b/>
          <w:bCs/>
          <w:sz w:val="44"/>
          <w:szCs w:val="44"/>
        </w:rPr>
        <w:t>年度部门决算表</w:t>
      </w:r>
    </w:p>
    <w:p>
      <w:pPr>
        <w:ind w:firstLine="640" w:firstLineChars="200"/>
        <w:rPr>
          <w:rFonts w:ascii="仿宋" w:hAnsi="仿宋" w:eastAsia="仿宋" w:cs="Times New Roman"/>
          <w:sz w:val="32"/>
          <w:szCs w:val="32"/>
        </w:rPr>
      </w:pPr>
    </w:p>
    <w:p>
      <w:pPr>
        <w:ind w:firstLine="643" w:firstLineChars="200"/>
        <w:rPr>
          <w:rFonts w:ascii="仿宋" w:hAnsi="仿宋" w:eastAsia="仿宋" w:cs="Times New Roman"/>
          <w:b/>
          <w:bCs/>
          <w:sz w:val="32"/>
          <w:szCs w:val="32"/>
        </w:rPr>
      </w:pPr>
    </w:p>
    <w:tbl>
      <w:tblPr>
        <w:tblStyle w:val="6"/>
        <w:tblW w:w="13983" w:type="dxa"/>
        <w:tblInd w:w="-13" w:type="dxa"/>
        <w:tblLayout w:type="fixed"/>
        <w:tblCellMar>
          <w:top w:w="15" w:type="dxa"/>
          <w:left w:w="15" w:type="dxa"/>
          <w:bottom w:w="15" w:type="dxa"/>
          <w:right w:w="15" w:type="dxa"/>
        </w:tblCellMar>
      </w:tblPr>
      <w:tblGrid>
        <w:gridCol w:w="3259"/>
        <w:gridCol w:w="473"/>
        <w:gridCol w:w="3269"/>
        <w:gridCol w:w="3249"/>
        <w:gridCol w:w="473"/>
        <w:gridCol w:w="3260"/>
      </w:tblGrid>
      <w:tr>
        <w:tblPrEx>
          <w:tblLayout w:type="fixed"/>
          <w:tblCellMar>
            <w:top w:w="15" w:type="dxa"/>
            <w:left w:w="15" w:type="dxa"/>
            <w:bottom w:w="15" w:type="dxa"/>
            <w:right w:w="15" w:type="dxa"/>
          </w:tblCellMar>
        </w:tblPrEx>
        <w:trPr>
          <w:trHeight w:val="375" w:hRule="atLeast"/>
        </w:trPr>
        <w:tc>
          <w:tcPr>
            <w:tcW w:w="13983" w:type="dxa"/>
            <w:gridSpan w:val="6"/>
            <w:tcBorders>
              <w:right w:val="nil"/>
            </w:tcBorders>
            <w:vAlign w:val="center"/>
          </w:tcPr>
          <w:p>
            <w:pPr>
              <w:widowControl/>
              <w:jc w:val="center"/>
              <w:textAlignment w:val="center"/>
              <w:rPr>
                <w:rFonts w:ascii="黑体" w:hAnsi="宋体" w:eastAsia="黑体" w:cs="Times New Roman"/>
                <w:color w:val="000000"/>
                <w:sz w:val="30"/>
                <w:szCs w:val="30"/>
              </w:rPr>
            </w:pPr>
            <w:r>
              <w:rPr>
                <w:rFonts w:hint="eastAsia" w:ascii="黑体" w:hAnsi="宋体" w:eastAsia="黑体" w:cs="黑体"/>
                <w:color w:val="000000"/>
                <w:kern w:val="0"/>
                <w:sz w:val="30"/>
                <w:szCs w:val="30"/>
              </w:rPr>
              <w:t>收入支出决算总表</w:t>
            </w:r>
          </w:p>
        </w:tc>
      </w:tr>
      <w:tr>
        <w:tblPrEx>
          <w:tblLayout w:type="fixed"/>
          <w:tblCellMar>
            <w:top w:w="15" w:type="dxa"/>
            <w:left w:w="15" w:type="dxa"/>
            <w:bottom w:w="15" w:type="dxa"/>
            <w:right w:w="15" w:type="dxa"/>
          </w:tblCellMar>
        </w:tblPrEx>
        <w:trPr>
          <w:trHeight w:val="300" w:hRule="atLeast"/>
        </w:trPr>
        <w:tc>
          <w:tcPr>
            <w:tcW w:w="3259" w:type="dxa"/>
            <w:vAlign w:val="center"/>
          </w:tcPr>
          <w:p>
            <w:pPr>
              <w:jc w:val="left"/>
              <w:rPr>
                <w:rFonts w:ascii="宋体" w:cs="Times New Roman"/>
                <w:color w:val="000000"/>
                <w:sz w:val="18"/>
                <w:szCs w:val="18"/>
              </w:rPr>
            </w:pPr>
          </w:p>
        </w:tc>
        <w:tc>
          <w:tcPr>
            <w:tcW w:w="473" w:type="dxa"/>
            <w:vAlign w:val="center"/>
          </w:tcPr>
          <w:p>
            <w:pPr>
              <w:jc w:val="left"/>
              <w:rPr>
                <w:rFonts w:ascii="宋体" w:cs="Times New Roman"/>
                <w:color w:val="000000"/>
                <w:sz w:val="18"/>
                <w:szCs w:val="18"/>
              </w:rPr>
            </w:pPr>
          </w:p>
        </w:tc>
        <w:tc>
          <w:tcPr>
            <w:tcW w:w="3269" w:type="dxa"/>
            <w:vAlign w:val="center"/>
          </w:tcPr>
          <w:p>
            <w:pPr>
              <w:jc w:val="left"/>
              <w:rPr>
                <w:rFonts w:ascii="宋体" w:cs="Times New Roman"/>
                <w:color w:val="000000"/>
                <w:sz w:val="18"/>
                <w:szCs w:val="18"/>
              </w:rPr>
            </w:pPr>
          </w:p>
        </w:tc>
        <w:tc>
          <w:tcPr>
            <w:tcW w:w="3249" w:type="dxa"/>
            <w:vAlign w:val="center"/>
          </w:tcPr>
          <w:p>
            <w:pPr>
              <w:jc w:val="left"/>
              <w:rPr>
                <w:rFonts w:ascii="宋体" w:cs="Times New Roman"/>
                <w:color w:val="000000"/>
                <w:sz w:val="18"/>
                <w:szCs w:val="18"/>
              </w:rPr>
            </w:pPr>
          </w:p>
        </w:tc>
        <w:tc>
          <w:tcPr>
            <w:tcW w:w="473" w:type="dxa"/>
            <w:vAlign w:val="center"/>
          </w:tcPr>
          <w:p>
            <w:pPr>
              <w:jc w:val="left"/>
              <w:rPr>
                <w:rFonts w:ascii="宋体" w:cs="Times New Roman"/>
                <w:color w:val="000000"/>
                <w:sz w:val="18"/>
                <w:szCs w:val="18"/>
              </w:rPr>
            </w:pPr>
          </w:p>
        </w:tc>
        <w:tc>
          <w:tcPr>
            <w:tcW w:w="3260" w:type="dxa"/>
            <w:tcBorders>
              <w:right w:val="nil"/>
            </w:tcBorders>
            <w:vAlign w:val="center"/>
          </w:tcPr>
          <w:p>
            <w:pPr>
              <w:widowControl/>
              <w:jc w:val="right"/>
              <w:textAlignment w:val="center"/>
              <w:rPr>
                <w:rFonts w:ascii="宋体" w:cs="Times New Roman"/>
                <w:color w:val="000000"/>
                <w:sz w:val="22"/>
              </w:rPr>
            </w:pPr>
            <w:r>
              <w:rPr>
                <w:rFonts w:hint="eastAsia" w:ascii="宋体" w:hAnsi="宋体" w:cs="宋体"/>
                <w:color w:val="000000"/>
                <w:kern w:val="0"/>
                <w:sz w:val="22"/>
                <w:szCs w:val="22"/>
              </w:rPr>
              <w:t>公开</w:t>
            </w:r>
            <w:r>
              <w:rPr>
                <w:rFonts w:ascii="宋体" w:hAnsi="宋体" w:cs="宋体"/>
                <w:color w:val="000000"/>
                <w:kern w:val="0"/>
                <w:sz w:val="22"/>
                <w:szCs w:val="22"/>
              </w:rPr>
              <w:t>01</w:t>
            </w:r>
            <w:r>
              <w:rPr>
                <w:rFonts w:hint="eastAsia" w:ascii="宋体" w:hAnsi="宋体" w:cs="宋体"/>
                <w:color w:val="000000"/>
                <w:kern w:val="0"/>
                <w:sz w:val="22"/>
                <w:szCs w:val="22"/>
              </w:rPr>
              <w:t>表</w:t>
            </w:r>
          </w:p>
        </w:tc>
      </w:tr>
      <w:tr>
        <w:tblPrEx>
          <w:tblLayout w:type="fixed"/>
          <w:tblCellMar>
            <w:top w:w="15" w:type="dxa"/>
            <w:left w:w="15" w:type="dxa"/>
            <w:bottom w:w="15" w:type="dxa"/>
            <w:right w:w="15" w:type="dxa"/>
          </w:tblCellMar>
        </w:tblPrEx>
        <w:trPr>
          <w:trHeight w:val="300" w:hRule="atLeast"/>
        </w:trPr>
        <w:tc>
          <w:tcPr>
            <w:tcW w:w="7001" w:type="dxa"/>
            <w:gridSpan w:val="3"/>
            <w:tcBorders>
              <w:bottom w:val="single" w:color="auto" w:sz="4" w:space="0"/>
            </w:tcBorders>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2"/>
                <w:szCs w:val="22"/>
              </w:rPr>
              <w:t>部门：</w:t>
            </w:r>
            <w:r>
              <w:rPr>
                <w:rFonts w:hint="eastAsia" w:cs="宋体" w:asciiTheme="minorEastAsia" w:hAnsiTheme="minorEastAsia" w:eastAsiaTheme="minorEastAsia"/>
                <w:color w:val="000000"/>
                <w:kern w:val="0"/>
                <w:sz w:val="20"/>
                <w:szCs w:val="20"/>
              </w:rPr>
              <w:t>河南省周口市西华县林业局</w:t>
            </w:r>
          </w:p>
        </w:tc>
        <w:tc>
          <w:tcPr>
            <w:tcW w:w="3249" w:type="dxa"/>
            <w:tcBorders>
              <w:bottom w:val="single" w:color="auto" w:sz="4" w:space="0"/>
            </w:tcBorders>
            <w:vAlign w:val="center"/>
          </w:tcPr>
          <w:p>
            <w:pPr>
              <w:jc w:val="left"/>
              <w:rPr>
                <w:rFonts w:ascii="宋体" w:cs="Times New Roman"/>
                <w:color w:val="000000"/>
                <w:sz w:val="18"/>
                <w:szCs w:val="18"/>
              </w:rPr>
            </w:pPr>
          </w:p>
        </w:tc>
        <w:tc>
          <w:tcPr>
            <w:tcW w:w="473" w:type="dxa"/>
            <w:tcBorders>
              <w:bottom w:val="single" w:color="auto" w:sz="4" w:space="0"/>
            </w:tcBorders>
            <w:vAlign w:val="center"/>
          </w:tcPr>
          <w:p>
            <w:pPr>
              <w:jc w:val="left"/>
              <w:rPr>
                <w:rFonts w:ascii="宋体" w:cs="Times New Roman"/>
                <w:color w:val="000000"/>
                <w:sz w:val="18"/>
                <w:szCs w:val="18"/>
              </w:rPr>
            </w:pPr>
          </w:p>
        </w:tc>
        <w:tc>
          <w:tcPr>
            <w:tcW w:w="3260" w:type="dxa"/>
            <w:tcBorders>
              <w:bottom w:val="single" w:color="auto" w:sz="4" w:space="0"/>
              <w:right w:val="nil"/>
            </w:tcBorders>
            <w:vAlign w:val="center"/>
          </w:tcPr>
          <w:p>
            <w:pPr>
              <w:widowControl/>
              <w:jc w:val="right"/>
              <w:textAlignment w:val="center"/>
              <w:rPr>
                <w:rFonts w:ascii="宋体" w:cs="Times New Roman"/>
                <w:color w:val="000000"/>
                <w:sz w:val="22"/>
              </w:rPr>
            </w:pPr>
            <w:r>
              <w:rPr>
                <w:rFonts w:hint="eastAsia" w:ascii="宋体" w:hAnsi="宋体" w:cs="宋体"/>
                <w:color w:val="000000"/>
                <w:kern w:val="0"/>
                <w:sz w:val="22"/>
                <w:szCs w:val="22"/>
              </w:rPr>
              <w:t>金额单位：万元</w:t>
            </w:r>
          </w:p>
        </w:tc>
      </w:tr>
      <w:tr>
        <w:tblPrEx>
          <w:tblLayout w:type="fixed"/>
          <w:tblCellMar>
            <w:top w:w="15" w:type="dxa"/>
            <w:left w:w="15" w:type="dxa"/>
            <w:bottom w:w="15" w:type="dxa"/>
            <w:right w:w="15" w:type="dxa"/>
          </w:tblCellMar>
        </w:tblPrEx>
        <w:trPr>
          <w:trHeight w:val="300" w:hRule="atLeast"/>
        </w:trPr>
        <w:tc>
          <w:tcPr>
            <w:tcW w:w="7001"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收入</w:t>
            </w:r>
          </w:p>
        </w:tc>
        <w:tc>
          <w:tcPr>
            <w:tcW w:w="6982"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支出</w:t>
            </w:r>
          </w:p>
        </w:tc>
      </w:tr>
      <w:tr>
        <w:tblPrEx>
          <w:tblLayout w:type="fixed"/>
          <w:tblCellMar>
            <w:top w:w="15" w:type="dxa"/>
            <w:left w:w="15" w:type="dxa"/>
            <w:bottom w:w="15" w:type="dxa"/>
            <w:right w:w="15" w:type="dxa"/>
          </w:tblCellMar>
        </w:tblPrEx>
        <w:trPr>
          <w:trHeight w:val="300" w:hRule="atLeast"/>
        </w:trPr>
        <w:tc>
          <w:tcPr>
            <w:tcW w:w="3259" w:type="dxa"/>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项目</w:t>
            </w:r>
          </w:p>
        </w:tc>
        <w:tc>
          <w:tcPr>
            <w:tcW w:w="473"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3269"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金额</w:t>
            </w:r>
          </w:p>
        </w:tc>
        <w:tc>
          <w:tcPr>
            <w:tcW w:w="3249"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项目</w:t>
            </w:r>
          </w:p>
        </w:tc>
        <w:tc>
          <w:tcPr>
            <w:tcW w:w="473"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3260"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金额</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textAlignment w:val="center"/>
              <w:rPr>
                <w:rFonts w:ascii="宋体" w:cs="Times New Roman"/>
                <w:color w:val="000000"/>
                <w:sz w:val="20"/>
                <w:szCs w:val="20"/>
              </w:rPr>
            </w:pPr>
            <w:r>
              <w:rPr>
                <w:rFonts w:hint="eastAsia" w:ascii="宋体" w:hAnsi="宋体" w:cs="宋体"/>
                <w:color w:val="000000"/>
                <w:kern w:val="0"/>
                <w:sz w:val="20"/>
                <w:szCs w:val="20"/>
              </w:rPr>
              <w:t>栏次</w:t>
            </w:r>
          </w:p>
        </w:tc>
        <w:tc>
          <w:tcPr>
            <w:tcW w:w="473" w:type="dxa"/>
            <w:tcBorders>
              <w:bottom w:val="single" w:color="000000" w:sz="4" w:space="0"/>
              <w:right w:val="single" w:color="000000" w:sz="4" w:space="0"/>
            </w:tcBorders>
            <w:vAlign w:val="center"/>
          </w:tcPr>
          <w:p>
            <w:pPr>
              <w:jc w:val="center"/>
              <w:rPr>
                <w:rFonts w:ascii="宋体" w:cs="Times New Roman"/>
                <w:color w:val="000000"/>
                <w:sz w:val="20"/>
                <w:szCs w:val="20"/>
              </w:rPr>
            </w:pPr>
          </w:p>
        </w:tc>
        <w:tc>
          <w:tcPr>
            <w:tcW w:w="3269"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3249" w:type="dxa"/>
            <w:tcBorders>
              <w:bottom w:val="single" w:color="000000" w:sz="4" w:space="0"/>
              <w:right w:val="single" w:color="000000" w:sz="4" w:space="0"/>
            </w:tcBorders>
            <w:vAlign w:val="center"/>
          </w:tcPr>
          <w:p>
            <w:pPr>
              <w:widowControl/>
              <w:textAlignment w:val="center"/>
              <w:rPr>
                <w:rFonts w:ascii="宋体" w:cs="Times New Roman"/>
                <w:color w:val="000000"/>
                <w:sz w:val="20"/>
                <w:szCs w:val="20"/>
              </w:rPr>
            </w:pPr>
            <w:r>
              <w:rPr>
                <w:rFonts w:hint="eastAsia" w:ascii="宋体" w:hAnsi="宋体" w:cs="宋体"/>
                <w:color w:val="000000"/>
                <w:kern w:val="0"/>
                <w:sz w:val="20"/>
                <w:szCs w:val="20"/>
              </w:rPr>
              <w:t>栏次</w:t>
            </w:r>
          </w:p>
        </w:tc>
        <w:tc>
          <w:tcPr>
            <w:tcW w:w="473" w:type="dxa"/>
            <w:tcBorders>
              <w:bottom w:val="single" w:color="000000" w:sz="4" w:space="0"/>
              <w:right w:val="single" w:color="000000" w:sz="4" w:space="0"/>
            </w:tcBorders>
            <w:vAlign w:val="center"/>
          </w:tcPr>
          <w:p>
            <w:pPr>
              <w:jc w:val="center"/>
              <w:rPr>
                <w:rFonts w:ascii="宋体" w:cs="Times New Roman"/>
                <w:color w:val="000000"/>
                <w:sz w:val="20"/>
                <w:szCs w:val="20"/>
              </w:rPr>
            </w:pPr>
          </w:p>
        </w:tc>
        <w:tc>
          <w:tcPr>
            <w:tcW w:w="3260"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一、财政拨款收入</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3269" w:type="dxa"/>
            <w:tcBorders>
              <w:bottom w:val="single" w:color="000000" w:sz="4" w:space="0"/>
              <w:right w:val="single" w:color="000000" w:sz="4" w:space="0"/>
            </w:tcBorders>
            <w:vAlign w:val="center"/>
          </w:tcPr>
          <w:p>
            <w:pPr>
              <w:jc w:val="right"/>
              <w:rPr>
                <w:rFonts w:cs="Times New Roman"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317.17</w:t>
            </w: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一、一般公共服务支出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28</w:t>
            </w:r>
          </w:p>
        </w:tc>
        <w:tc>
          <w:tcPr>
            <w:tcW w:w="326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二、上级补助收入</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3269" w:type="dxa"/>
            <w:tcBorders>
              <w:bottom w:val="single" w:color="000000" w:sz="4" w:space="0"/>
              <w:right w:val="single" w:color="000000" w:sz="4" w:space="0"/>
            </w:tcBorders>
            <w:vAlign w:val="center"/>
          </w:tcPr>
          <w:p>
            <w:pPr>
              <w:jc w:val="right"/>
              <w:rPr>
                <w:rFonts w:cs="Times New Roman" w:asciiTheme="minorEastAsia" w:hAnsiTheme="minorEastAsia" w:eastAsiaTheme="minorEastAsia"/>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二、外交支出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29</w:t>
            </w:r>
          </w:p>
        </w:tc>
        <w:tc>
          <w:tcPr>
            <w:tcW w:w="326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三、事业收入</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三、国防支出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w:t>
            </w:r>
          </w:p>
        </w:tc>
        <w:tc>
          <w:tcPr>
            <w:tcW w:w="326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四、经营收入</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四、公共安全支出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31</w:t>
            </w:r>
          </w:p>
        </w:tc>
        <w:tc>
          <w:tcPr>
            <w:tcW w:w="326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五、附属单位上缴收入</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五、教育支出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32</w:t>
            </w:r>
          </w:p>
        </w:tc>
        <w:tc>
          <w:tcPr>
            <w:tcW w:w="326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六、其他收入</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6</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六、科学技术支出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33</w:t>
            </w:r>
          </w:p>
        </w:tc>
        <w:tc>
          <w:tcPr>
            <w:tcW w:w="326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7</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七、文化体育与传媒支出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34</w:t>
            </w:r>
          </w:p>
        </w:tc>
        <w:tc>
          <w:tcPr>
            <w:tcW w:w="326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8</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八、社会保障和就业支出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35</w:t>
            </w:r>
          </w:p>
        </w:tc>
        <w:tc>
          <w:tcPr>
            <w:tcW w:w="3260"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60.85</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9</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九、医疗卫生与计划生育支出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36</w:t>
            </w:r>
          </w:p>
        </w:tc>
        <w:tc>
          <w:tcPr>
            <w:tcW w:w="3260"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9.3</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10</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十、节能环保支出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37</w:t>
            </w:r>
          </w:p>
        </w:tc>
        <w:tc>
          <w:tcPr>
            <w:tcW w:w="3260"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50.96</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11</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十一、城乡社区支出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38</w:t>
            </w:r>
          </w:p>
        </w:tc>
        <w:tc>
          <w:tcPr>
            <w:tcW w:w="3260" w:type="dxa"/>
            <w:tcBorders>
              <w:bottom w:val="single" w:color="000000" w:sz="4" w:space="0"/>
              <w:right w:val="single" w:color="000000" w:sz="4" w:space="0"/>
            </w:tcBorders>
            <w:vAlign w:val="center"/>
          </w:tcPr>
          <w:p>
            <w:pPr>
              <w:jc w:val="right"/>
              <w:rPr>
                <w:rFonts w:cs="Times New Roman" w:asciiTheme="minorEastAsia" w:hAnsiTheme="minorEastAsia" w:eastAsiaTheme="minorEastAsia"/>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12</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十二、农林水支出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39</w:t>
            </w:r>
          </w:p>
        </w:tc>
        <w:tc>
          <w:tcPr>
            <w:tcW w:w="3260" w:type="dxa"/>
            <w:tcBorders>
              <w:bottom w:val="single" w:color="000000" w:sz="4" w:space="0"/>
              <w:right w:val="single" w:color="000000" w:sz="4" w:space="0"/>
            </w:tcBorders>
            <w:vAlign w:val="center"/>
          </w:tcPr>
          <w:p>
            <w:pPr>
              <w:jc w:val="right"/>
              <w:rPr>
                <w:rFonts w:cs="Times New Roman"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196.07</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13</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十三、交通运输支出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40</w:t>
            </w:r>
          </w:p>
        </w:tc>
        <w:tc>
          <w:tcPr>
            <w:tcW w:w="3260" w:type="dxa"/>
            <w:tcBorders>
              <w:bottom w:val="single" w:color="000000" w:sz="4" w:space="0"/>
              <w:right w:val="single" w:color="000000" w:sz="4" w:space="0"/>
            </w:tcBorders>
            <w:vAlign w:val="center"/>
          </w:tcPr>
          <w:p>
            <w:pPr>
              <w:jc w:val="right"/>
              <w:rPr>
                <w:rFonts w:cs="Times New Roman" w:asciiTheme="minorEastAsia" w:hAnsiTheme="minorEastAsia" w:eastAsiaTheme="minorEastAsia"/>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14</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十四、资源勘探信息等支出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41</w:t>
            </w:r>
          </w:p>
        </w:tc>
        <w:tc>
          <w:tcPr>
            <w:tcW w:w="326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15</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十五、商业服务业等支出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42</w:t>
            </w:r>
          </w:p>
        </w:tc>
        <w:tc>
          <w:tcPr>
            <w:tcW w:w="326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16</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十六、金融支出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43</w:t>
            </w:r>
          </w:p>
        </w:tc>
        <w:tc>
          <w:tcPr>
            <w:tcW w:w="326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17</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十七、援助其他地区支出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44</w:t>
            </w:r>
          </w:p>
        </w:tc>
        <w:tc>
          <w:tcPr>
            <w:tcW w:w="326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18</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十八、国土海洋气象等支出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45</w:t>
            </w:r>
          </w:p>
        </w:tc>
        <w:tc>
          <w:tcPr>
            <w:tcW w:w="326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19</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十九、住房保障支出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46</w:t>
            </w:r>
          </w:p>
        </w:tc>
        <w:tc>
          <w:tcPr>
            <w:tcW w:w="326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20</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二十、粮油物资储备支出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47</w:t>
            </w:r>
          </w:p>
        </w:tc>
        <w:tc>
          <w:tcPr>
            <w:tcW w:w="326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21</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二十一、其他支出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48</w:t>
            </w:r>
          </w:p>
        </w:tc>
        <w:tc>
          <w:tcPr>
            <w:tcW w:w="326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22</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49</w:t>
            </w:r>
          </w:p>
        </w:tc>
        <w:tc>
          <w:tcPr>
            <w:tcW w:w="326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本年收入合计</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23</w:t>
            </w:r>
          </w:p>
        </w:tc>
        <w:tc>
          <w:tcPr>
            <w:tcW w:w="3269" w:type="dxa"/>
            <w:tcBorders>
              <w:bottom w:val="single" w:color="000000" w:sz="4" w:space="0"/>
              <w:right w:val="single" w:color="000000" w:sz="4" w:space="0"/>
            </w:tcBorders>
            <w:vAlign w:val="center"/>
          </w:tcPr>
          <w:p>
            <w:pPr>
              <w:jc w:val="right"/>
              <w:rPr>
                <w:rFonts w:cs="Times New Roman"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317.17</w:t>
            </w:r>
          </w:p>
        </w:tc>
        <w:tc>
          <w:tcPr>
            <w:tcW w:w="3249"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本年支出合计</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50</w:t>
            </w:r>
          </w:p>
        </w:tc>
        <w:tc>
          <w:tcPr>
            <w:tcW w:w="3260" w:type="dxa"/>
            <w:tcBorders>
              <w:bottom w:val="single" w:color="000000" w:sz="4" w:space="0"/>
              <w:right w:val="single" w:color="000000" w:sz="4" w:space="0"/>
            </w:tcBorders>
            <w:vAlign w:val="center"/>
          </w:tcPr>
          <w:p>
            <w:pPr>
              <w:jc w:val="right"/>
              <w:rPr>
                <w:rFonts w:cs="Times New Roman"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317.17</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用事业基金弥补收支差额</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24</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结余分配</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51</w:t>
            </w:r>
          </w:p>
        </w:tc>
        <w:tc>
          <w:tcPr>
            <w:tcW w:w="326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年初结转和结余</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25</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年末结转和结余</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52</w:t>
            </w:r>
          </w:p>
        </w:tc>
        <w:tc>
          <w:tcPr>
            <w:tcW w:w="326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26</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53</w:t>
            </w:r>
          </w:p>
        </w:tc>
        <w:tc>
          <w:tcPr>
            <w:tcW w:w="326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总计</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27</w:t>
            </w:r>
          </w:p>
        </w:tc>
        <w:tc>
          <w:tcPr>
            <w:tcW w:w="3269" w:type="dxa"/>
            <w:tcBorders>
              <w:bottom w:val="single" w:color="000000" w:sz="4" w:space="0"/>
              <w:right w:val="single" w:color="000000" w:sz="4" w:space="0"/>
            </w:tcBorders>
            <w:vAlign w:val="center"/>
          </w:tcPr>
          <w:p>
            <w:pPr>
              <w:jc w:val="right"/>
              <w:rPr>
                <w:rFonts w:cs="Times New Roman"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317.17</w:t>
            </w:r>
          </w:p>
        </w:tc>
        <w:tc>
          <w:tcPr>
            <w:tcW w:w="3249"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总计</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54</w:t>
            </w:r>
          </w:p>
        </w:tc>
        <w:tc>
          <w:tcPr>
            <w:tcW w:w="3260" w:type="dxa"/>
            <w:tcBorders>
              <w:bottom w:val="single" w:color="000000" w:sz="4" w:space="0"/>
              <w:right w:val="single" w:color="000000" w:sz="4" w:space="0"/>
            </w:tcBorders>
            <w:vAlign w:val="center"/>
          </w:tcPr>
          <w:p>
            <w:pPr>
              <w:jc w:val="right"/>
              <w:rPr>
                <w:rFonts w:cs="Times New Roman"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317.17</w:t>
            </w:r>
          </w:p>
        </w:tc>
      </w:tr>
      <w:tr>
        <w:tblPrEx>
          <w:tblLayout w:type="fixed"/>
          <w:tblCellMar>
            <w:top w:w="15" w:type="dxa"/>
            <w:left w:w="15" w:type="dxa"/>
            <w:bottom w:w="15" w:type="dxa"/>
            <w:right w:w="15" w:type="dxa"/>
          </w:tblCellMar>
        </w:tblPrEx>
        <w:trPr>
          <w:trHeight w:val="300" w:hRule="atLeast"/>
        </w:trPr>
        <w:tc>
          <w:tcPr>
            <w:tcW w:w="13983" w:type="dxa"/>
            <w:gridSpan w:val="6"/>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注：本表反映部门本年度的总收支和年末结转结余情况。</w:t>
            </w:r>
          </w:p>
        </w:tc>
      </w:tr>
    </w:tbl>
    <w:p>
      <w:pPr>
        <w:rPr>
          <w:rFonts w:ascii="仿宋_GB2312" w:hAnsi="仿宋_GB2312" w:eastAsia="仿宋_GB2312" w:cs="Times New Roman"/>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6"/>
        <w:tblW w:w="13985" w:type="dxa"/>
        <w:tblInd w:w="-13" w:type="dxa"/>
        <w:tblLayout w:type="fixed"/>
        <w:tblCellMar>
          <w:top w:w="15" w:type="dxa"/>
          <w:left w:w="15" w:type="dxa"/>
          <w:bottom w:w="15" w:type="dxa"/>
          <w:right w:w="15" w:type="dxa"/>
        </w:tblCellMar>
      </w:tblPr>
      <w:tblGrid>
        <w:gridCol w:w="481"/>
        <w:gridCol w:w="468"/>
        <w:gridCol w:w="499"/>
        <w:gridCol w:w="968"/>
        <w:gridCol w:w="783"/>
        <w:gridCol w:w="1540"/>
        <w:gridCol w:w="1540"/>
        <w:gridCol w:w="1540"/>
        <w:gridCol w:w="341"/>
        <w:gridCol w:w="974"/>
        <w:gridCol w:w="225"/>
        <w:gridCol w:w="746"/>
        <w:gridCol w:w="794"/>
        <w:gridCol w:w="176"/>
        <w:gridCol w:w="970"/>
        <w:gridCol w:w="394"/>
        <w:gridCol w:w="1546"/>
      </w:tblGrid>
      <w:tr>
        <w:tblPrEx>
          <w:tblLayout w:type="fixed"/>
          <w:tblCellMar>
            <w:top w:w="15" w:type="dxa"/>
            <w:left w:w="15" w:type="dxa"/>
            <w:bottom w:w="15" w:type="dxa"/>
            <w:right w:w="15" w:type="dxa"/>
          </w:tblCellMar>
        </w:tblPrEx>
        <w:trPr>
          <w:trHeight w:val="375" w:hRule="atLeast"/>
        </w:trPr>
        <w:tc>
          <w:tcPr>
            <w:tcW w:w="13985" w:type="dxa"/>
            <w:gridSpan w:val="17"/>
            <w:tcBorders>
              <w:right w:val="nil"/>
            </w:tcBorders>
            <w:vAlign w:val="center"/>
          </w:tcPr>
          <w:p>
            <w:pPr>
              <w:widowControl/>
              <w:jc w:val="center"/>
              <w:textAlignment w:val="center"/>
              <w:rPr>
                <w:rFonts w:ascii="黑体" w:hAnsi="宋体" w:eastAsia="黑体" w:cs="Times New Roman"/>
                <w:color w:val="000000"/>
                <w:sz w:val="30"/>
                <w:szCs w:val="30"/>
              </w:rPr>
            </w:pPr>
            <w:r>
              <w:rPr>
                <w:rFonts w:hint="eastAsia" w:ascii="黑体" w:hAnsi="宋体" w:eastAsia="黑体" w:cs="黑体"/>
                <w:color w:val="000000"/>
                <w:kern w:val="0"/>
                <w:sz w:val="30"/>
                <w:szCs w:val="30"/>
              </w:rPr>
              <w:t>收入决算表</w:t>
            </w:r>
          </w:p>
        </w:tc>
      </w:tr>
      <w:tr>
        <w:tblPrEx>
          <w:tblLayout w:type="fixed"/>
          <w:tblCellMar>
            <w:top w:w="15" w:type="dxa"/>
            <w:left w:w="15" w:type="dxa"/>
            <w:bottom w:w="15" w:type="dxa"/>
            <w:right w:w="15" w:type="dxa"/>
          </w:tblCellMar>
        </w:tblPrEx>
        <w:trPr>
          <w:trHeight w:val="300" w:hRule="atLeast"/>
        </w:trPr>
        <w:tc>
          <w:tcPr>
            <w:tcW w:w="481" w:type="dxa"/>
            <w:vAlign w:val="center"/>
          </w:tcPr>
          <w:p>
            <w:pPr>
              <w:jc w:val="left"/>
              <w:rPr>
                <w:rFonts w:ascii="宋体" w:cs="Times New Roman"/>
                <w:color w:val="000000"/>
                <w:sz w:val="18"/>
                <w:szCs w:val="18"/>
              </w:rPr>
            </w:pPr>
          </w:p>
        </w:tc>
        <w:tc>
          <w:tcPr>
            <w:tcW w:w="967" w:type="dxa"/>
            <w:gridSpan w:val="2"/>
            <w:vAlign w:val="center"/>
          </w:tcPr>
          <w:p>
            <w:pPr>
              <w:jc w:val="left"/>
              <w:rPr>
                <w:rFonts w:ascii="宋体" w:cs="Times New Roman"/>
                <w:color w:val="000000"/>
                <w:sz w:val="18"/>
                <w:szCs w:val="18"/>
              </w:rPr>
            </w:pPr>
          </w:p>
        </w:tc>
        <w:tc>
          <w:tcPr>
            <w:tcW w:w="968" w:type="dxa"/>
            <w:vAlign w:val="center"/>
          </w:tcPr>
          <w:p>
            <w:pPr>
              <w:jc w:val="left"/>
              <w:rPr>
                <w:rFonts w:ascii="宋体" w:cs="Times New Roman"/>
                <w:color w:val="000000"/>
                <w:sz w:val="18"/>
                <w:szCs w:val="18"/>
              </w:rPr>
            </w:pPr>
          </w:p>
        </w:tc>
        <w:tc>
          <w:tcPr>
            <w:tcW w:w="783" w:type="dxa"/>
            <w:vAlign w:val="center"/>
          </w:tcPr>
          <w:p>
            <w:pPr>
              <w:jc w:val="left"/>
              <w:rPr>
                <w:rFonts w:ascii="宋体" w:cs="Times New Roman"/>
                <w:color w:val="000000"/>
                <w:sz w:val="18"/>
                <w:szCs w:val="18"/>
              </w:rPr>
            </w:pPr>
          </w:p>
        </w:tc>
        <w:tc>
          <w:tcPr>
            <w:tcW w:w="4961" w:type="dxa"/>
            <w:gridSpan w:val="4"/>
            <w:vAlign w:val="center"/>
          </w:tcPr>
          <w:p>
            <w:pPr>
              <w:jc w:val="left"/>
              <w:rPr>
                <w:rFonts w:ascii="宋体" w:cs="Times New Roman"/>
                <w:color w:val="000000"/>
                <w:sz w:val="18"/>
                <w:szCs w:val="18"/>
              </w:rPr>
            </w:pPr>
          </w:p>
        </w:tc>
        <w:tc>
          <w:tcPr>
            <w:tcW w:w="974" w:type="dxa"/>
            <w:vAlign w:val="center"/>
          </w:tcPr>
          <w:p>
            <w:pPr>
              <w:jc w:val="left"/>
              <w:rPr>
                <w:rFonts w:ascii="宋体" w:cs="Times New Roman"/>
                <w:color w:val="000000"/>
                <w:sz w:val="18"/>
                <w:szCs w:val="18"/>
              </w:rPr>
            </w:pPr>
          </w:p>
        </w:tc>
        <w:tc>
          <w:tcPr>
            <w:tcW w:w="971" w:type="dxa"/>
            <w:gridSpan w:val="2"/>
            <w:vAlign w:val="center"/>
          </w:tcPr>
          <w:p>
            <w:pPr>
              <w:jc w:val="left"/>
              <w:rPr>
                <w:rFonts w:ascii="宋体" w:cs="Times New Roman"/>
                <w:color w:val="000000"/>
                <w:sz w:val="18"/>
                <w:szCs w:val="18"/>
              </w:rPr>
            </w:pPr>
          </w:p>
        </w:tc>
        <w:tc>
          <w:tcPr>
            <w:tcW w:w="970" w:type="dxa"/>
            <w:gridSpan w:val="2"/>
            <w:vAlign w:val="center"/>
          </w:tcPr>
          <w:p>
            <w:pPr>
              <w:jc w:val="left"/>
              <w:rPr>
                <w:rFonts w:ascii="宋体" w:cs="Times New Roman"/>
                <w:color w:val="000000"/>
                <w:sz w:val="18"/>
                <w:szCs w:val="18"/>
              </w:rPr>
            </w:pPr>
          </w:p>
        </w:tc>
        <w:tc>
          <w:tcPr>
            <w:tcW w:w="970" w:type="dxa"/>
            <w:vAlign w:val="center"/>
          </w:tcPr>
          <w:p>
            <w:pPr>
              <w:jc w:val="left"/>
              <w:rPr>
                <w:rFonts w:ascii="宋体" w:cs="Times New Roman"/>
                <w:color w:val="000000"/>
                <w:sz w:val="18"/>
                <w:szCs w:val="18"/>
              </w:rPr>
            </w:pPr>
          </w:p>
        </w:tc>
        <w:tc>
          <w:tcPr>
            <w:tcW w:w="1940" w:type="dxa"/>
            <w:gridSpan w:val="2"/>
            <w:tcBorders>
              <w:right w:val="nil"/>
            </w:tcBorders>
            <w:vAlign w:val="center"/>
          </w:tcPr>
          <w:p>
            <w:pPr>
              <w:widowControl/>
              <w:jc w:val="right"/>
              <w:textAlignment w:val="center"/>
              <w:rPr>
                <w:rFonts w:ascii="宋体" w:cs="Times New Roman"/>
                <w:color w:val="000000"/>
                <w:sz w:val="22"/>
              </w:rPr>
            </w:pPr>
            <w:r>
              <w:rPr>
                <w:rFonts w:hint="eastAsia" w:ascii="宋体" w:hAnsi="宋体" w:cs="宋体"/>
                <w:color w:val="000000"/>
                <w:kern w:val="0"/>
                <w:sz w:val="22"/>
                <w:szCs w:val="22"/>
              </w:rPr>
              <w:t>公开</w:t>
            </w:r>
            <w:r>
              <w:rPr>
                <w:rFonts w:ascii="宋体" w:hAnsi="宋体" w:cs="宋体"/>
                <w:color w:val="000000"/>
                <w:kern w:val="0"/>
                <w:sz w:val="22"/>
                <w:szCs w:val="22"/>
              </w:rPr>
              <w:t>02</w:t>
            </w:r>
            <w:r>
              <w:rPr>
                <w:rFonts w:hint="eastAsia" w:ascii="宋体" w:hAnsi="宋体" w:cs="宋体"/>
                <w:color w:val="000000"/>
                <w:kern w:val="0"/>
                <w:sz w:val="22"/>
                <w:szCs w:val="22"/>
              </w:rPr>
              <w:t>表</w:t>
            </w:r>
          </w:p>
        </w:tc>
      </w:tr>
      <w:tr>
        <w:tblPrEx>
          <w:tblLayout w:type="fixed"/>
          <w:tblCellMar>
            <w:top w:w="15" w:type="dxa"/>
            <w:left w:w="15" w:type="dxa"/>
            <w:bottom w:w="15" w:type="dxa"/>
            <w:right w:w="15" w:type="dxa"/>
          </w:tblCellMar>
        </w:tblPrEx>
        <w:trPr>
          <w:trHeight w:val="300" w:hRule="atLeast"/>
        </w:trPr>
        <w:tc>
          <w:tcPr>
            <w:tcW w:w="8160" w:type="dxa"/>
            <w:gridSpan w:val="9"/>
            <w:tcBorders>
              <w:bottom w:val="single" w:color="auto" w:sz="4" w:space="0"/>
            </w:tcBorders>
            <w:vAlign w:val="center"/>
          </w:tcPr>
          <w:p>
            <w:pPr>
              <w:jc w:val="left"/>
              <w:rPr>
                <w:rFonts w:ascii="宋体" w:cs="Times New Roman"/>
                <w:color w:val="000000"/>
                <w:sz w:val="18"/>
                <w:szCs w:val="18"/>
              </w:rPr>
            </w:pPr>
            <w:r>
              <w:rPr>
                <w:rFonts w:hint="eastAsia" w:ascii="宋体" w:hAnsi="宋体" w:cs="宋体"/>
                <w:color w:val="000000"/>
                <w:kern w:val="0"/>
                <w:sz w:val="22"/>
                <w:szCs w:val="22"/>
              </w:rPr>
              <w:t>部门：</w:t>
            </w:r>
            <w:r>
              <w:rPr>
                <w:rFonts w:hint="eastAsia" w:ascii="仿宋_GB2312" w:hAnsi="仿宋" w:eastAsia="仿宋_GB2312" w:cs="宋体"/>
                <w:color w:val="000000"/>
                <w:kern w:val="0"/>
                <w:sz w:val="20"/>
                <w:szCs w:val="20"/>
              </w:rPr>
              <w:t>河南省周口市西华县林业局</w:t>
            </w:r>
          </w:p>
        </w:tc>
        <w:tc>
          <w:tcPr>
            <w:tcW w:w="974" w:type="dxa"/>
            <w:tcBorders>
              <w:bottom w:val="single" w:color="auto" w:sz="4" w:space="0"/>
            </w:tcBorders>
            <w:vAlign w:val="center"/>
          </w:tcPr>
          <w:p>
            <w:pPr>
              <w:widowControl/>
              <w:jc w:val="center"/>
              <w:textAlignment w:val="center"/>
              <w:rPr>
                <w:rFonts w:ascii="宋体" w:cs="Times New Roman"/>
                <w:color w:val="000000"/>
                <w:sz w:val="22"/>
              </w:rPr>
            </w:pPr>
          </w:p>
        </w:tc>
        <w:tc>
          <w:tcPr>
            <w:tcW w:w="971" w:type="dxa"/>
            <w:gridSpan w:val="2"/>
            <w:tcBorders>
              <w:bottom w:val="single" w:color="auto" w:sz="4" w:space="0"/>
            </w:tcBorders>
            <w:vAlign w:val="center"/>
          </w:tcPr>
          <w:p>
            <w:pPr>
              <w:jc w:val="left"/>
              <w:rPr>
                <w:rFonts w:ascii="宋体" w:cs="Times New Roman"/>
                <w:color w:val="000000"/>
                <w:sz w:val="18"/>
                <w:szCs w:val="18"/>
              </w:rPr>
            </w:pPr>
          </w:p>
        </w:tc>
        <w:tc>
          <w:tcPr>
            <w:tcW w:w="970" w:type="dxa"/>
            <w:gridSpan w:val="2"/>
            <w:tcBorders>
              <w:bottom w:val="single" w:color="auto" w:sz="4" w:space="0"/>
            </w:tcBorders>
            <w:vAlign w:val="center"/>
          </w:tcPr>
          <w:p>
            <w:pPr>
              <w:jc w:val="left"/>
              <w:rPr>
                <w:rFonts w:ascii="宋体" w:cs="Times New Roman"/>
                <w:color w:val="000000"/>
                <w:sz w:val="18"/>
                <w:szCs w:val="18"/>
              </w:rPr>
            </w:pPr>
          </w:p>
        </w:tc>
        <w:tc>
          <w:tcPr>
            <w:tcW w:w="970" w:type="dxa"/>
            <w:tcBorders>
              <w:bottom w:val="single" w:color="auto" w:sz="4" w:space="0"/>
            </w:tcBorders>
            <w:vAlign w:val="center"/>
          </w:tcPr>
          <w:p>
            <w:pPr>
              <w:jc w:val="left"/>
              <w:rPr>
                <w:rFonts w:ascii="宋体" w:cs="Times New Roman"/>
                <w:color w:val="000000"/>
                <w:sz w:val="18"/>
                <w:szCs w:val="18"/>
              </w:rPr>
            </w:pPr>
          </w:p>
        </w:tc>
        <w:tc>
          <w:tcPr>
            <w:tcW w:w="1940" w:type="dxa"/>
            <w:gridSpan w:val="2"/>
            <w:tcBorders>
              <w:bottom w:val="single" w:color="auto" w:sz="4" w:space="0"/>
              <w:right w:val="nil"/>
            </w:tcBorders>
            <w:vAlign w:val="center"/>
          </w:tcPr>
          <w:p>
            <w:pPr>
              <w:widowControl/>
              <w:jc w:val="right"/>
              <w:textAlignment w:val="center"/>
              <w:rPr>
                <w:rFonts w:ascii="宋体" w:cs="Times New Roman"/>
                <w:color w:val="000000"/>
                <w:sz w:val="22"/>
              </w:rPr>
            </w:pPr>
            <w:r>
              <w:rPr>
                <w:rFonts w:hint="eastAsia" w:ascii="宋体" w:hAnsi="宋体" w:cs="宋体"/>
                <w:color w:val="000000"/>
                <w:kern w:val="0"/>
                <w:sz w:val="22"/>
                <w:szCs w:val="22"/>
              </w:rPr>
              <w:t>金额单位：万元</w:t>
            </w:r>
          </w:p>
        </w:tc>
      </w:tr>
      <w:tr>
        <w:tblPrEx>
          <w:tblLayout w:type="fixed"/>
          <w:tblCellMar>
            <w:top w:w="15" w:type="dxa"/>
            <w:left w:w="15" w:type="dxa"/>
            <w:bottom w:w="15" w:type="dxa"/>
            <w:right w:w="15" w:type="dxa"/>
          </w:tblCellMar>
        </w:tblPrEx>
        <w:trPr>
          <w:trHeight w:val="300" w:hRule="atLeast"/>
        </w:trPr>
        <w:tc>
          <w:tcPr>
            <w:tcW w:w="3199"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项目</w:t>
            </w:r>
          </w:p>
        </w:tc>
        <w:tc>
          <w:tcPr>
            <w:tcW w:w="15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本年收入合计</w:t>
            </w:r>
          </w:p>
        </w:tc>
        <w:tc>
          <w:tcPr>
            <w:tcW w:w="15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财政拨款收入</w:t>
            </w:r>
          </w:p>
        </w:tc>
        <w:tc>
          <w:tcPr>
            <w:tcW w:w="15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上级补助收入</w:t>
            </w:r>
          </w:p>
        </w:tc>
        <w:tc>
          <w:tcPr>
            <w:tcW w:w="1540"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事业收入</w:t>
            </w:r>
          </w:p>
        </w:tc>
        <w:tc>
          <w:tcPr>
            <w:tcW w:w="1540"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经营收入</w:t>
            </w:r>
          </w:p>
        </w:tc>
        <w:tc>
          <w:tcPr>
            <w:tcW w:w="1540"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附属单位上缴收入</w:t>
            </w:r>
          </w:p>
        </w:tc>
        <w:tc>
          <w:tcPr>
            <w:tcW w:w="1546"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其他收入</w:t>
            </w:r>
          </w:p>
        </w:tc>
      </w:tr>
      <w:tr>
        <w:tblPrEx>
          <w:tblLayout w:type="fixed"/>
          <w:tblCellMar>
            <w:top w:w="15" w:type="dxa"/>
            <w:left w:w="15" w:type="dxa"/>
            <w:bottom w:w="15" w:type="dxa"/>
            <w:right w:w="15" w:type="dxa"/>
          </w:tblCellMar>
        </w:tblPrEx>
        <w:trPr>
          <w:trHeight w:val="312" w:hRule="atLeast"/>
        </w:trPr>
        <w:tc>
          <w:tcPr>
            <w:tcW w:w="949" w:type="dxa"/>
            <w:gridSpan w:val="2"/>
            <w:vMerge w:val="restart"/>
            <w:tcBorders>
              <w:left w:val="single" w:color="000000" w:sz="4" w:space="0"/>
              <w:bottom w:val="single" w:color="000000"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功能分类科目编码</w:t>
            </w:r>
          </w:p>
        </w:tc>
        <w:tc>
          <w:tcPr>
            <w:tcW w:w="2250"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154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c>
          <w:tcPr>
            <w:tcW w:w="154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c>
          <w:tcPr>
            <w:tcW w:w="154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c>
          <w:tcPr>
            <w:tcW w:w="1540" w:type="dxa"/>
            <w:gridSpan w:val="3"/>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c>
          <w:tcPr>
            <w:tcW w:w="1540"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c>
          <w:tcPr>
            <w:tcW w:w="1540" w:type="dxa"/>
            <w:gridSpan w:val="3"/>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c>
          <w:tcPr>
            <w:tcW w:w="154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12" w:hRule="atLeast"/>
        </w:trPr>
        <w:tc>
          <w:tcPr>
            <w:tcW w:w="949" w:type="dxa"/>
            <w:gridSpan w:val="2"/>
            <w:vMerge w:val="continue"/>
            <w:tcBorders>
              <w:left w:val="single" w:color="000000" w:sz="4" w:space="0"/>
              <w:bottom w:val="single" w:color="000000" w:sz="4" w:space="0"/>
              <w:right w:val="single" w:color="auto" w:sz="4" w:space="0"/>
            </w:tcBorders>
            <w:vAlign w:val="center"/>
          </w:tcPr>
          <w:p>
            <w:pPr>
              <w:jc w:val="center"/>
              <w:rPr>
                <w:rFonts w:ascii="宋体" w:cs="Times New Roman"/>
                <w:color w:val="000000"/>
                <w:sz w:val="20"/>
                <w:szCs w:val="20"/>
              </w:rPr>
            </w:pPr>
          </w:p>
        </w:tc>
        <w:tc>
          <w:tcPr>
            <w:tcW w:w="2250"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gridSpan w:val="3"/>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gridSpan w:val="3"/>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6" w:type="dxa"/>
            <w:vMerge w:val="continue"/>
            <w:tcBorders>
              <w:top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12" w:hRule="atLeast"/>
        </w:trPr>
        <w:tc>
          <w:tcPr>
            <w:tcW w:w="949" w:type="dxa"/>
            <w:gridSpan w:val="2"/>
            <w:vMerge w:val="continue"/>
            <w:tcBorders>
              <w:left w:val="single" w:color="000000" w:sz="4" w:space="0"/>
              <w:bottom w:val="single" w:color="000000" w:sz="4" w:space="0"/>
              <w:right w:val="single" w:color="auto" w:sz="4" w:space="0"/>
            </w:tcBorders>
            <w:vAlign w:val="center"/>
          </w:tcPr>
          <w:p>
            <w:pPr>
              <w:jc w:val="center"/>
              <w:rPr>
                <w:rFonts w:ascii="宋体" w:cs="Times New Roman"/>
                <w:color w:val="000000"/>
                <w:sz w:val="20"/>
                <w:szCs w:val="20"/>
              </w:rPr>
            </w:pPr>
          </w:p>
        </w:tc>
        <w:tc>
          <w:tcPr>
            <w:tcW w:w="2250"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gridSpan w:val="3"/>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gridSpan w:val="3"/>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6" w:type="dxa"/>
            <w:vMerge w:val="continue"/>
            <w:tcBorders>
              <w:top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199" w:type="dxa"/>
            <w:gridSpan w:val="5"/>
            <w:tcBorders>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栏次</w:t>
            </w:r>
          </w:p>
        </w:tc>
        <w:tc>
          <w:tcPr>
            <w:tcW w:w="1540"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1540"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1540"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c>
          <w:tcPr>
            <w:tcW w:w="1540" w:type="dxa"/>
            <w:gridSpan w:val="3"/>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w:t>
            </w:r>
          </w:p>
        </w:tc>
        <w:tc>
          <w:tcPr>
            <w:tcW w:w="1540" w:type="dxa"/>
            <w:gridSpan w:val="2"/>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w:t>
            </w:r>
          </w:p>
        </w:tc>
        <w:tc>
          <w:tcPr>
            <w:tcW w:w="1540" w:type="dxa"/>
            <w:gridSpan w:val="3"/>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6</w:t>
            </w:r>
          </w:p>
        </w:tc>
        <w:tc>
          <w:tcPr>
            <w:tcW w:w="154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7</w:t>
            </w:r>
          </w:p>
        </w:tc>
      </w:tr>
      <w:tr>
        <w:tblPrEx>
          <w:tblLayout w:type="fixed"/>
          <w:tblCellMar>
            <w:top w:w="15" w:type="dxa"/>
            <w:left w:w="15" w:type="dxa"/>
            <w:bottom w:w="15" w:type="dxa"/>
            <w:right w:w="15" w:type="dxa"/>
          </w:tblCellMar>
        </w:tblPrEx>
        <w:trPr>
          <w:trHeight w:val="300" w:hRule="atLeast"/>
        </w:trPr>
        <w:tc>
          <w:tcPr>
            <w:tcW w:w="3199" w:type="dxa"/>
            <w:gridSpan w:val="5"/>
            <w:tcBorders>
              <w:left w:val="single" w:color="000000" w:sz="4" w:space="0"/>
              <w:bottom w:val="single" w:color="000000" w:sz="4" w:space="0"/>
              <w:right w:val="single" w:color="000000" w:sz="4" w:space="0"/>
            </w:tcBorders>
            <w:vAlign w:val="center"/>
          </w:tcPr>
          <w:p>
            <w:pPr>
              <w:widowControl/>
              <w:textAlignment w:val="center"/>
              <w:rPr>
                <w:rFonts w:ascii="宋体" w:cs="Times New Roman"/>
                <w:color w:val="000000"/>
                <w:sz w:val="20"/>
                <w:szCs w:val="20"/>
              </w:rPr>
            </w:pPr>
            <w:r>
              <w:rPr>
                <w:rFonts w:hint="eastAsia" w:ascii="宋体" w:hAnsi="宋体" w:cs="宋体"/>
                <w:color w:val="000000"/>
                <w:kern w:val="0"/>
                <w:sz w:val="20"/>
                <w:szCs w:val="20"/>
              </w:rPr>
              <w:t>合计</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b/>
                <w:color w:val="000000"/>
                <w:sz w:val="22"/>
              </w:rPr>
            </w:pPr>
            <w:r>
              <w:rPr>
                <w:rFonts w:hint="eastAsia" w:cs="宋体" w:asciiTheme="minorEastAsia" w:hAnsiTheme="minorEastAsia" w:eastAsiaTheme="minorEastAsia"/>
                <w:b/>
                <w:color w:val="000000"/>
                <w:kern w:val="0"/>
                <w:sz w:val="22"/>
              </w:rPr>
              <w:t>317.17</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b/>
                <w:color w:val="000000"/>
                <w:sz w:val="22"/>
              </w:rPr>
            </w:pPr>
            <w:r>
              <w:rPr>
                <w:rFonts w:hint="eastAsia" w:cs="宋体" w:asciiTheme="minorEastAsia" w:hAnsiTheme="minorEastAsia" w:eastAsiaTheme="minorEastAsia"/>
                <w:b/>
                <w:color w:val="000000"/>
                <w:kern w:val="0"/>
                <w:sz w:val="22"/>
              </w:rPr>
              <w:t>317.17</w:t>
            </w:r>
          </w:p>
        </w:tc>
        <w:tc>
          <w:tcPr>
            <w:tcW w:w="1540" w:type="dxa"/>
            <w:tcBorders>
              <w:bottom w:val="single" w:color="000000" w:sz="4" w:space="0"/>
              <w:right w:val="single" w:color="000000" w:sz="4" w:space="0"/>
            </w:tcBorders>
            <w:vAlign w:val="center"/>
          </w:tcPr>
          <w:p>
            <w:pPr>
              <w:jc w:val="right"/>
              <w:rPr>
                <w:rFonts w:ascii="宋体" w:cs="Times New Roman"/>
                <w:b/>
                <w:bCs/>
                <w:color w:val="000000"/>
                <w:sz w:val="20"/>
                <w:szCs w:val="20"/>
              </w:rPr>
            </w:pPr>
            <w:r>
              <w:rPr>
                <w:rFonts w:hint="eastAsia" w:ascii="宋体" w:cs="Times New Roman"/>
                <w:b/>
                <w:bCs/>
                <w:color w:val="000000"/>
                <w:sz w:val="20"/>
                <w:szCs w:val="20"/>
              </w:rPr>
              <w:t>0</w:t>
            </w:r>
          </w:p>
        </w:tc>
        <w:tc>
          <w:tcPr>
            <w:tcW w:w="1540" w:type="dxa"/>
            <w:gridSpan w:val="3"/>
            <w:tcBorders>
              <w:bottom w:val="single" w:color="000000" w:sz="4" w:space="0"/>
              <w:right w:val="single" w:color="000000" w:sz="4" w:space="0"/>
            </w:tcBorders>
            <w:vAlign w:val="center"/>
          </w:tcPr>
          <w:p>
            <w:pPr>
              <w:jc w:val="right"/>
              <w:rPr>
                <w:rFonts w:ascii="宋体" w:cs="Times New Roman"/>
                <w:b/>
                <w:bCs/>
                <w:color w:val="000000"/>
                <w:sz w:val="20"/>
                <w:szCs w:val="20"/>
              </w:rPr>
            </w:pPr>
            <w:r>
              <w:rPr>
                <w:rFonts w:hint="eastAsia" w:ascii="宋体" w:cs="Times New Roman"/>
                <w:b/>
                <w:bCs/>
                <w:color w:val="000000"/>
                <w:sz w:val="20"/>
                <w:szCs w:val="20"/>
              </w:rPr>
              <w:t>0</w:t>
            </w:r>
          </w:p>
        </w:tc>
        <w:tc>
          <w:tcPr>
            <w:tcW w:w="1540" w:type="dxa"/>
            <w:gridSpan w:val="2"/>
            <w:tcBorders>
              <w:bottom w:val="single" w:color="000000" w:sz="4" w:space="0"/>
              <w:right w:val="single" w:color="000000" w:sz="4" w:space="0"/>
            </w:tcBorders>
            <w:vAlign w:val="center"/>
          </w:tcPr>
          <w:p>
            <w:pPr>
              <w:jc w:val="right"/>
              <w:rPr>
                <w:rFonts w:ascii="宋体" w:cs="Times New Roman"/>
                <w:b/>
                <w:bCs/>
                <w:color w:val="000000"/>
                <w:sz w:val="20"/>
                <w:szCs w:val="20"/>
              </w:rPr>
            </w:pPr>
            <w:r>
              <w:rPr>
                <w:rFonts w:hint="eastAsia" w:ascii="宋体" w:cs="Times New Roman"/>
                <w:b/>
                <w:bCs/>
                <w:color w:val="000000"/>
                <w:sz w:val="20"/>
                <w:szCs w:val="20"/>
              </w:rPr>
              <w:t>0</w:t>
            </w:r>
          </w:p>
        </w:tc>
        <w:tc>
          <w:tcPr>
            <w:tcW w:w="1540" w:type="dxa"/>
            <w:gridSpan w:val="3"/>
            <w:tcBorders>
              <w:bottom w:val="single" w:color="000000" w:sz="4" w:space="0"/>
              <w:right w:val="single" w:color="000000" w:sz="4" w:space="0"/>
            </w:tcBorders>
            <w:vAlign w:val="center"/>
          </w:tcPr>
          <w:p>
            <w:pPr>
              <w:jc w:val="right"/>
              <w:rPr>
                <w:rFonts w:ascii="宋体" w:cs="Times New Roman"/>
                <w:b/>
                <w:bCs/>
                <w:color w:val="000000"/>
                <w:sz w:val="20"/>
                <w:szCs w:val="20"/>
              </w:rPr>
            </w:pPr>
            <w:r>
              <w:rPr>
                <w:rFonts w:hint="eastAsia" w:ascii="宋体" w:cs="Times New Roman"/>
                <w:b/>
                <w:bCs/>
                <w:color w:val="000000"/>
                <w:sz w:val="20"/>
                <w:szCs w:val="20"/>
              </w:rPr>
              <w:t>0</w:t>
            </w:r>
          </w:p>
        </w:tc>
        <w:tc>
          <w:tcPr>
            <w:tcW w:w="1546" w:type="dxa"/>
            <w:tcBorders>
              <w:bottom w:val="single" w:color="000000" w:sz="4" w:space="0"/>
              <w:right w:val="single" w:color="000000" w:sz="4" w:space="0"/>
            </w:tcBorders>
            <w:vAlign w:val="center"/>
          </w:tcPr>
          <w:p>
            <w:pPr>
              <w:jc w:val="right"/>
              <w:rPr>
                <w:rFonts w:ascii="宋体" w:cs="Times New Roman"/>
                <w:b/>
                <w:bCs/>
                <w:color w:val="000000"/>
                <w:sz w:val="20"/>
                <w:szCs w:val="20"/>
              </w:rPr>
            </w:pPr>
            <w:r>
              <w:rPr>
                <w:rFonts w:hint="eastAsia" w:ascii="宋体" w:cs="Times New Roman"/>
                <w:b/>
                <w:bCs/>
                <w:color w:val="000000"/>
                <w:sz w:val="20"/>
                <w:szCs w:val="20"/>
              </w:rPr>
              <w:t>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w:t>
            </w:r>
          </w:p>
        </w:tc>
        <w:tc>
          <w:tcPr>
            <w:tcW w:w="2250"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社会保障和就业支出</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51.57</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51.57</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6"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20805</w:t>
            </w:r>
          </w:p>
        </w:tc>
        <w:tc>
          <w:tcPr>
            <w:tcW w:w="2250"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行政事业单位离退休</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51.57</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51.57</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6"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2080501</w:t>
            </w:r>
          </w:p>
        </w:tc>
        <w:tc>
          <w:tcPr>
            <w:tcW w:w="2250"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归口管理的行政单位离退休</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41.10</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41.10</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6"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2080505</w:t>
            </w:r>
          </w:p>
        </w:tc>
        <w:tc>
          <w:tcPr>
            <w:tcW w:w="2250"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机关事业单位基本养老保险缴费支出</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10.47</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10.47</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6"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210</w:t>
            </w:r>
          </w:p>
        </w:tc>
        <w:tc>
          <w:tcPr>
            <w:tcW w:w="2250"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医疗卫生与计划生育支出</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9.30</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9.30</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6"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21011</w:t>
            </w:r>
          </w:p>
        </w:tc>
        <w:tc>
          <w:tcPr>
            <w:tcW w:w="2250"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行政事业单位医疗</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9.30</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9.30</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6"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2101101</w:t>
            </w:r>
          </w:p>
        </w:tc>
        <w:tc>
          <w:tcPr>
            <w:tcW w:w="2250"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行政单位医疗</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9.30</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9.30</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6"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213</w:t>
            </w:r>
          </w:p>
        </w:tc>
        <w:tc>
          <w:tcPr>
            <w:tcW w:w="2250"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农林水支出</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138.74</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138.74</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6"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21302</w:t>
            </w:r>
          </w:p>
        </w:tc>
        <w:tc>
          <w:tcPr>
            <w:tcW w:w="2250"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林业</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138.74</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138.74</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6"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2130201</w:t>
            </w:r>
          </w:p>
        </w:tc>
        <w:tc>
          <w:tcPr>
            <w:tcW w:w="2250"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行政运行</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138.74</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138.74</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6"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w:t>
            </w:r>
          </w:p>
        </w:tc>
        <w:tc>
          <w:tcPr>
            <w:tcW w:w="2250"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社会保障和就业支出</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9.28</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9.28</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6"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20805</w:t>
            </w:r>
          </w:p>
        </w:tc>
        <w:tc>
          <w:tcPr>
            <w:tcW w:w="2250"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行政事业单位离退休</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8.53</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8.53</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6"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2080502</w:t>
            </w:r>
          </w:p>
        </w:tc>
        <w:tc>
          <w:tcPr>
            <w:tcW w:w="2250"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事业单位离退休</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1.61</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1.61</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6"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2080505</w:t>
            </w:r>
          </w:p>
        </w:tc>
        <w:tc>
          <w:tcPr>
            <w:tcW w:w="2250"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机关事业单位基本养老保险缴费支出</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6.92</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6.92</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6"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20899</w:t>
            </w:r>
          </w:p>
        </w:tc>
        <w:tc>
          <w:tcPr>
            <w:tcW w:w="2250"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其他社会保障和就业支出</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0.74</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0.74</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6"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2089901</w:t>
            </w:r>
          </w:p>
        </w:tc>
        <w:tc>
          <w:tcPr>
            <w:tcW w:w="2250"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其他社会保障和就业支出</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0.74</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0.74</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6"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211</w:t>
            </w:r>
          </w:p>
        </w:tc>
        <w:tc>
          <w:tcPr>
            <w:tcW w:w="2250"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节能环保支出</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50.96</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50.96</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6"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21106</w:t>
            </w:r>
          </w:p>
        </w:tc>
        <w:tc>
          <w:tcPr>
            <w:tcW w:w="2250"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退耕还林</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50.96</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50.96</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6"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2110699</w:t>
            </w:r>
          </w:p>
        </w:tc>
        <w:tc>
          <w:tcPr>
            <w:tcW w:w="2250"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其他退耕还林支出</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50.96</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50.96</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6"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213</w:t>
            </w:r>
          </w:p>
        </w:tc>
        <w:tc>
          <w:tcPr>
            <w:tcW w:w="2250"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农林水支出</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57.33</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57.33</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6"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21302</w:t>
            </w:r>
          </w:p>
        </w:tc>
        <w:tc>
          <w:tcPr>
            <w:tcW w:w="2250"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林业</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57.33</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57.33</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6"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2130299</w:t>
            </w:r>
          </w:p>
        </w:tc>
        <w:tc>
          <w:tcPr>
            <w:tcW w:w="2250"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其他林业支出</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57.33</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57.33</w:t>
            </w:r>
          </w:p>
        </w:tc>
        <w:tc>
          <w:tcPr>
            <w:tcW w:w="1540"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0" w:type="dxa"/>
            <w:gridSpan w:val="3"/>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46"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2250" w:type="dxa"/>
            <w:gridSpan w:val="3"/>
            <w:tcBorders>
              <w:bottom w:val="single" w:color="000000" w:sz="4" w:space="0"/>
              <w:right w:val="single" w:color="000000" w:sz="4" w:space="0"/>
            </w:tcBorders>
            <w:vAlign w:val="center"/>
          </w:tcPr>
          <w:p>
            <w:pPr>
              <w:jc w:val="left"/>
              <w:rPr>
                <w:rFonts w:ascii="宋体" w:cs="Times New Roman"/>
                <w:color w:val="000000"/>
                <w:sz w:val="20"/>
                <w:szCs w:val="20"/>
              </w:rPr>
            </w:pPr>
          </w:p>
        </w:tc>
        <w:tc>
          <w:tcPr>
            <w:tcW w:w="1540"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540"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540"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540" w:type="dxa"/>
            <w:gridSpan w:val="3"/>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540"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540" w:type="dxa"/>
            <w:gridSpan w:val="3"/>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546"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13985" w:type="dxa"/>
            <w:gridSpan w:val="17"/>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注：本表反映部门本年度取得的各项收入情况。</w:t>
            </w:r>
          </w:p>
        </w:tc>
      </w:tr>
    </w:tbl>
    <w:p>
      <w:pPr>
        <w:rPr>
          <w:rFonts w:ascii="仿宋_GB2312" w:hAnsi="仿宋_GB2312" w:eastAsia="仿宋_GB2312" w:cs="Times New Roman"/>
          <w:sz w:val="32"/>
          <w:szCs w:val="32"/>
        </w:rPr>
      </w:pPr>
    </w:p>
    <w:p>
      <w:pPr>
        <w:rPr>
          <w:rFonts w:ascii="仿宋_GB2312" w:hAnsi="仿宋_GB2312" w:eastAsia="仿宋_GB2312" w:cs="Times New Roman"/>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6"/>
        <w:tblW w:w="13988" w:type="dxa"/>
        <w:tblInd w:w="-13" w:type="dxa"/>
        <w:tblLayout w:type="fixed"/>
        <w:tblCellMar>
          <w:top w:w="15" w:type="dxa"/>
          <w:left w:w="15" w:type="dxa"/>
          <w:bottom w:w="15" w:type="dxa"/>
          <w:right w:w="15" w:type="dxa"/>
        </w:tblCellMar>
      </w:tblPr>
      <w:tblGrid>
        <w:gridCol w:w="518"/>
        <w:gridCol w:w="401"/>
        <w:gridCol w:w="640"/>
        <w:gridCol w:w="1040"/>
        <w:gridCol w:w="1995"/>
        <w:gridCol w:w="1565"/>
        <w:gridCol w:w="1565"/>
        <w:gridCol w:w="1049"/>
        <w:gridCol w:w="516"/>
        <w:gridCol w:w="527"/>
        <w:gridCol w:w="1038"/>
        <w:gridCol w:w="6"/>
        <w:gridCol w:w="1559"/>
        <w:gridCol w:w="1569"/>
      </w:tblGrid>
      <w:tr>
        <w:tblPrEx>
          <w:tblLayout w:type="fixed"/>
          <w:tblCellMar>
            <w:top w:w="15" w:type="dxa"/>
            <w:left w:w="15" w:type="dxa"/>
            <w:bottom w:w="15" w:type="dxa"/>
            <w:right w:w="15" w:type="dxa"/>
          </w:tblCellMar>
        </w:tblPrEx>
        <w:trPr>
          <w:trHeight w:val="375" w:hRule="atLeast"/>
        </w:trPr>
        <w:tc>
          <w:tcPr>
            <w:tcW w:w="13988" w:type="dxa"/>
            <w:gridSpan w:val="14"/>
            <w:tcBorders>
              <w:right w:val="nil"/>
            </w:tcBorders>
            <w:vAlign w:val="center"/>
          </w:tcPr>
          <w:p>
            <w:pPr>
              <w:widowControl/>
              <w:jc w:val="center"/>
              <w:textAlignment w:val="center"/>
              <w:rPr>
                <w:rFonts w:ascii="黑体" w:hAnsi="宋体" w:eastAsia="黑体" w:cs="Times New Roman"/>
                <w:color w:val="000000"/>
                <w:sz w:val="30"/>
                <w:szCs w:val="30"/>
              </w:rPr>
            </w:pPr>
            <w:r>
              <w:rPr>
                <w:rFonts w:hint="eastAsia" w:ascii="黑体" w:hAnsi="宋体" w:eastAsia="黑体" w:cs="黑体"/>
                <w:color w:val="000000"/>
                <w:kern w:val="0"/>
                <w:sz w:val="30"/>
                <w:szCs w:val="30"/>
              </w:rPr>
              <w:t>支出决算表</w:t>
            </w:r>
          </w:p>
        </w:tc>
      </w:tr>
      <w:tr>
        <w:tblPrEx>
          <w:tblLayout w:type="fixed"/>
          <w:tblCellMar>
            <w:top w:w="15" w:type="dxa"/>
            <w:left w:w="15" w:type="dxa"/>
            <w:bottom w:w="15" w:type="dxa"/>
            <w:right w:w="15" w:type="dxa"/>
          </w:tblCellMar>
        </w:tblPrEx>
        <w:trPr>
          <w:trHeight w:val="300" w:hRule="atLeast"/>
        </w:trPr>
        <w:tc>
          <w:tcPr>
            <w:tcW w:w="518" w:type="dxa"/>
            <w:vAlign w:val="center"/>
          </w:tcPr>
          <w:p>
            <w:pPr>
              <w:jc w:val="left"/>
              <w:rPr>
                <w:rFonts w:ascii="宋体" w:cs="Times New Roman"/>
                <w:color w:val="000000"/>
                <w:sz w:val="18"/>
                <w:szCs w:val="18"/>
              </w:rPr>
            </w:pPr>
          </w:p>
        </w:tc>
        <w:tc>
          <w:tcPr>
            <w:tcW w:w="1041" w:type="dxa"/>
            <w:gridSpan w:val="2"/>
            <w:vAlign w:val="center"/>
          </w:tcPr>
          <w:p>
            <w:pPr>
              <w:jc w:val="left"/>
              <w:rPr>
                <w:rFonts w:ascii="宋体" w:cs="Times New Roman"/>
                <w:color w:val="000000"/>
                <w:sz w:val="18"/>
                <w:szCs w:val="18"/>
              </w:rPr>
            </w:pPr>
          </w:p>
        </w:tc>
        <w:tc>
          <w:tcPr>
            <w:tcW w:w="1040" w:type="dxa"/>
            <w:vAlign w:val="center"/>
          </w:tcPr>
          <w:p>
            <w:pPr>
              <w:jc w:val="left"/>
              <w:rPr>
                <w:rFonts w:ascii="宋体" w:cs="Times New Roman"/>
                <w:color w:val="000000"/>
                <w:sz w:val="18"/>
                <w:szCs w:val="18"/>
              </w:rPr>
            </w:pPr>
          </w:p>
        </w:tc>
        <w:tc>
          <w:tcPr>
            <w:tcW w:w="1995" w:type="dxa"/>
            <w:vAlign w:val="center"/>
          </w:tcPr>
          <w:p>
            <w:pPr>
              <w:jc w:val="left"/>
              <w:rPr>
                <w:rFonts w:ascii="宋体" w:cs="Times New Roman"/>
                <w:color w:val="000000"/>
                <w:sz w:val="18"/>
                <w:szCs w:val="18"/>
              </w:rPr>
            </w:pPr>
          </w:p>
        </w:tc>
        <w:tc>
          <w:tcPr>
            <w:tcW w:w="4179" w:type="dxa"/>
            <w:gridSpan w:val="3"/>
            <w:vAlign w:val="center"/>
          </w:tcPr>
          <w:p>
            <w:pPr>
              <w:jc w:val="left"/>
              <w:rPr>
                <w:rFonts w:ascii="宋体" w:cs="Times New Roman"/>
                <w:color w:val="000000"/>
                <w:sz w:val="18"/>
                <w:szCs w:val="18"/>
              </w:rPr>
            </w:pPr>
          </w:p>
        </w:tc>
        <w:tc>
          <w:tcPr>
            <w:tcW w:w="1043" w:type="dxa"/>
            <w:gridSpan w:val="2"/>
            <w:vAlign w:val="center"/>
          </w:tcPr>
          <w:p>
            <w:pPr>
              <w:jc w:val="left"/>
              <w:rPr>
                <w:rFonts w:ascii="宋体" w:cs="Times New Roman"/>
                <w:color w:val="000000"/>
                <w:sz w:val="18"/>
                <w:szCs w:val="18"/>
              </w:rPr>
            </w:pPr>
          </w:p>
        </w:tc>
        <w:tc>
          <w:tcPr>
            <w:tcW w:w="1044" w:type="dxa"/>
            <w:gridSpan w:val="2"/>
            <w:vAlign w:val="center"/>
          </w:tcPr>
          <w:p>
            <w:pPr>
              <w:jc w:val="left"/>
              <w:rPr>
                <w:rFonts w:ascii="宋体" w:cs="Times New Roman"/>
                <w:color w:val="000000"/>
                <w:sz w:val="18"/>
                <w:szCs w:val="18"/>
              </w:rPr>
            </w:pPr>
          </w:p>
        </w:tc>
        <w:tc>
          <w:tcPr>
            <w:tcW w:w="3128" w:type="dxa"/>
            <w:gridSpan w:val="2"/>
            <w:tcBorders>
              <w:right w:val="nil"/>
            </w:tcBorders>
            <w:vAlign w:val="center"/>
          </w:tcPr>
          <w:p>
            <w:pPr>
              <w:widowControl/>
              <w:jc w:val="right"/>
              <w:textAlignment w:val="center"/>
              <w:rPr>
                <w:rFonts w:ascii="宋体" w:cs="Times New Roman"/>
                <w:color w:val="000000"/>
                <w:sz w:val="22"/>
              </w:rPr>
            </w:pPr>
            <w:r>
              <w:rPr>
                <w:rFonts w:hint="eastAsia" w:ascii="宋体" w:hAnsi="宋体" w:cs="宋体"/>
                <w:color w:val="000000"/>
                <w:kern w:val="0"/>
                <w:sz w:val="22"/>
                <w:szCs w:val="22"/>
              </w:rPr>
              <w:t>公开</w:t>
            </w:r>
            <w:r>
              <w:rPr>
                <w:rFonts w:ascii="宋体" w:hAnsi="宋体" w:cs="宋体"/>
                <w:color w:val="000000"/>
                <w:kern w:val="0"/>
                <w:sz w:val="22"/>
                <w:szCs w:val="22"/>
              </w:rPr>
              <w:t>03</w:t>
            </w:r>
            <w:r>
              <w:rPr>
                <w:rFonts w:hint="eastAsia" w:ascii="宋体" w:hAnsi="宋体" w:cs="宋体"/>
                <w:color w:val="000000"/>
                <w:kern w:val="0"/>
                <w:sz w:val="22"/>
                <w:szCs w:val="22"/>
              </w:rPr>
              <w:t>表</w:t>
            </w:r>
          </w:p>
        </w:tc>
      </w:tr>
      <w:tr>
        <w:tblPrEx>
          <w:tblLayout w:type="fixed"/>
          <w:tblCellMar>
            <w:top w:w="15" w:type="dxa"/>
            <w:left w:w="15" w:type="dxa"/>
            <w:bottom w:w="15" w:type="dxa"/>
            <w:right w:w="15" w:type="dxa"/>
          </w:tblCellMar>
        </w:tblPrEx>
        <w:trPr>
          <w:trHeight w:val="300" w:hRule="atLeast"/>
        </w:trPr>
        <w:tc>
          <w:tcPr>
            <w:tcW w:w="4594" w:type="dxa"/>
            <w:gridSpan w:val="5"/>
            <w:tcBorders>
              <w:bottom w:val="single" w:color="auto" w:sz="4" w:space="0"/>
            </w:tcBorders>
            <w:vAlign w:val="center"/>
          </w:tcPr>
          <w:p>
            <w:pPr>
              <w:jc w:val="left"/>
              <w:rPr>
                <w:rFonts w:ascii="宋体" w:cs="Times New Roman"/>
                <w:color w:val="000000"/>
                <w:sz w:val="18"/>
                <w:szCs w:val="18"/>
              </w:rPr>
            </w:pPr>
            <w:r>
              <w:rPr>
                <w:rFonts w:hint="eastAsia" w:ascii="宋体" w:hAnsi="宋体" w:cs="宋体"/>
                <w:color w:val="000000"/>
                <w:kern w:val="0"/>
                <w:sz w:val="22"/>
                <w:szCs w:val="22"/>
              </w:rPr>
              <w:t>部门：</w:t>
            </w:r>
            <w:r>
              <w:rPr>
                <w:rFonts w:hint="eastAsia" w:cs="宋体" w:asciiTheme="minorEastAsia" w:hAnsiTheme="minorEastAsia" w:eastAsiaTheme="minorEastAsia"/>
                <w:color w:val="000000"/>
                <w:kern w:val="0"/>
                <w:sz w:val="20"/>
                <w:szCs w:val="20"/>
              </w:rPr>
              <w:t>河南省周口市西华县林业局</w:t>
            </w:r>
          </w:p>
        </w:tc>
        <w:tc>
          <w:tcPr>
            <w:tcW w:w="4179" w:type="dxa"/>
            <w:gridSpan w:val="3"/>
            <w:tcBorders>
              <w:bottom w:val="single" w:color="auto" w:sz="4" w:space="0"/>
            </w:tcBorders>
            <w:vAlign w:val="center"/>
          </w:tcPr>
          <w:p>
            <w:pPr>
              <w:jc w:val="center"/>
              <w:rPr>
                <w:rFonts w:ascii="宋体" w:cs="Times New Roman"/>
                <w:color w:val="000000"/>
                <w:sz w:val="22"/>
              </w:rPr>
            </w:pPr>
          </w:p>
        </w:tc>
        <w:tc>
          <w:tcPr>
            <w:tcW w:w="1043" w:type="dxa"/>
            <w:gridSpan w:val="2"/>
            <w:tcBorders>
              <w:bottom w:val="single" w:color="auto" w:sz="4" w:space="0"/>
            </w:tcBorders>
            <w:vAlign w:val="center"/>
          </w:tcPr>
          <w:p>
            <w:pPr>
              <w:jc w:val="left"/>
              <w:rPr>
                <w:rFonts w:ascii="宋体" w:cs="Times New Roman"/>
                <w:color w:val="000000"/>
                <w:sz w:val="18"/>
                <w:szCs w:val="18"/>
              </w:rPr>
            </w:pPr>
          </w:p>
        </w:tc>
        <w:tc>
          <w:tcPr>
            <w:tcW w:w="1044" w:type="dxa"/>
            <w:gridSpan w:val="2"/>
            <w:tcBorders>
              <w:bottom w:val="single" w:color="auto" w:sz="4" w:space="0"/>
            </w:tcBorders>
            <w:vAlign w:val="center"/>
          </w:tcPr>
          <w:p>
            <w:pPr>
              <w:jc w:val="left"/>
              <w:rPr>
                <w:rFonts w:ascii="宋体" w:cs="Times New Roman"/>
                <w:color w:val="000000"/>
                <w:sz w:val="18"/>
                <w:szCs w:val="18"/>
              </w:rPr>
            </w:pPr>
          </w:p>
        </w:tc>
        <w:tc>
          <w:tcPr>
            <w:tcW w:w="3128" w:type="dxa"/>
            <w:gridSpan w:val="2"/>
            <w:tcBorders>
              <w:bottom w:val="single" w:color="auto" w:sz="4" w:space="0"/>
              <w:right w:val="nil"/>
            </w:tcBorders>
            <w:vAlign w:val="center"/>
          </w:tcPr>
          <w:p>
            <w:pPr>
              <w:widowControl/>
              <w:jc w:val="right"/>
              <w:textAlignment w:val="center"/>
              <w:rPr>
                <w:rFonts w:ascii="宋体" w:cs="Times New Roman"/>
                <w:color w:val="000000"/>
                <w:sz w:val="22"/>
              </w:rPr>
            </w:pPr>
            <w:r>
              <w:rPr>
                <w:rFonts w:hint="eastAsia" w:ascii="宋体" w:hAnsi="宋体" w:cs="宋体"/>
                <w:color w:val="000000"/>
                <w:kern w:val="0"/>
                <w:sz w:val="22"/>
                <w:szCs w:val="22"/>
              </w:rPr>
              <w:t>金额单位：万元</w:t>
            </w:r>
          </w:p>
        </w:tc>
      </w:tr>
      <w:tr>
        <w:tblPrEx>
          <w:tblLayout w:type="fixed"/>
          <w:tblCellMar>
            <w:top w:w="15" w:type="dxa"/>
            <w:left w:w="15" w:type="dxa"/>
            <w:bottom w:w="15" w:type="dxa"/>
            <w:right w:w="15" w:type="dxa"/>
          </w:tblCellMar>
        </w:tblPrEx>
        <w:trPr>
          <w:trHeight w:val="300" w:hRule="atLeast"/>
        </w:trPr>
        <w:tc>
          <w:tcPr>
            <w:tcW w:w="4594"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项目</w:t>
            </w:r>
          </w:p>
        </w:tc>
        <w:tc>
          <w:tcPr>
            <w:tcW w:w="1565"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本年支出合计</w:t>
            </w:r>
          </w:p>
        </w:tc>
        <w:tc>
          <w:tcPr>
            <w:tcW w:w="1565"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基本支出</w:t>
            </w:r>
          </w:p>
        </w:tc>
        <w:tc>
          <w:tcPr>
            <w:tcW w:w="1565"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项目支出</w:t>
            </w:r>
          </w:p>
        </w:tc>
        <w:tc>
          <w:tcPr>
            <w:tcW w:w="1565"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上缴上级支出</w:t>
            </w:r>
          </w:p>
        </w:tc>
        <w:tc>
          <w:tcPr>
            <w:tcW w:w="1565"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经营支出</w:t>
            </w:r>
          </w:p>
        </w:tc>
        <w:tc>
          <w:tcPr>
            <w:tcW w:w="1569"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对附属单位补助支出</w:t>
            </w:r>
          </w:p>
        </w:tc>
      </w:tr>
      <w:tr>
        <w:tblPrEx>
          <w:tblLayout w:type="fixed"/>
          <w:tblCellMar>
            <w:top w:w="15" w:type="dxa"/>
            <w:left w:w="15" w:type="dxa"/>
            <w:bottom w:w="15" w:type="dxa"/>
            <w:right w:w="15" w:type="dxa"/>
          </w:tblCellMar>
        </w:tblPrEx>
        <w:trPr>
          <w:trHeight w:val="312" w:hRule="atLeast"/>
        </w:trPr>
        <w:tc>
          <w:tcPr>
            <w:tcW w:w="919" w:type="dxa"/>
            <w:gridSpan w:val="2"/>
            <w:vMerge w:val="restart"/>
            <w:tcBorders>
              <w:left w:val="single" w:color="000000" w:sz="4" w:space="0"/>
              <w:bottom w:val="single" w:color="000000"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功能分类科目编码</w:t>
            </w:r>
          </w:p>
        </w:tc>
        <w:tc>
          <w:tcPr>
            <w:tcW w:w="3675"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cs="Times New Roman" w:asciiTheme="minorEastAsia" w:hAnsiTheme="minorEastAsia" w:eastAsiaTheme="minorEastAsia"/>
                <w:color w:val="000000"/>
                <w:sz w:val="20"/>
                <w:szCs w:val="20"/>
              </w:rPr>
            </w:pPr>
            <w:r>
              <w:rPr>
                <w:rFonts w:hint="eastAsia" w:cs="宋体" w:asciiTheme="minorEastAsia" w:hAnsiTheme="minorEastAsia" w:eastAsiaTheme="minorEastAsia"/>
                <w:color w:val="000000"/>
                <w:kern w:val="0"/>
                <w:sz w:val="20"/>
                <w:szCs w:val="20"/>
              </w:rPr>
              <w:t>科目名称</w:t>
            </w:r>
          </w:p>
        </w:tc>
        <w:tc>
          <w:tcPr>
            <w:tcW w:w="156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cs="Times New Roman" w:asciiTheme="minorEastAsia" w:hAnsiTheme="minorEastAsia" w:eastAsiaTheme="minorEastAsia"/>
                <w:color w:val="000000"/>
                <w:sz w:val="20"/>
                <w:szCs w:val="20"/>
              </w:rPr>
            </w:pPr>
          </w:p>
        </w:tc>
        <w:tc>
          <w:tcPr>
            <w:tcW w:w="156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cs="Times New Roman" w:asciiTheme="minorEastAsia" w:hAnsiTheme="minorEastAsia" w:eastAsiaTheme="minorEastAsia"/>
                <w:color w:val="000000"/>
                <w:sz w:val="20"/>
                <w:szCs w:val="20"/>
              </w:rPr>
            </w:pPr>
          </w:p>
        </w:tc>
        <w:tc>
          <w:tcPr>
            <w:tcW w:w="1565"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cs="Times New Roman" w:asciiTheme="minorEastAsia" w:hAnsiTheme="minorEastAsia" w:eastAsiaTheme="minorEastAsia"/>
                <w:color w:val="000000"/>
                <w:sz w:val="20"/>
                <w:szCs w:val="20"/>
              </w:rPr>
            </w:pPr>
          </w:p>
        </w:tc>
        <w:tc>
          <w:tcPr>
            <w:tcW w:w="1565"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cs="Times New Roman" w:asciiTheme="minorEastAsia" w:hAnsiTheme="minorEastAsia" w:eastAsiaTheme="minorEastAsia"/>
                <w:color w:val="000000"/>
                <w:sz w:val="20"/>
                <w:szCs w:val="20"/>
              </w:rPr>
            </w:pPr>
          </w:p>
        </w:tc>
        <w:tc>
          <w:tcPr>
            <w:tcW w:w="1565"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cs="Times New Roman" w:asciiTheme="minorEastAsia" w:hAnsiTheme="minorEastAsia" w:eastAsiaTheme="minorEastAsia"/>
                <w:color w:val="000000"/>
                <w:sz w:val="20"/>
                <w:szCs w:val="20"/>
              </w:rPr>
            </w:pPr>
          </w:p>
        </w:tc>
        <w:tc>
          <w:tcPr>
            <w:tcW w:w="1569"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cs="Times New Roman" w:asciiTheme="minorEastAsia" w:hAnsiTheme="minorEastAsia" w:eastAsiaTheme="minorEastAsia"/>
                <w:color w:val="000000"/>
                <w:sz w:val="20"/>
                <w:szCs w:val="20"/>
              </w:rPr>
            </w:pPr>
          </w:p>
        </w:tc>
      </w:tr>
      <w:tr>
        <w:tblPrEx>
          <w:tblLayout w:type="fixed"/>
          <w:tblCellMar>
            <w:top w:w="15" w:type="dxa"/>
            <w:left w:w="15" w:type="dxa"/>
            <w:bottom w:w="15" w:type="dxa"/>
            <w:right w:w="15" w:type="dxa"/>
          </w:tblCellMar>
        </w:tblPrEx>
        <w:trPr>
          <w:trHeight w:val="312" w:hRule="atLeast"/>
        </w:trPr>
        <w:tc>
          <w:tcPr>
            <w:tcW w:w="919" w:type="dxa"/>
            <w:gridSpan w:val="2"/>
            <w:vMerge w:val="continue"/>
            <w:tcBorders>
              <w:left w:val="single" w:color="000000" w:sz="4" w:space="0"/>
              <w:bottom w:val="single" w:color="000000" w:sz="4" w:space="0"/>
              <w:right w:val="single" w:color="auto" w:sz="4" w:space="0"/>
            </w:tcBorders>
            <w:vAlign w:val="center"/>
          </w:tcPr>
          <w:p>
            <w:pPr>
              <w:jc w:val="center"/>
              <w:rPr>
                <w:rFonts w:ascii="宋体" w:cs="Times New Roman"/>
                <w:color w:val="000000"/>
                <w:sz w:val="20"/>
                <w:szCs w:val="20"/>
              </w:rPr>
            </w:pPr>
          </w:p>
        </w:tc>
        <w:tc>
          <w:tcPr>
            <w:tcW w:w="3675"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cs="Times New Roman" w:asciiTheme="minorEastAsia" w:hAnsiTheme="minorEastAsia" w:eastAsiaTheme="minorEastAsia"/>
                <w:color w:val="000000"/>
                <w:sz w:val="20"/>
                <w:szCs w:val="20"/>
              </w:rPr>
            </w:pPr>
          </w:p>
        </w:tc>
        <w:tc>
          <w:tcPr>
            <w:tcW w:w="1565" w:type="dxa"/>
            <w:vMerge w:val="continue"/>
            <w:tcBorders>
              <w:top w:val="single" w:color="auto" w:sz="4" w:space="0"/>
              <w:bottom w:val="single" w:color="auto" w:sz="4" w:space="0"/>
              <w:right w:val="single" w:color="000000" w:sz="4" w:space="0"/>
            </w:tcBorders>
            <w:vAlign w:val="center"/>
          </w:tcPr>
          <w:p>
            <w:pPr>
              <w:jc w:val="center"/>
              <w:rPr>
                <w:rFonts w:cs="Times New Roman" w:asciiTheme="minorEastAsia" w:hAnsiTheme="minorEastAsia" w:eastAsiaTheme="minorEastAsia"/>
                <w:color w:val="000000"/>
                <w:sz w:val="20"/>
                <w:szCs w:val="20"/>
              </w:rPr>
            </w:pPr>
          </w:p>
        </w:tc>
        <w:tc>
          <w:tcPr>
            <w:tcW w:w="1565" w:type="dxa"/>
            <w:vMerge w:val="continue"/>
            <w:tcBorders>
              <w:top w:val="single" w:color="auto" w:sz="4" w:space="0"/>
              <w:bottom w:val="single" w:color="auto" w:sz="4" w:space="0"/>
              <w:right w:val="single" w:color="000000" w:sz="4" w:space="0"/>
            </w:tcBorders>
            <w:vAlign w:val="center"/>
          </w:tcPr>
          <w:p>
            <w:pPr>
              <w:jc w:val="center"/>
              <w:rPr>
                <w:rFonts w:cs="Times New Roman" w:asciiTheme="minorEastAsia" w:hAnsiTheme="minorEastAsia" w:eastAsiaTheme="minorEastAsia"/>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cs="Times New Roman" w:asciiTheme="minorEastAsia" w:hAnsiTheme="minorEastAsia" w:eastAsiaTheme="minorEastAsia"/>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cs="Times New Roman" w:asciiTheme="minorEastAsia" w:hAnsiTheme="minorEastAsia" w:eastAsiaTheme="minorEastAsia"/>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cs="Times New Roman" w:asciiTheme="minorEastAsia" w:hAnsiTheme="minorEastAsia" w:eastAsiaTheme="minorEastAsia"/>
                <w:color w:val="000000"/>
                <w:sz w:val="20"/>
                <w:szCs w:val="20"/>
              </w:rPr>
            </w:pPr>
          </w:p>
        </w:tc>
        <w:tc>
          <w:tcPr>
            <w:tcW w:w="1569" w:type="dxa"/>
            <w:vMerge w:val="continue"/>
            <w:tcBorders>
              <w:top w:val="single" w:color="auto" w:sz="4" w:space="0"/>
              <w:bottom w:val="single" w:color="auto" w:sz="4" w:space="0"/>
              <w:right w:val="single" w:color="auto" w:sz="4" w:space="0"/>
            </w:tcBorders>
            <w:vAlign w:val="center"/>
          </w:tcPr>
          <w:p>
            <w:pPr>
              <w:jc w:val="center"/>
              <w:rPr>
                <w:rFonts w:cs="Times New Roman" w:asciiTheme="minorEastAsia" w:hAnsiTheme="minorEastAsia" w:eastAsiaTheme="minorEastAsia"/>
                <w:color w:val="000000"/>
                <w:sz w:val="20"/>
                <w:szCs w:val="20"/>
              </w:rPr>
            </w:pPr>
          </w:p>
        </w:tc>
      </w:tr>
      <w:tr>
        <w:tblPrEx>
          <w:tblLayout w:type="fixed"/>
          <w:tblCellMar>
            <w:top w:w="15" w:type="dxa"/>
            <w:left w:w="15" w:type="dxa"/>
            <w:bottom w:w="15" w:type="dxa"/>
            <w:right w:w="15" w:type="dxa"/>
          </w:tblCellMar>
        </w:tblPrEx>
        <w:trPr>
          <w:trHeight w:val="312" w:hRule="atLeast"/>
        </w:trPr>
        <w:tc>
          <w:tcPr>
            <w:tcW w:w="919" w:type="dxa"/>
            <w:gridSpan w:val="2"/>
            <w:vMerge w:val="continue"/>
            <w:tcBorders>
              <w:left w:val="single" w:color="000000" w:sz="4" w:space="0"/>
              <w:bottom w:val="single" w:color="000000" w:sz="4" w:space="0"/>
              <w:right w:val="single" w:color="auto" w:sz="4" w:space="0"/>
            </w:tcBorders>
            <w:vAlign w:val="center"/>
          </w:tcPr>
          <w:p>
            <w:pPr>
              <w:jc w:val="center"/>
              <w:rPr>
                <w:rFonts w:ascii="宋体" w:cs="Times New Roman"/>
                <w:color w:val="000000"/>
                <w:sz w:val="20"/>
                <w:szCs w:val="20"/>
              </w:rPr>
            </w:pPr>
          </w:p>
        </w:tc>
        <w:tc>
          <w:tcPr>
            <w:tcW w:w="3675"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cs="Times New Roman" w:asciiTheme="minorEastAsia" w:hAnsiTheme="minorEastAsia" w:eastAsiaTheme="minorEastAsia"/>
                <w:color w:val="000000"/>
                <w:sz w:val="20"/>
                <w:szCs w:val="20"/>
              </w:rPr>
            </w:pPr>
          </w:p>
        </w:tc>
        <w:tc>
          <w:tcPr>
            <w:tcW w:w="1565" w:type="dxa"/>
            <w:vMerge w:val="continue"/>
            <w:tcBorders>
              <w:top w:val="single" w:color="auto" w:sz="4" w:space="0"/>
              <w:bottom w:val="single" w:color="auto" w:sz="4" w:space="0"/>
              <w:right w:val="single" w:color="000000" w:sz="4" w:space="0"/>
            </w:tcBorders>
            <w:vAlign w:val="center"/>
          </w:tcPr>
          <w:p>
            <w:pPr>
              <w:jc w:val="center"/>
              <w:rPr>
                <w:rFonts w:cs="Times New Roman" w:asciiTheme="minorEastAsia" w:hAnsiTheme="minorEastAsia" w:eastAsiaTheme="minorEastAsia"/>
                <w:color w:val="000000"/>
                <w:sz w:val="20"/>
                <w:szCs w:val="20"/>
              </w:rPr>
            </w:pPr>
          </w:p>
        </w:tc>
        <w:tc>
          <w:tcPr>
            <w:tcW w:w="1565" w:type="dxa"/>
            <w:vMerge w:val="continue"/>
            <w:tcBorders>
              <w:top w:val="single" w:color="auto" w:sz="4" w:space="0"/>
              <w:bottom w:val="single" w:color="auto" w:sz="4" w:space="0"/>
              <w:right w:val="single" w:color="000000" w:sz="4" w:space="0"/>
            </w:tcBorders>
            <w:vAlign w:val="center"/>
          </w:tcPr>
          <w:p>
            <w:pPr>
              <w:jc w:val="center"/>
              <w:rPr>
                <w:rFonts w:cs="Times New Roman" w:asciiTheme="minorEastAsia" w:hAnsiTheme="minorEastAsia" w:eastAsiaTheme="minorEastAsia"/>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cs="Times New Roman" w:asciiTheme="minorEastAsia" w:hAnsiTheme="minorEastAsia" w:eastAsiaTheme="minorEastAsia"/>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cs="Times New Roman" w:asciiTheme="minorEastAsia" w:hAnsiTheme="minorEastAsia" w:eastAsiaTheme="minorEastAsia"/>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cs="Times New Roman" w:asciiTheme="minorEastAsia" w:hAnsiTheme="minorEastAsia" w:eastAsiaTheme="minorEastAsia"/>
                <w:color w:val="000000"/>
                <w:sz w:val="20"/>
                <w:szCs w:val="20"/>
              </w:rPr>
            </w:pPr>
          </w:p>
        </w:tc>
        <w:tc>
          <w:tcPr>
            <w:tcW w:w="1569" w:type="dxa"/>
            <w:vMerge w:val="continue"/>
            <w:tcBorders>
              <w:top w:val="single" w:color="auto" w:sz="4" w:space="0"/>
              <w:bottom w:val="single" w:color="auto" w:sz="4" w:space="0"/>
              <w:right w:val="single" w:color="auto" w:sz="4" w:space="0"/>
            </w:tcBorders>
            <w:vAlign w:val="center"/>
          </w:tcPr>
          <w:p>
            <w:pPr>
              <w:jc w:val="center"/>
              <w:rPr>
                <w:rFonts w:cs="Times New Roman" w:asciiTheme="minorEastAsia" w:hAnsiTheme="minorEastAsia" w:eastAsiaTheme="minorEastAsia"/>
                <w:color w:val="000000"/>
                <w:sz w:val="20"/>
                <w:szCs w:val="20"/>
              </w:rPr>
            </w:pPr>
          </w:p>
        </w:tc>
      </w:tr>
      <w:tr>
        <w:tblPrEx>
          <w:tblLayout w:type="fixed"/>
          <w:tblCellMar>
            <w:top w:w="15" w:type="dxa"/>
            <w:left w:w="15" w:type="dxa"/>
            <w:bottom w:w="15" w:type="dxa"/>
            <w:right w:w="15" w:type="dxa"/>
          </w:tblCellMar>
        </w:tblPrEx>
        <w:trPr>
          <w:trHeight w:val="300" w:hRule="atLeast"/>
        </w:trPr>
        <w:tc>
          <w:tcPr>
            <w:tcW w:w="4594" w:type="dxa"/>
            <w:gridSpan w:val="5"/>
            <w:tcBorders>
              <w:left w:val="single" w:color="000000" w:sz="4" w:space="0"/>
              <w:bottom w:val="single" w:color="000000" w:sz="4" w:space="0"/>
              <w:right w:val="single" w:color="000000" w:sz="4" w:space="0"/>
            </w:tcBorders>
            <w:vAlign w:val="center"/>
          </w:tcPr>
          <w:p>
            <w:pPr>
              <w:widowControl/>
              <w:jc w:val="center"/>
              <w:textAlignment w:val="center"/>
              <w:rPr>
                <w:rFonts w:cs="Times New Roman" w:asciiTheme="minorEastAsia" w:hAnsiTheme="minorEastAsia" w:eastAsiaTheme="minorEastAsia"/>
                <w:color w:val="000000"/>
                <w:sz w:val="20"/>
                <w:szCs w:val="20"/>
              </w:rPr>
            </w:pPr>
            <w:r>
              <w:rPr>
                <w:rFonts w:hint="eastAsia" w:cs="宋体" w:asciiTheme="minorEastAsia" w:hAnsiTheme="minorEastAsia" w:eastAsiaTheme="minorEastAsia"/>
                <w:color w:val="000000"/>
                <w:kern w:val="0"/>
                <w:sz w:val="20"/>
                <w:szCs w:val="20"/>
              </w:rPr>
              <w:t>栏次</w:t>
            </w:r>
          </w:p>
        </w:tc>
        <w:tc>
          <w:tcPr>
            <w:tcW w:w="1565" w:type="dxa"/>
            <w:tcBorders>
              <w:bottom w:val="single" w:color="000000" w:sz="4" w:space="0"/>
              <w:right w:val="single" w:color="000000" w:sz="4" w:space="0"/>
            </w:tcBorders>
            <w:vAlign w:val="center"/>
          </w:tcPr>
          <w:p>
            <w:pPr>
              <w:widowControl/>
              <w:jc w:val="center"/>
              <w:textAlignment w:val="center"/>
              <w:rPr>
                <w:rFonts w:cs="Times New Roman" w:asciiTheme="minorEastAsia" w:hAnsiTheme="minorEastAsia" w:eastAsiaTheme="minorEastAsia"/>
                <w:color w:val="000000"/>
                <w:sz w:val="20"/>
                <w:szCs w:val="20"/>
              </w:rPr>
            </w:pPr>
            <w:r>
              <w:rPr>
                <w:rFonts w:cs="宋体" w:asciiTheme="minorEastAsia" w:hAnsiTheme="minorEastAsia" w:eastAsiaTheme="minorEastAsia"/>
                <w:color w:val="000000"/>
                <w:kern w:val="0"/>
                <w:sz w:val="20"/>
                <w:szCs w:val="20"/>
              </w:rPr>
              <w:t>1</w:t>
            </w:r>
          </w:p>
        </w:tc>
        <w:tc>
          <w:tcPr>
            <w:tcW w:w="1565" w:type="dxa"/>
            <w:tcBorders>
              <w:bottom w:val="single" w:color="000000" w:sz="4" w:space="0"/>
              <w:right w:val="single" w:color="000000" w:sz="4" w:space="0"/>
            </w:tcBorders>
            <w:vAlign w:val="center"/>
          </w:tcPr>
          <w:p>
            <w:pPr>
              <w:widowControl/>
              <w:jc w:val="center"/>
              <w:textAlignment w:val="center"/>
              <w:rPr>
                <w:rFonts w:cs="Times New Roman" w:asciiTheme="minorEastAsia" w:hAnsiTheme="minorEastAsia" w:eastAsiaTheme="minorEastAsia"/>
                <w:color w:val="000000"/>
                <w:sz w:val="20"/>
                <w:szCs w:val="20"/>
              </w:rPr>
            </w:pPr>
            <w:r>
              <w:rPr>
                <w:rFonts w:cs="宋体" w:asciiTheme="minorEastAsia" w:hAnsiTheme="minorEastAsia" w:eastAsiaTheme="minorEastAsia"/>
                <w:color w:val="000000"/>
                <w:kern w:val="0"/>
                <w:sz w:val="20"/>
                <w:szCs w:val="20"/>
              </w:rPr>
              <w:t>2</w:t>
            </w:r>
          </w:p>
        </w:tc>
        <w:tc>
          <w:tcPr>
            <w:tcW w:w="1565" w:type="dxa"/>
            <w:gridSpan w:val="2"/>
            <w:tcBorders>
              <w:bottom w:val="single" w:color="000000" w:sz="4" w:space="0"/>
              <w:right w:val="single" w:color="000000" w:sz="4" w:space="0"/>
            </w:tcBorders>
            <w:vAlign w:val="center"/>
          </w:tcPr>
          <w:p>
            <w:pPr>
              <w:widowControl/>
              <w:jc w:val="center"/>
              <w:textAlignment w:val="center"/>
              <w:rPr>
                <w:rFonts w:cs="Times New Roman" w:asciiTheme="minorEastAsia" w:hAnsiTheme="minorEastAsia" w:eastAsiaTheme="minorEastAsia"/>
                <w:color w:val="000000"/>
                <w:sz w:val="20"/>
                <w:szCs w:val="20"/>
              </w:rPr>
            </w:pPr>
            <w:r>
              <w:rPr>
                <w:rFonts w:cs="宋体" w:asciiTheme="minorEastAsia" w:hAnsiTheme="minorEastAsia" w:eastAsiaTheme="minorEastAsia"/>
                <w:color w:val="000000"/>
                <w:kern w:val="0"/>
                <w:sz w:val="20"/>
                <w:szCs w:val="20"/>
              </w:rPr>
              <w:t>3</w:t>
            </w:r>
          </w:p>
        </w:tc>
        <w:tc>
          <w:tcPr>
            <w:tcW w:w="1565" w:type="dxa"/>
            <w:gridSpan w:val="2"/>
            <w:tcBorders>
              <w:bottom w:val="single" w:color="000000" w:sz="4" w:space="0"/>
              <w:right w:val="single" w:color="000000" w:sz="4" w:space="0"/>
            </w:tcBorders>
            <w:vAlign w:val="center"/>
          </w:tcPr>
          <w:p>
            <w:pPr>
              <w:widowControl/>
              <w:jc w:val="center"/>
              <w:textAlignment w:val="center"/>
              <w:rPr>
                <w:rFonts w:cs="Times New Roman" w:asciiTheme="minorEastAsia" w:hAnsiTheme="minorEastAsia" w:eastAsiaTheme="minorEastAsia"/>
                <w:color w:val="000000"/>
                <w:sz w:val="20"/>
                <w:szCs w:val="20"/>
              </w:rPr>
            </w:pPr>
            <w:r>
              <w:rPr>
                <w:rFonts w:cs="宋体" w:asciiTheme="minorEastAsia" w:hAnsiTheme="minorEastAsia" w:eastAsiaTheme="minorEastAsia"/>
                <w:color w:val="000000"/>
                <w:kern w:val="0"/>
                <w:sz w:val="20"/>
                <w:szCs w:val="20"/>
              </w:rPr>
              <w:t>4</w:t>
            </w:r>
          </w:p>
        </w:tc>
        <w:tc>
          <w:tcPr>
            <w:tcW w:w="1565" w:type="dxa"/>
            <w:gridSpan w:val="2"/>
            <w:tcBorders>
              <w:bottom w:val="single" w:color="000000" w:sz="4" w:space="0"/>
              <w:right w:val="single" w:color="000000" w:sz="4" w:space="0"/>
            </w:tcBorders>
            <w:vAlign w:val="center"/>
          </w:tcPr>
          <w:p>
            <w:pPr>
              <w:widowControl/>
              <w:jc w:val="center"/>
              <w:textAlignment w:val="center"/>
              <w:rPr>
                <w:rFonts w:cs="Times New Roman" w:asciiTheme="minorEastAsia" w:hAnsiTheme="minorEastAsia" w:eastAsiaTheme="minorEastAsia"/>
                <w:color w:val="000000"/>
                <w:sz w:val="20"/>
                <w:szCs w:val="20"/>
              </w:rPr>
            </w:pPr>
            <w:r>
              <w:rPr>
                <w:rFonts w:cs="宋体" w:asciiTheme="minorEastAsia" w:hAnsiTheme="minorEastAsia" w:eastAsiaTheme="minorEastAsia"/>
                <w:color w:val="000000"/>
                <w:kern w:val="0"/>
                <w:sz w:val="20"/>
                <w:szCs w:val="20"/>
              </w:rPr>
              <w:t>5</w:t>
            </w:r>
          </w:p>
        </w:tc>
        <w:tc>
          <w:tcPr>
            <w:tcW w:w="1569" w:type="dxa"/>
            <w:tcBorders>
              <w:bottom w:val="single" w:color="000000" w:sz="4" w:space="0"/>
              <w:right w:val="single" w:color="000000" w:sz="4" w:space="0"/>
            </w:tcBorders>
            <w:vAlign w:val="center"/>
          </w:tcPr>
          <w:p>
            <w:pPr>
              <w:widowControl/>
              <w:jc w:val="center"/>
              <w:textAlignment w:val="center"/>
              <w:rPr>
                <w:rFonts w:cs="Times New Roman" w:asciiTheme="minorEastAsia" w:hAnsiTheme="minorEastAsia" w:eastAsiaTheme="minorEastAsia"/>
                <w:color w:val="000000"/>
                <w:sz w:val="20"/>
                <w:szCs w:val="20"/>
              </w:rPr>
            </w:pPr>
            <w:r>
              <w:rPr>
                <w:rFonts w:cs="宋体" w:asciiTheme="minorEastAsia" w:hAnsiTheme="minorEastAsia" w:eastAsiaTheme="minorEastAsia"/>
                <w:color w:val="000000"/>
                <w:kern w:val="0"/>
                <w:sz w:val="20"/>
                <w:szCs w:val="20"/>
              </w:rPr>
              <w:t>6</w:t>
            </w:r>
          </w:p>
        </w:tc>
      </w:tr>
      <w:tr>
        <w:tblPrEx>
          <w:tblLayout w:type="fixed"/>
          <w:tblCellMar>
            <w:top w:w="15" w:type="dxa"/>
            <w:left w:w="15" w:type="dxa"/>
            <w:bottom w:w="15" w:type="dxa"/>
            <w:right w:w="15" w:type="dxa"/>
          </w:tblCellMar>
        </w:tblPrEx>
        <w:trPr>
          <w:trHeight w:val="300" w:hRule="atLeast"/>
        </w:trPr>
        <w:tc>
          <w:tcPr>
            <w:tcW w:w="4594" w:type="dxa"/>
            <w:gridSpan w:val="5"/>
            <w:tcBorders>
              <w:left w:val="single" w:color="000000" w:sz="4" w:space="0"/>
              <w:bottom w:val="single" w:color="000000" w:sz="4" w:space="0"/>
              <w:right w:val="single" w:color="000000" w:sz="4" w:space="0"/>
            </w:tcBorders>
            <w:vAlign w:val="center"/>
          </w:tcPr>
          <w:p>
            <w:pPr>
              <w:widowControl/>
              <w:textAlignment w:val="center"/>
              <w:rPr>
                <w:rFonts w:cs="Times New Roman" w:asciiTheme="minorEastAsia" w:hAnsiTheme="minorEastAsia" w:eastAsiaTheme="minorEastAsia"/>
                <w:color w:val="000000"/>
                <w:sz w:val="20"/>
                <w:szCs w:val="20"/>
              </w:rPr>
            </w:pPr>
            <w:r>
              <w:rPr>
                <w:rFonts w:hint="eastAsia" w:cs="宋体" w:asciiTheme="minorEastAsia" w:hAnsiTheme="minorEastAsia" w:eastAsiaTheme="minorEastAsia"/>
                <w:color w:val="000000"/>
                <w:kern w:val="0"/>
                <w:sz w:val="20"/>
                <w:szCs w:val="20"/>
              </w:rPr>
              <w:t>合计</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b/>
                <w:color w:val="000000"/>
                <w:sz w:val="22"/>
              </w:rPr>
            </w:pPr>
            <w:r>
              <w:rPr>
                <w:rFonts w:hint="eastAsia" w:cs="宋体" w:asciiTheme="minorEastAsia" w:hAnsiTheme="minorEastAsia" w:eastAsiaTheme="minorEastAsia"/>
                <w:b/>
                <w:color w:val="000000"/>
                <w:kern w:val="0"/>
                <w:sz w:val="22"/>
              </w:rPr>
              <w:t>317.17</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b/>
                <w:color w:val="000000"/>
                <w:sz w:val="22"/>
              </w:rPr>
            </w:pPr>
            <w:r>
              <w:rPr>
                <w:rFonts w:hint="eastAsia" w:cs="宋体" w:asciiTheme="minorEastAsia" w:hAnsiTheme="minorEastAsia" w:eastAsiaTheme="minorEastAsia"/>
                <w:b/>
                <w:color w:val="000000"/>
                <w:kern w:val="0"/>
                <w:sz w:val="22"/>
              </w:rPr>
              <w:t>317.17</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b/>
                <w:color w:val="000000"/>
                <w:sz w:val="22"/>
              </w:rPr>
            </w:pPr>
            <w:r>
              <w:rPr>
                <w:rFonts w:hint="eastAsia" w:cs="宋体" w:asciiTheme="minorEastAsia" w:hAnsiTheme="minorEastAsia" w:eastAsiaTheme="minorEastAsia"/>
                <w:b/>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b/>
                <w:color w:val="000000"/>
                <w:sz w:val="22"/>
              </w:rPr>
            </w:pPr>
            <w:r>
              <w:rPr>
                <w:rFonts w:hint="eastAsia" w:cs="宋体" w:asciiTheme="minorEastAsia" w:hAnsiTheme="minorEastAsia" w:eastAsiaTheme="minorEastAsia"/>
                <w:b/>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b/>
                <w:color w:val="000000"/>
                <w:sz w:val="22"/>
              </w:rPr>
            </w:pPr>
            <w:r>
              <w:rPr>
                <w:rFonts w:hint="eastAsia" w:cs="宋体" w:asciiTheme="minorEastAsia" w:hAnsiTheme="minorEastAsia" w:eastAsiaTheme="minorEastAsia"/>
                <w:b/>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b/>
                <w:color w:val="000000"/>
                <w:sz w:val="22"/>
              </w:rPr>
            </w:pPr>
            <w:r>
              <w:rPr>
                <w:rFonts w:hint="eastAsia" w:cs="宋体" w:asciiTheme="minorEastAsia" w:hAnsiTheme="minorEastAsia" w:eastAsiaTheme="minorEastAsia"/>
                <w:b/>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w:t>
            </w:r>
          </w:p>
        </w:tc>
        <w:tc>
          <w:tcPr>
            <w:tcW w:w="367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社会保障和就业支出</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51.57</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51.57</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20805</w:t>
            </w:r>
          </w:p>
        </w:tc>
        <w:tc>
          <w:tcPr>
            <w:tcW w:w="367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行政事业单位离退休</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51.57</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51.57</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2080501</w:t>
            </w:r>
          </w:p>
        </w:tc>
        <w:tc>
          <w:tcPr>
            <w:tcW w:w="367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归口管理的行政单位离退休</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41.10</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41.10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2080505</w:t>
            </w:r>
          </w:p>
        </w:tc>
        <w:tc>
          <w:tcPr>
            <w:tcW w:w="367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机关事业单位基本养老保险缴费支出</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10.47</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10.47</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210</w:t>
            </w:r>
          </w:p>
        </w:tc>
        <w:tc>
          <w:tcPr>
            <w:tcW w:w="367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医疗卫生与计划生育支出</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9.30</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9.30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21011</w:t>
            </w:r>
          </w:p>
        </w:tc>
        <w:tc>
          <w:tcPr>
            <w:tcW w:w="367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行政事业单位医疗</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9.30</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9.30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2101101</w:t>
            </w:r>
          </w:p>
        </w:tc>
        <w:tc>
          <w:tcPr>
            <w:tcW w:w="367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行政单位医疗</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9.30</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9.30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213</w:t>
            </w:r>
          </w:p>
        </w:tc>
        <w:tc>
          <w:tcPr>
            <w:tcW w:w="367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农林水支出</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138.74</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138.74</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21302</w:t>
            </w:r>
          </w:p>
        </w:tc>
        <w:tc>
          <w:tcPr>
            <w:tcW w:w="367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林业</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138.74</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138.74</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2130201</w:t>
            </w:r>
          </w:p>
        </w:tc>
        <w:tc>
          <w:tcPr>
            <w:tcW w:w="367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行政运行</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138.74</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138.74</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w:t>
            </w:r>
          </w:p>
        </w:tc>
        <w:tc>
          <w:tcPr>
            <w:tcW w:w="367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社会保障和就业支出</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9.28</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9.28</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20805</w:t>
            </w:r>
          </w:p>
        </w:tc>
        <w:tc>
          <w:tcPr>
            <w:tcW w:w="367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行政事业单位离退休</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8.53</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8.53</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2080502</w:t>
            </w:r>
          </w:p>
        </w:tc>
        <w:tc>
          <w:tcPr>
            <w:tcW w:w="367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事业单位离退休</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1.61</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1.61</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2080505</w:t>
            </w:r>
          </w:p>
        </w:tc>
        <w:tc>
          <w:tcPr>
            <w:tcW w:w="367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机关事业单位基本养老保险缴费支出</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6.92</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6.92</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20899</w:t>
            </w:r>
          </w:p>
        </w:tc>
        <w:tc>
          <w:tcPr>
            <w:tcW w:w="367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其他社会保障和就业支出</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0.74</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0.74</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2089901</w:t>
            </w:r>
          </w:p>
        </w:tc>
        <w:tc>
          <w:tcPr>
            <w:tcW w:w="367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其他社会保障和就业支出</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0.74</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0.74</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211</w:t>
            </w:r>
          </w:p>
        </w:tc>
        <w:tc>
          <w:tcPr>
            <w:tcW w:w="367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节能环保支出</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50.96</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50.96</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21106</w:t>
            </w:r>
          </w:p>
        </w:tc>
        <w:tc>
          <w:tcPr>
            <w:tcW w:w="367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退耕还林</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50.96</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50.96</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2110699</w:t>
            </w:r>
          </w:p>
        </w:tc>
        <w:tc>
          <w:tcPr>
            <w:tcW w:w="367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其他退耕还林支出</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50.96</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50.96</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213</w:t>
            </w:r>
          </w:p>
        </w:tc>
        <w:tc>
          <w:tcPr>
            <w:tcW w:w="367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农林水支出</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57.33</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57.33</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21302</w:t>
            </w:r>
          </w:p>
        </w:tc>
        <w:tc>
          <w:tcPr>
            <w:tcW w:w="367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林业</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57.33</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57.33</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2130299</w:t>
            </w:r>
          </w:p>
        </w:tc>
        <w:tc>
          <w:tcPr>
            <w:tcW w:w="367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其他林业支出</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57.33</w:t>
            </w:r>
          </w:p>
        </w:tc>
        <w:tc>
          <w:tcPr>
            <w:tcW w:w="1565"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57.33</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c>
          <w:tcPr>
            <w:tcW w:w="156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3675" w:type="dxa"/>
            <w:gridSpan w:val="3"/>
            <w:tcBorders>
              <w:bottom w:val="single" w:color="000000" w:sz="4" w:space="0"/>
              <w:right w:val="single" w:color="000000" w:sz="4" w:space="0"/>
            </w:tcBorders>
            <w:vAlign w:val="center"/>
          </w:tcPr>
          <w:p>
            <w:pPr>
              <w:jc w:val="left"/>
              <w:rPr>
                <w:rFonts w:ascii="宋体" w:cs="Times New Roman"/>
                <w:color w:val="000000"/>
                <w:sz w:val="20"/>
                <w:szCs w:val="20"/>
              </w:rPr>
            </w:pPr>
          </w:p>
        </w:tc>
        <w:tc>
          <w:tcPr>
            <w:tcW w:w="156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56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565"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565"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565"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56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13988" w:type="dxa"/>
            <w:gridSpan w:val="14"/>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注：本表反映部门本年度各项支出情况。</w:t>
            </w:r>
          </w:p>
        </w:tc>
      </w:tr>
    </w:tbl>
    <w:p>
      <w:pPr>
        <w:rPr>
          <w:rFonts w:ascii="仿宋_GB2312" w:hAnsi="仿宋_GB2312" w:eastAsia="仿宋_GB2312" w:cs="Times New Roman"/>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6"/>
        <w:tblW w:w="13981" w:type="dxa"/>
        <w:tblInd w:w="-13" w:type="dxa"/>
        <w:tblLayout w:type="fixed"/>
        <w:tblCellMar>
          <w:top w:w="15" w:type="dxa"/>
          <w:left w:w="15" w:type="dxa"/>
          <w:bottom w:w="15" w:type="dxa"/>
          <w:right w:w="15" w:type="dxa"/>
        </w:tblCellMar>
      </w:tblPr>
      <w:tblGrid>
        <w:gridCol w:w="2726"/>
        <w:gridCol w:w="495"/>
        <w:gridCol w:w="2655"/>
        <w:gridCol w:w="2726"/>
        <w:gridCol w:w="496"/>
        <w:gridCol w:w="1350"/>
        <w:gridCol w:w="277"/>
        <w:gridCol w:w="530"/>
        <w:gridCol w:w="1097"/>
        <w:gridCol w:w="1629"/>
      </w:tblGrid>
      <w:tr>
        <w:tblPrEx>
          <w:tblLayout w:type="fixed"/>
          <w:tblCellMar>
            <w:top w:w="15" w:type="dxa"/>
            <w:left w:w="15" w:type="dxa"/>
            <w:bottom w:w="15" w:type="dxa"/>
            <w:right w:w="15" w:type="dxa"/>
          </w:tblCellMar>
        </w:tblPrEx>
        <w:trPr>
          <w:trHeight w:val="375" w:hRule="atLeast"/>
        </w:trPr>
        <w:tc>
          <w:tcPr>
            <w:tcW w:w="13981" w:type="dxa"/>
            <w:gridSpan w:val="10"/>
            <w:tcBorders>
              <w:right w:val="nil"/>
            </w:tcBorders>
            <w:vAlign w:val="center"/>
          </w:tcPr>
          <w:p>
            <w:pPr>
              <w:widowControl/>
              <w:jc w:val="center"/>
              <w:textAlignment w:val="center"/>
              <w:rPr>
                <w:rFonts w:ascii="黑体" w:hAnsi="宋体" w:eastAsia="黑体" w:cs="Times New Roman"/>
                <w:color w:val="000000"/>
                <w:sz w:val="30"/>
                <w:szCs w:val="30"/>
              </w:rPr>
            </w:pPr>
            <w:r>
              <w:rPr>
                <w:rFonts w:hint="eastAsia" w:ascii="黑体" w:hAnsi="宋体" w:eastAsia="黑体" w:cs="黑体"/>
                <w:color w:val="000000"/>
                <w:kern w:val="0"/>
                <w:sz w:val="30"/>
                <w:szCs w:val="30"/>
              </w:rPr>
              <w:t>财政拨款收入支出决算总表</w:t>
            </w:r>
          </w:p>
        </w:tc>
      </w:tr>
      <w:tr>
        <w:tblPrEx>
          <w:tblLayout w:type="fixed"/>
          <w:tblCellMar>
            <w:top w:w="15" w:type="dxa"/>
            <w:left w:w="15" w:type="dxa"/>
            <w:bottom w:w="15" w:type="dxa"/>
            <w:right w:w="15" w:type="dxa"/>
          </w:tblCellMar>
        </w:tblPrEx>
        <w:trPr>
          <w:trHeight w:val="300" w:hRule="atLeast"/>
        </w:trPr>
        <w:tc>
          <w:tcPr>
            <w:tcW w:w="2726" w:type="dxa"/>
            <w:vAlign w:val="center"/>
          </w:tcPr>
          <w:p>
            <w:pPr>
              <w:jc w:val="left"/>
              <w:rPr>
                <w:rFonts w:ascii="宋体" w:cs="Times New Roman"/>
                <w:color w:val="000000"/>
                <w:sz w:val="18"/>
                <w:szCs w:val="18"/>
              </w:rPr>
            </w:pPr>
          </w:p>
        </w:tc>
        <w:tc>
          <w:tcPr>
            <w:tcW w:w="495" w:type="dxa"/>
            <w:vAlign w:val="center"/>
          </w:tcPr>
          <w:p>
            <w:pPr>
              <w:jc w:val="left"/>
              <w:rPr>
                <w:rFonts w:ascii="宋体" w:cs="Times New Roman"/>
                <w:color w:val="000000"/>
                <w:sz w:val="18"/>
                <w:szCs w:val="18"/>
              </w:rPr>
            </w:pPr>
          </w:p>
        </w:tc>
        <w:tc>
          <w:tcPr>
            <w:tcW w:w="2655" w:type="dxa"/>
            <w:vAlign w:val="center"/>
          </w:tcPr>
          <w:p>
            <w:pPr>
              <w:jc w:val="left"/>
              <w:rPr>
                <w:rFonts w:ascii="宋体" w:cs="Times New Roman"/>
                <w:color w:val="000000"/>
                <w:sz w:val="18"/>
                <w:szCs w:val="18"/>
              </w:rPr>
            </w:pPr>
          </w:p>
        </w:tc>
        <w:tc>
          <w:tcPr>
            <w:tcW w:w="2726" w:type="dxa"/>
            <w:vAlign w:val="center"/>
          </w:tcPr>
          <w:p>
            <w:pPr>
              <w:jc w:val="left"/>
              <w:rPr>
                <w:rFonts w:ascii="宋体" w:cs="Times New Roman"/>
                <w:color w:val="000000"/>
                <w:sz w:val="18"/>
                <w:szCs w:val="18"/>
              </w:rPr>
            </w:pPr>
          </w:p>
        </w:tc>
        <w:tc>
          <w:tcPr>
            <w:tcW w:w="496" w:type="dxa"/>
            <w:vAlign w:val="center"/>
          </w:tcPr>
          <w:p>
            <w:pPr>
              <w:jc w:val="left"/>
              <w:rPr>
                <w:rFonts w:ascii="宋体" w:cs="Times New Roman"/>
                <w:color w:val="000000"/>
                <w:sz w:val="18"/>
                <w:szCs w:val="18"/>
              </w:rPr>
            </w:pPr>
          </w:p>
        </w:tc>
        <w:tc>
          <w:tcPr>
            <w:tcW w:w="1350" w:type="dxa"/>
            <w:vAlign w:val="center"/>
          </w:tcPr>
          <w:p>
            <w:pPr>
              <w:jc w:val="left"/>
              <w:rPr>
                <w:rFonts w:ascii="宋体" w:cs="Times New Roman"/>
                <w:color w:val="000000"/>
                <w:sz w:val="18"/>
                <w:szCs w:val="18"/>
              </w:rPr>
            </w:pPr>
          </w:p>
        </w:tc>
        <w:tc>
          <w:tcPr>
            <w:tcW w:w="807" w:type="dxa"/>
            <w:gridSpan w:val="2"/>
            <w:vAlign w:val="center"/>
          </w:tcPr>
          <w:p>
            <w:pPr>
              <w:jc w:val="left"/>
              <w:rPr>
                <w:rFonts w:ascii="宋体" w:cs="Times New Roman"/>
                <w:color w:val="000000"/>
                <w:sz w:val="18"/>
                <w:szCs w:val="18"/>
              </w:rPr>
            </w:pPr>
          </w:p>
        </w:tc>
        <w:tc>
          <w:tcPr>
            <w:tcW w:w="2726" w:type="dxa"/>
            <w:gridSpan w:val="2"/>
            <w:tcBorders>
              <w:right w:val="nil"/>
            </w:tcBorders>
            <w:vAlign w:val="center"/>
          </w:tcPr>
          <w:p>
            <w:pPr>
              <w:widowControl/>
              <w:jc w:val="right"/>
              <w:textAlignment w:val="center"/>
              <w:rPr>
                <w:rFonts w:ascii="宋体" w:cs="Times New Roman"/>
                <w:color w:val="000000"/>
                <w:sz w:val="22"/>
              </w:rPr>
            </w:pPr>
            <w:r>
              <w:rPr>
                <w:rFonts w:hint="eastAsia" w:ascii="宋体" w:hAnsi="宋体" w:cs="宋体"/>
                <w:color w:val="000000"/>
                <w:kern w:val="0"/>
                <w:sz w:val="22"/>
                <w:szCs w:val="22"/>
              </w:rPr>
              <w:t>公开</w:t>
            </w:r>
            <w:r>
              <w:rPr>
                <w:rFonts w:ascii="宋体" w:hAnsi="宋体" w:cs="宋体"/>
                <w:color w:val="000000"/>
                <w:kern w:val="0"/>
                <w:sz w:val="22"/>
                <w:szCs w:val="22"/>
              </w:rPr>
              <w:t>04</w:t>
            </w:r>
            <w:r>
              <w:rPr>
                <w:rFonts w:hint="eastAsia" w:ascii="宋体" w:hAnsi="宋体" w:cs="宋体"/>
                <w:color w:val="000000"/>
                <w:kern w:val="0"/>
                <w:sz w:val="22"/>
                <w:szCs w:val="22"/>
              </w:rPr>
              <w:t>表</w:t>
            </w:r>
          </w:p>
        </w:tc>
      </w:tr>
      <w:tr>
        <w:tblPrEx>
          <w:tblLayout w:type="fixed"/>
          <w:tblCellMar>
            <w:top w:w="15" w:type="dxa"/>
            <w:left w:w="15" w:type="dxa"/>
            <w:bottom w:w="15" w:type="dxa"/>
            <w:right w:w="15" w:type="dxa"/>
          </w:tblCellMar>
        </w:tblPrEx>
        <w:trPr>
          <w:trHeight w:val="300" w:hRule="atLeast"/>
        </w:trPr>
        <w:tc>
          <w:tcPr>
            <w:tcW w:w="5876" w:type="dxa"/>
            <w:gridSpan w:val="3"/>
            <w:tcBorders>
              <w:bottom w:val="single" w:color="auto" w:sz="4" w:space="0"/>
            </w:tcBorders>
            <w:vAlign w:val="center"/>
          </w:tcPr>
          <w:p>
            <w:pPr>
              <w:jc w:val="left"/>
              <w:rPr>
                <w:rFonts w:ascii="宋体" w:cs="Times New Roman"/>
                <w:color w:val="000000"/>
                <w:sz w:val="18"/>
                <w:szCs w:val="18"/>
              </w:rPr>
            </w:pPr>
            <w:r>
              <w:rPr>
                <w:rFonts w:hint="eastAsia" w:ascii="宋体" w:hAnsi="宋体" w:cs="宋体"/>
                <w:color w:val="000000"/>
                <w:kern w:val="0"/>
                <w:sz w:val="22"/>
                <w:szCs w:val="22"/>
              </w:rPr>
              <w:t>部门：</w:t>
            </w:r>
            <w:r>
              <w:rPr>
                <w:rFonts w:hint="eastAsia" w:cs="宋体" w:asciiTheme="minorEastAsia" w:hAnsiTheme="minorEastAsia" w:eastAsiaTheme="minorEastAsia"/>
                <w:color w:val="000000"/>
                <w:kern w:val="0"/>
                <w:sz w:val="20"/>
                <w:szCs w:val="20"/>
              </w:rPr>
              <w:t>河南省周口市西华县林业局</w:t>
            </w:r>
          </w:p>
        </w:tc>
        <w:tc>
          <w:tcPr>
            <w:tcW w:w="2726" w:type="dxa"/>
            <w:tcBorders>
              <w:bottom w:val="single" w:color="auto" w:sz="4" w:space="0"/>
            </w:tcBorders>
            <w:vAlign w:val="center"/>
          </w:tcPr>
          <w:p>
            <w:pPr>
              <w:widowControl/>
              <w:jc w:val="center"/>
              <w:textAlignment w:val="center"/>
              <w:rPr>
                <w:rFonts w:ascii="宋体" w:cs="Times New Roman"/>
                <w:color w:val="000000"/>
                <w:sz w:val="22"/>
              </w:rPr>
            </w:pPr>
          </w:p>
        </w:tc>
        <w:tc>
          <w:tcPr>
            <w:tcW w:w="496" w:type="dxa"/>
            <w:tcBorders>
              <w:bottom w:val="single" w:color="auto" w:sz="4" w:space="0"/>
            </w:tcBorders>
            <w:vAlign w:val="center"/>
          </w:tcPr>
          <w:p>
            <w:pPr>
              <w:jc w:val="left"/>
              <w:rPr>
                <w:rFonts w:ascii="宋体" w:cs="Times New Roman"/>
                <w:color w:val="000000"/>
                <w:sz w:val="18"/>
                <w:szCs w:val="18"/>
              </w:rPr>
            </w:pPr>
          </w:p>
        </w:tc>
        <w:tc>
          <w:tcPr>
            <w:tcW w:w="1350" w:type="dxa"/>
            <w:tcBorders>
              <w:bottom w:val="single" w:color="auto" w:sz="4" w:space="0"/>
            </w:tcBorders>
            <w:vAlign w:val="center"/>
          </w:tcPr>
          <w:p>
            <w:pPr>
              <w:jc w:val="left"/>
              <w:rPr>
                <w:rFonts w:ascii="宋体" w:cs="Times New Roman"/>
                <w:color w:val="000000"/>
                <w:sz w:val="18"/>
                <w:szCs w:val="18"/>
              </w:rPr>
            </w:pPr>
          </w:p>
        </w:tc>
        <w:tc>
          <w:tcPr>
            <w:tcW w:w="807" w:type="dxa"/>
            <w:gridSpan w:val="2"/>
            <w:tcBorders>
              <w:bottom w:val="single" w:color="auto" w:sz="4" w:space="0"/>
            </w:tcBorders>
            <w:vAlign w:val="center"/>
          </w:tcPr>
          <w:p>
            <w:pPr>
              <w:jc w:val="left"/>
              <w:rPr>
                <w:rFonts w:ascii="宋体" w:cs="Times New Roman"/>
                <w:color w:val="000000"/>
                <w:sz w:val="18"/>
                <w:szCs w:val="18"/>
              </w:rPr>
            </w:pPr>
          </w:p>
        </w:tc>
        <w:tc>
          <w:tcPr>
            <w:tcW w:w="2726" w:type="dxa"/>
            <w:gridSpan w:val="2"/>
            <w:tcBorders>
              <w:bottom w:val="single" w:color="auto" w:sz="4" w:space="0"/>
              <w:right w:val="nil"/>
            </w:tcBorders>
            <w:vAlign w:val="center"/>
          </w:tcPr>
          <w:p>
            <w:pPr>
              <w:widowControl/>
              <w:jc w:val="right"/>
              <w:textAlignment w:val="center"/>
              <w:rPr>
                <w:rFonts w:ascii="宋体" w:cs="Times New Roman"/>
                <w:color w:val="000000"/>
                <w:sz w:val="22"/>
              </w:rPr>
            </w:pPr>
            <w:r>
              <w:rPr>
                <w:rFonts w:hint="eastAsia" w:ascii="宋体" w:hAnsi="宋体" w:cs="宋体"/>
                <w:color w:val="000000"/>
                <w:kern w:val="0"/>
                <w:sz w:val="22"/>
                <w:szCs w:val="22"/>
              </w:rPr>
              <w:t>金额单位：万元</w:t>
            </w:r>
          </w:p>
        </w:tc>
      </w:tr>
      <w:tr>
        <w:tblPrEx>
          <w:tblLayout w:type="fixed"/>
          <w:tblCellMar>
            <w:top w:w="15" w:type="dxa"/>
            <w:left w:w="15" w:type="dxa"/>
            <w:bottom w:w="15" w:type="dxa"/>
            <w:right w:w="15" w:type="dxa"/>
          </w:tblCellMar>
        </w:tblPrEx>
        <w:trPr>
          <w:trHeight w:val="300" w:hRule="atLeast"/>
        </w:trPr>
        <w:tc>
          <w:tcPr>
            <w:tcW w:w="5876"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收</w:t>
            </w:r>
            <w:r>
              <w:rPr>
                <w:rFonts w:ascii="宋体" w:hAnsi="宋体" w:cs="宋体"/>
                <w:color w:val="000000"/>
                <w:kern w:val="0"/>
                <w:sz w:val="20"/>
                <w:szCs w:val="20"/>
              </w:rPr>
              <w:t xml:space="preserve">     </w:t>
            </w:r>
            <w:r>
              <w:rPr>
                <w:rFonts w:hint="eastAsia" w:ascii="宋体" w:hAnsi="宋体" w:cs="宋体"/>
                <w:color w:val="000000"/>
                <w:kern w:val="0"/>
                <w:sz w:val="20"/>
                <w:szCs w:val="20"/>
              </w:rPr>
              <w:t>入</w:t>
            </w:r>
          </w:p>
        </w:tc>
        <w:tc>
          <w:tcPr>
            <w:tcW w:w="8105" w:type="dxa"/>
            <w:gridSpan w:val="7"/>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支</w:t>
            </w:r>
            <w:r>
              <w:rPr>
                <w:rFonts w:ascii="宋体" w:hAnsi="宋体" w:cs="宋体"/>
                <w:color w:val="000000"/>
                <w:kern w:val="0"/>
                <w:sz w:val="20"/>
                <w:szCs w:val="20"/>
              </w:rPr>
              <w:t xml:space="preserve">     </w:t>
            </w:r>
            <w:r>
              <w:rPr>
                <w:rFonts w:hint="eastAsia" w:ascii="宋体" w:hAnsi="宋体" w:cs="宋体"/>
                <w:color w:val="000000"/>
                <w:kern w:val="0"/>
                <w:sz w:val="20"/>
                <w:szCs w:val="20"/>
              </w:rPr>
              <w:t>出</w:t>
            </w:r>
          </w:p>
        </w:tc>
      </w:tr>
      <w:tr>
        <w:tblPrEx>
          <w:tblLayout w:type="fixed"/>
          <w:tblCellMar>
            <w:top w:w="15" w:type="dxa"/>
            <w:left w:w="15" w:type="dxa"/>
            <w:bottom w:w="15" w:type="dxa"/>
            <w:right w:w="15" w:type="dxa"/>
          </w:tblCellMar>
        </w:tblPrEx>
        <w:trPr>
          <w:trHeight w:val="312" w:hRule="atLeast"/>
        </w:trPr>
        <w:tc>
          <w:tcPr>
            <w:tcW w:w="2726" w:type="dxa"/>
            <w:vMerge w:val="restart"/>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项目</w:t>
            </w:r>
          </w:p>
        </w:tc>
        <w:tc>
          <w:tcPr>
            <w:tcW w:w="495"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2655"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金额</w:t>
            </w:r>
          </w:p>
        </w:tc>
        <w:tc>
          <w:tcPr>
            <w:tcW w:w="2726" w:type="dxa"/>
            <w:vMerge w:val="restart"/>
            <w:tcBorders>
              <w:top w:val="single" w:color="auto" w:sz="4" w:space="0"/>
              <w:bottom w:val="single" w:color="auto" w:sz="4" w:space="0"/>
              <w:right w:val="single" w:color="000000" w:sz="4" w:space="0"/>
            </w:tcBorders>
            <w:vAlign w:val="center"/>
          </w:tcPr>
          <w:p>
            <w:pPr>
              <w:widowControl/>
              <w:jc w:val="center"/>
              <w:textAlignment w:val="bottom"/>
              <w:rPr>
                <w:rFonts w:ascii="宋体" w:cs="Times New Roman"/>
                <w:color w:val="000000"/>
                <w:sz w:val="20"/>
                <w:szCs w:val="20"/>
              </w:rPr>
            </w:pPr>
            <w:r>
              <w:rPr>
                <w:rFonts w:hint="eastAsia" w:ascii="宋体" w:hAnsi="宋体" w:cs="宋体"/>
                <w:color w:val="000000"/>
                <w:kern w:val="0"/>
                <w:sz w:val="20"/>
                <w:szCs w:val="20"/>
              </w:rPr>
              <w:t>项目</w:t>
            </w:r>
          </w:p>
        </w:tc>
        <w:tc>
          <w:tcPr>
            <w:tcW w:w="496"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627" w:type="dxa"/>
            <w:gridSpan w:val="2"/>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合计</w:t>
            </w:r>
          </w:p>
        </w:tc>
        <w:tc>
          <w:tcPr>
            <w:tcW w:w="1627" w:type="dxa"/>
            <w:gridSpan w:val="2"/>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一般公共预算财政拨款</w:t>
            </w:r>
          </w:p>
        </w:tc>
        <w:tc>
          <w:tcPr>
            <w:tcW w:w="1629"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政府性基金预算财政拨款</w:t>
            </w:r>
          </w:p>
        </w:tc>
      </w:tr>
      <w:tr>
        <w:tblPrEx>
          <w:tblLayout w:type="fixed"/>
          <w:tblCellMar>
            <w:top w:w="15" w:type="dxa"/>
            <w:left w:w="15" w:type="dxa"/>
            <w:bottom w:w="15" w:type="dxa"/>
            <w:right w:w="15" w:type="dxa"/>
          </w:tblCellMar>
        </w:tblPrEx>
        <w:trPr>
          <w:trHeight w:val="600" w:hRule="atLeast"/>
        </w:trPr>
        <w:tc>
          <w:tcPr>
            <w:tcW w:w="2726" w:type="dxa"/>
            <w:vMerge w:val="continue"/>
            <w:tcBorders>
              <w:top w:val="single" w:color="auto" w:sz="4" w:space="0"/>
              <w:left w:val="single" w:color="000000" w:sz="4" w:space="0"/>
              <w:bottom w:val="single" w:color="auto" w:sz="4" w:space="0"/>
              <w:right w:val="single" w:color="000000" w:sz="4" w:space="0"/>
            </w:tcBorders>
            <w:vAlign w:val="center"/>
          </w:tcPr>
          <w:p>
            <w:pPr>
              <w:rPr>
                <w:rFonts w:ascii="宋体" w:cs="Times New Roman"/>
                <w:color w:val="000000"/>
                <w:sz w:val="20"/>
                <w:szCs w:val="20"/>
              </w:rPr>
            </w:pPr>
          </w:p>
        </w:tc>
        <w:tc>
          <w:tcPr>
            <w:tcW w:w="495"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2655"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2726" w:type="dxa"/>
            <w:vMerge w:val="continue"/>
            <w:tcBorders>
              <w:top w:val="single" w:color="auto" w:sz="4" w:space="0"/>
              <w:bottom w:val="single" w:color="auto" w:sz="4" w:space="0"/>
              <w:right w:val="single" w:color="000000" w:sz="4" w:space="0"/>
            </w:tcBorders>
            <w:vAlign w:val="bottom"/>
          </w:tcPr>
          <w:p>
            <w:pPr>
              <w:rPr>
                <w:rFonts w:ascii="宋体" w:cs="Times New Roman"/>
                <w:color w:val="000000"/>
                <w:sz w:val="20"/>
                <w:szCs w:val="20"/>
              </w:rPr>
            </w:pPr>
          </w:p>
        </w:tc>
        <w:tc>
          <w:tcPr>
            <w:tcW w:w="496"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627"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627"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629"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top w:val="single" w:color="auto" w:sz="4" w:space="0"/>
              <w:left w:val="single" w:color="000000" w:sz="4" w:space="0"/>
              <w:bottom w:val="single" w:color="000000" w:sz="4" w:space="0"/>
              <w:right w:val="single" w:color="000000" w:sz="4" w:space="0"/>
            </w:tcBorders>
            <w:vAlign w:val="center"/>
          </w:tcPr>
          <w:p>
            <w:pPr>
              <w:widowControl/>
              <w:textAlignment w:val="center"/>
              <w:rPr>
                <w:rFonts w:ascii="宋体" w:cs="Times New Roman"/>
                <w:color w:val="000000"/>
                <w:sz w:val="20"/>
                <w:szCs w:val="20"/>
              </w:rPr>
            </w:pPr>
            <w:r>
              <w:rPr>
                <w:rFonts w:hint="eastAsia" w:ascii="宋体" w:hAnsi="宋体" w:cs="宋体"/>
                <w:color w:val="000000"/>
                <w:kern w:val="0"/>
                <w:sz w:val="20"/>
                <w:szCs w:val="20"/>
              </w:rPr>
              <w:t>栏次</w:t>
            </w:r>
          </w:p>
        </w:tc>
        <w:tc>
          <w:tcPr>
            <w:tcW w:w="495" w:type="dxa"/>
            <w:tcBorders>
              <w:top w:val="single" w:color="auto"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2655"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2726" w:type="dxa"/>
            <w:tcBorders>
              <w:top w:val="single" w:color="auto" w:sz="4" w:space="0"/>
              <w:bottom w:val="single" w:color="000000" w:sz="4" w:space="0"/>
              <w:right w:val="single" w:color="000000" w:sz="4" w:space="0"/>
            </w:tcBorders>
            <w:vAlign w:val="bottom"/>
          </w:tcPr>
          <w:p>
            <w:pPr>
              <w:widowControl/>
              <w:textAlignment w:val="bottom"/>
              <w:rPr>
                <w:rFonts w:ascii="宋体" w:cs="Times New Roman"/>
                <w:color w:val="000000"/>
                <w:sz w:val="20"/>
                <w:szCs w:val="20"/>
              </w:rPr>
            </w:pPr>
            <w:r>
              <w:rPr>
                <w:rFonts w:hint="eastAsia" w:ascii="宋体" w:hAnsi="宋体" w:cs="宋体"/>
                <w:color w:val="000000"/>
                <w:kern w:val="0"/>
                <w:sz w:val="20"/>
                <w:szCs w:val="20"/>
              </w:rPr>
              <w:t>栏次</w:t>
            </w:r>
          </w:p>
        </w:tc>
        <w:tc>
          <w:tcPr>
            <w:tcW w:w="496" w:type="dxa"/>
            <w:tcBorders>
              <w:top w:val="single" w:color="auto"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1627" w:type="dxa"/>
            <w:gridSpan w:val="2"/>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1627" w:type="dxa"/>
            <w:gridSpan w:val="2"/>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c>
          <w:tcPr>
            <w:tcW w:w="1629"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一、一般公共预算财政拨款</w:t>
            </w: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2655" w:type="dxa"/>
            <w:tcBorders>
              <w:bottom w:val="single" w:color="000000" w:sz="4" w:space="0"/>
              <w:right w:val="single" w:color="000000" w:sz="4" w:space="0"/>
            </w:tcBorders>
            <w:vAlign w:val="center"/>
          </w:tcPr>
          <w:p>
            <w:pPr>
              <w:jc w:val="right"/>
              <w:rPr>
                <w:rFonts w:cs="Times New Roman"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317.17</w:t>
            </w: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一、一般公共服务支出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28</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二、政府性基金预算财政拨款</w:t>
            </w: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2655" w:type="dxa"/>
            <w:tcBorders>
              <w:bottom w:val="single" w:color="000000" w:sz="4" w:space="0"/>
              <w:right w:val="single" w:color="000000" w:sz="4" w:space="0"/>
            </w:tcBorders>
            <w:vAlign w:val="center"/>
          </w:tcPr>
          <w:p>
            <w:pPr>
              <w:jc w:val="right"/>
              <w:rPr>
                <w:rFonts w:cs="Times New Roman" w:asciiTheme="minorEastAsia" w:hAnsiTheme="minorEastAsia" w:eastAsiaTheme="minorEastAsia"/>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二、外交支出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29</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三、国防支出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四、公共安全支出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31</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五、教育支出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32</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6</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六、科学技术支出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33</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7</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七、文化体育与传媒支出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34</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8</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八、社会保障和就业支出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35</w:t>
            </w:r>
          </w:p>
        </w:tc>
        <w:tc>
          <w:tcPr>
            <w:tcW w:w="1627" w:type="dxa"/>
            <w:gridSpan w:val="2"/>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60.85</w:t>
            </w:r>
          </w:p>
        </w:tc>
        <w:tc>
          <w:tcPr>
            <w:tcW w:w="1627" w:type="dxa"/>
            <w:gridSpan w:val="2"/>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60.85</w:t>
            </w: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9</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九、医疗卫生与计划生育支出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36</w:t>
            </w:r>
          </w:p>
        </w:tc>
        <w:tc>
          <w:tcPr>
            <w:tcW w:w="1627" w:type="dxa"/>
            <w:gridSpan w:val="2"/>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9.3</w:t>
            </w:r>
          </w:p>
        </w:tc>
        <w:tc>
          <w:tcPr>
            <w:tcW w:w="1627" w:type="dxa"/>
            <w:gridSpan w:val="2"/>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9.3</w:t>
            </w: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10</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十、节能环保支出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37</w:t>
            </w:r>
          </w:p>
        </w:tc>
        <w:tc>
          <w:tcPr>
            <w:tcW w:w="1627" w:type="dxa"/>
            <w:gridSpan w:val="2"/>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50.96</w:t>
            </w:r>
          </w:p>
        </w:tc>
        <w:tc>
          <w:tcPr>
            <w:tcW w:w="1627" w:type="dxa"/>
            <w:gridSpan w:val="2"/>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50.96</w:t>
            </w: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11</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十一、城乡社区支出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38</w:t>
            </w:r>
          </w:p>
        </w:tc>
        <w:tc>
          <w:tcPr>
            <w:tcW w:w="1627" w:type="dxa"/>
            <w:gridSpan w:val="2"/>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p>
        </w:tc>
        <w:tc>
          <w:tcPr>
            <w:tcW w:w="1627" w:type="dxa"/>
            <w:gridSpan w:val="2"/>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12</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十二、农林水支出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39</w:t>
            </w:r>
          </w:p>
        </w:tc>
        <w:tc>
          <w:tcPr>
            <w:tcW w:w="1627" w:type="dxa"/>
            <w:gridSpan w:val="2"/>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196.07</w:t>
            </w:r>
          </w:p>
        </w:tc>
        <w:tc>
          <w:tcPr>
            <w:tcW w:w="1627" w:type="dxa"/>
            <w:gridSpan w:val="2"/>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196.07</w:t>
            </w: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13</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十三、交通运输支出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40</w:t>
            </w:r>
          </w:p>
        </w:tc>
        <w:tc>
          <w:tcPr>
            <w:tcW w:w="1627" w:type="dxa"/>
            <w:gridSpan w:val="2"/>
            <w:tcBorders>
              <w:bottom w:val="single" w:color="000000" w:sz="4" w:space="0"/>
              <w:right w:val="single" w:color="000000" w:sz="4" w:space="0"/>
            </w:tcBorders>
            <w:vAlign w:val="center"/>
          </w:tcPr>
          <w:p>
            <w:pPr>
              <w:jc w:val="right"/>
              <w:rPr>
                <w:rFonts w:ascii="仿宋_GB2312" w:hAnsi="仿宋" w:eastAsia="仿宋_GB2312"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仿宋_GB2312" w:hAnsi="仿宋" w:eastAsia="仿宋_GB2312"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14</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十四、资源勘探信息等支出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41</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15</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十五、商业服务业等支出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42</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16</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十六、金融支出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43</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17</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十七、援助其他地区支出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44</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18</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十八、国土海洋气象等支出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45</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19</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十九、住房保障支出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46</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20</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二十、粮油物资储备支出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47</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21</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二十一、其他支出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48</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20"/>
                <w:szCs w:val="20"/>
              </w:rPr>
            </w:pPr>
            <w:r>
              <w:rPr>
                <w:rFonts w:hint="eastAsia" w:ascii="宋体" w:hAnsi="宋体" w:cs="宋体"/>
                <w:b/>
                <w:bCs/>
                <w:color w:val="000000"/>
                <w:kern w:val="0"/>
                <w:sz w:val="20"/>
                <w:szCs w:val="20"/>
              </w:rPr>
              <w:t>本年收入合计</w:t>
            </w: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22</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r>
              <w:rPr>
                <w:rFonts w:hint="eastAsia" w:ascii="宋体" w:cs="Times New Roman"/>
                <w:color w:val="000000"/>
                <w:sz w:val="20"/>
                <w:szCs w:val="20"/>
              </w:rPr>
              <w:t>317.17</w:t>
            </w:r>
          </w:p>
        </w:tc>
        <w:tc>
          <w:tcPr>
            <w:tcW w:w="2726" w:type="dxa"/>
            <w:tcBorders>
              <w:bottom w:val="single" w:color="000000" w:sz="4" w:space="0"/>
              <w:right w:val="single" w:color="000000" w:sz="4" w:space="0"/>
            </w:tcBorders>
            <w:vAlign w:val="center"/>
          </w:tcPr>
          <w:p>
            <w:pPr>
              <w:widowControl/>
              <w:jc w:val="center"/>
              <w:textAlignment w:val="center"/>
              <w:rPr>
                <w:rFonts w:ascii="宋体" w:cs="Times New Roman"/>
                <w:b/>
                <w:bCs/>
                <w:color w:val="000000"/>
                <w:sz w:val="20"/>
                <w:szCs w:val="20"/>
              </w:rPr>
            </w:pPr>
            <w:r>
              <w:rPr>
                <w:rFonts w:hint="eastAsia" w:ascii="宋体" w:hAnsi="宋体" w:cs="宋体"/>
                <w:b/>
                <w:bCs/>
                <w:color w:val="000000"/>
                <w:kern w:val="0"/>
                <w:sz w:val="20"/>
                <w:szCs w:val="20"/>
              </w:rPr>
              <w:t>本年支出合计</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49</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r>
              <w:rPr>
                <w:rFonts w:hint="eastAsia" w:ascii="宋体" w:cs="Times New Roman"/>
                <w:color w:val="000000"/>
                <w:sz w:val="20"/>
                <w:szCs w:val="20"/>
              </w:rPr>
              <w:t>317.17</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r>
              <w:rPr>
                <w:rFonts w:hint="eastAsia" w:ascii="宋体" w:cs="Times New Roman"/>
                <w:color w:val="000000"/>
                <w:sz w:val="20"/>
                <w:szCs w:val="20"/>
              </w:rPr>
              <w:t>317.17</w:t>
            </w: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年初财政拨款结转和结余</w:t>
            </w: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23</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年末财政拨款结转和结余</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50</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一般公共预算财政拨款</w:t>
            </w: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24</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jc w:val="left"/>
              <w:rPr>
                <w:rFonts w:ascii="宋体" w:cs="Times New Roman"/>
                <w:color w:val="000000"/>
                <w:sz w:val="20"/>
                <w:szCs w:val="20"/>
              </w:rPr>
            </w:pP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51</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政府性基金预算财政拨款</w:t>
            </w: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25</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jc w:val="left"/>
              <w:rPr>
                <w:rFonts w:ascii="宋体" w:cs="Times New Roman"/>
                <w:color w:val="000000"/>
                <w:sz w:val="20"/>
                <w:szCs w:val="20"/>
              </w:rPr>
            </w:pP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52</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26</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jc w:val="left"/>
              <w:rPr>
                <w:rFonts w:ascii="宋体" w:cs="Times New Roman"/>
                <w:color w:val="000000"/>
                <w:sz w:val="20"/>
                <w:szCs w:val="20"/>
              </w:rPr>
            </w:pP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53</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20"/>
                <w:szCs w:val="20"/>
              </w:rPr>
            </w:pPr>
            <w:r>
              <w:rPr>
                <w:rFonts w:hint="eastAsia" w:ascii="宋体" w:hAnsi="宋体" w:cs="宋体"/>
                <w:b/>
                <w:bCs/>
                <w:color w:val="000000"/>
                <w:kern w:val="0"/>
                <w:sz w:val="20"/>
                <w:szCs w:val="20"/>
              </w:rPr>
              <w:t>总计</w:t>
            </w: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27</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r>
              <w:rPr>
                <w:rFonts w:hint="eastAsia" w:ascii="宋体" w:cs="Times New Roman"/>
                <w:color w:val="000000"/>
                <w:sz w:val="20"/>
                <w:szCs w:val="20"/>
              </w:rPr>
              <w:t>317.17</w:t>
            </w:r>
          </w:p>
        </w:tc>
        <w:tc>
          <w:tcPr>
            <w:tcW w:w="2726" w:type="dxa"/>
            <w:tcBorders>
              <w:bottom w:val="single" w:color="000000" w:sz="4" w:space="0"/>
              <w:right w:val="single" w:color="000000" w:sz="4" w:space="0"/>
            </w:tcBorders>
            <w:vAlign w:val="center"/>
          </w:tcPr>
          <w:p>
            <w:pPr>
              <w:widowControl/>
              <w:jc w:val="center"/>
              <w:textAlignment w:val="center"/>
              <w:rPr>
                <w:rFonts w:ascii="宋体" w:cs="Times New Roman"/>
                <w:b/>
                <w:bCs/>
                <w:color w:val="000000"/>
                <w:sz w:val="20"/>
                <w:szCs w:val="20"/>
              </w:rPr>
            </w:pPr>
            <w:r>
              <w:rPr>
                <w:rFonts w:hint="eastAsia" w:ascii="宋体" w:hAnsi="宋体" w:cs="宋体"/>
                <w:b/>
                <w:bCs/>
                <w:color w:val="000000"/>
                <w:kern w:val="0"/>
                <w:sz w:val="20"/>
                <w:szCs w:val="20"/>
              </w:rPr>
              <w:t>总计</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54</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r>
              <w:rPr>
                <w:rFonts w:hint="eastAsia" w:ascii="宋体" w:cs="Times New Roman"/>
                <w:color w:val="000000"/>
                <w:sz w:val="20"/>
                <w:szCs w:val="20"/>
              </w:rPr>
              <w:t>317.17</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r>
              <w:rPr>
                <w:rFonts w:hint="eastAsia" w:ascii="宋体" w:cs="Times New Roman"/>
                <w:color w:val="000000"/>
                <w:sz w:val="20"/>
                <w:szCs w:val="20"/>
              </w:rPr>
              <w:t>317.17</w:t>
            </w: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13981" w:type="dxa"/>
            <w:gridSpan w:val="10"/>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注：本表反映部门本年度一般公共预算财政拨款和政府性基金预算财政拨款的总收支和年末结转结余情况。</w:t>
            </w:r>
          </w:p>
        </w:tc>
      </w:tr>
    </w:tbl>
    <w:p>
      <w:pPr>
        <w:rPr>
          <w:rFonts w:ascii="仿宋_GB2312" w:hAnsi="仿宋_GB2312" w:eastAsia="仿宋_GB2312" w:cs="Times New Roman"/>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6"/>
        <w:tblW w:w="13982" w:type="dxa"/>
        <w:tblInd w:w="-13" w:type="dxa"/>
        <w:tblLayout w:type="fixed"/>
        <w:tblCellMar>
          <w:top w:w="15" w:type="dxa"/>
          <w:left w:w="15" w:type="dxa"/>
          <w:bottom w:w="15" w:type="dxa"/>
          <w:right w:w="15" w:type="dxa"/>
        </w:tblCellMar>
      </w:tblPr>
      <w:tblGrid>
        <w:gridCol w:w="640"/>
        <w:gridCol w:w="309"/>
        <w:gridCol w:w="829"/>
        <w:gridCol w:w="1137"/>
        <w:gridCol w:w="329"/>
        <w:gridCol w:w="3579"/>
        <w:gridCol w:w="3365"/>
        <w:gridCol w:w="214"/>
        <w:gridCol w:w="931"/>
        <w:gridCol w:w="2649"/>
      </w:tblGrid>
      <w:tr>
        <w:tblPrEx>
          <w:tblLayout w:type="fixed"/>
          <w:tblCellMar>
            <w:top w:w="15" w:type="dxa"/>
            <w:left w:w="15" w:type="dxa"/>
            <w:bottom w:w="15" w:type="dxa"/>
            <w:right w:w="15" w:type="dxa"/>
          </w:tblCellMar>
        </w:tblPrEx>
        <w:trPr>
          <w:trHeight w:val="375" w:hRule="atLeast"/>
        </w:trPr>
        <w:tc>
          <w:tcPr>
            <w:tcW w:w="13982" w:type="dxa"/>
            <w:gridSpan w:val="10"/>
            <w:tcBorders>
              <w:right w:val="nil"/>
            </w:tcBorders>
            <w:vAlign w:val="center"/>
          </w:tcPr>
          <w:p>
            <w:pPr>
              <w:widowControl/>
              <w:jc w:val="center"/>
              <w:textAlignment w:val="center"/>
              <w:rPr>
                <w:rFonts w:ascii="黑体" w:hAnsi="宋体" w:eastAsia="黑体" w:cs="Times New Roman"/>
                <w:color w:val="000000"/>
                <w:sz w:val="30"/>
                <w:szCs w:val="30"/>
              </w:rPr>
            </w:pPr>
            <w:r>
              <w:rPr>
                <w:rFonts w:hint="eastAsia" w:ascii="黑体" w:hAnsi="宋体" w:eastAsia="黑体" w:cs="黑体"/>
                <w:color w:val="000000"/>
                <w:kern w:val="0"/>
                <w:sz w:val="30"/>
                <w:szCs w:val="30"/>
              </w:rPr>
              <w:t>一般公共预算财政拨款支出决算表</w:t>
            </w:r>
          </w:p>
        </w:tc>
      </w:tr>
      <w:tr>
        <w:tblPrEx>
          <w:tblLayout w:type="fixed"/>
          <w:tblCellMar>
            <w:top w:w="15" w:type="dxa"/>
            <w:left w:w="15" w:type="dxa"/>
            <w:bottom w:w="15" w:type="dxa"/>
            <w:right w:w="15" w:type="dxa"/>
          </w:tblCellMar>
        </w:tblPrEx>
        <w:trPr>
          <w:trHeight w:val="300" w:hRule="atLeast"/>
        </w:trPr>
        <w:tc>
          <w:tcPr>
            <w:tcW w:w="640" w:type="dxa"/>
            <w:vAlign w:val="center"/>
          </w:tcPr>
          <w:p>
            <w:pPr>
              <w:jc w:val="left"/>
              <w:rPr>
                <w:rFonts w:ascii="宋体" w:cs="Times New Roman"/>
                <w:color w:val="000000"/>
                <w:sz w:val="18"/>
                <w:szCs w:val="18"/>
              </w:rPr>
            </w:pPr>
          </w:p>
        </w:tc>
        <w:tc>
          <w:tcPr>
            <w:tcW w:w="1138" w:type="dxa"/>
            <w:gridSpan w:val="2"/>
            <w:vAlign w:val="center"/>
          </w:tcPr>
          <w:p>
            <w:pPr>
              <w:jc w:val="left"/>
              <w:rPr>
                <w:rFonts w:ascii="宋体" w:cs="Times New Roman"/>
                <w:color w:val="000000"/>
                <w:sz w:val="18"/>
                <w:szCs w:val="18"/>
              </w:rPr>
            </w:pPr>
          </w:p>
        </w:tc>
        <w:tc>
          <w:tcPr>
            <w:tcW w:w="1137" w:type="dxa"/>
            <w:vAlign w:val="center"/>
          </w:tcPr>
          <w:p>
            <w:pPr>
              <w:jc w:val="left"/>
              <w:rPr>
                <w:rFonts w:ascii="宋体" w:cs="Times New Roman"/>
                <w:color w:val="000000"/>
                <w:sz w:val="18"/>
                <w:szCs w:val="18"/>
              </w:rPr>
            </w:pPr>
          </w:p>
        </w:tc>
        <w:tc>
          <w:tcPr>
            <w:tcW w:w="329" w:type="dxa"/>
            <w:vAlign w:val="center"/>
          </w:tcPr>
          <w:p>
            <w:pPr>
              <w:jc w:val="left"/>
              <w:rPr>
                <w:rFonts w:ascii="宋体" w:cs="Times New Roman"/>
                <w:color w:val="000000"/>
                <w:sz w:val="18"/>
                <w:szCs w:val="18"/>
              </w:rPr>
            </w:pPr>
          </w:p>
        </w:tc>
        <w:tc>
          <w:tcPr>
            <w:tcW w:w="6944" w:type="dxa"/>
            <w:gridSpan w:val="2"/>
            <w:vAlign w:val="center"/>
          </w:tcPr>
          <w:p>
            <w:pPr>
              <w:jc w:val="left"/>
              <w:rPr>
                <w:rFonts w:ascii="宋体" w:cs="Times New Roman"/>
                <w:color w:val="000000"/>
                <w:sz w:val="18"/>
                <w:szCs w:val="18"/>
              </w:rPr>
            </w:pPr>
          </w:p>
        </w:tc>
        <w:tc>
          <w:tcPr>
            <w:tcW w:w="1145" w:type="dxa"/>
            <w:gridSpan w:val="2"/>
            <w:vAlign w:val="center"/>
          </w:tcPr>
          <w:p>
            <w:pPr>
              <w:jc w:val="left"/>
              <w:rPr>
                <w:rFonts w:ascii="宋体" w:cs="Times New Roman"/>
                <w:color w:val="000000"/>
                <w:sz w:val="18"/>
                <w:szCs w:val="18"/>
              </w:rPr>
            </w:pPr>
          </w:p>
        </w:tc>
        <w:tc>
          <w:tcPr>
            <w:tcW w:w="2649" w:type="dxa"/>
            <w:tcBorders>
              <w:right w:val="nil"/>
            </w:tcBorders>
            <w:vAlign w:val="center"/>
          </w:tcPr>
          <w:p>
            <w:pPr>
              <w:widowControl/>
              <w:jc w:val="right"/>
              <w:textAlignment w:val="center"/>
              <w:rPr>
                <w:rFonts w:ascii="宋体" w:cs="Times New Roman"/>
                <w:color w:val="000000"/>
                <w:sz w:val="22"/>
              </w:rPr>
            </w:pPr>
            <w:r>
              <w:rPr>
                <w:rFonts w:hint="eastAsia" w:ascii="宋体" w:hAnsi="宋体" w:cs="宋体"/>
                <w:color w:val="000000"/>
                <w:kern w:val="0"/>
                <w:sz w:val="22"/>
                <w:szCs w:val="22"/>
              </w:rPr>
              <w:t>公开</w:t>
            </w:r>
            <w:r>
              <w:rPr>
                <w:rFonts w:ascii="宋体" w:hAnsi="宋体" w:cs="宋体"/>
                <w:color w:val="000000"/>
                <w:kern w:val="0"/>
                <w:sz w:val="22"/>
                <w:szCs w:val="22"/>
              </w:rPr>
              <w:t>05</w:t>
            </w:r>
            <w:r>
              <w:rPr>
                <w:rFonts w:hint="eastAsia" w:ascii="宋体" w:hAnsi="宋体" w:cs="宋体"/>
                <w:color w:val="000000"/>
                <w:kern w:val="0"/>
                <w:sz w:val="22"/>
                <w:szCs w:val="22"/>
              </w:rPr>
              <w:t>表</w:t>
            </w:r>
          </w:p>
        </w:tc>
      </w:tr>
      <w:tr>
        <w:tblPrEx>
          <w:tblLayout w:type="fixed"/>
          <w:tblCellMar>
            <w:top w:w="15" w:type="dxa"/>
            <w:left w:w="15" w:type="dxa"/>
            <w:bottom w:w="15" w:type="dxa"/>
            <w:right w:w="15" w:type="dxa"/>
          </w:tblCellMar>
        </w:tblPrEx>
        <w:trPr>
          <w:trHeight w:val="300" w:hRule="atLeast"/>
        </w:trPr>
        <w:tc>
          <w:tcPr>
            <w:tcW w:w="3244" w:type="dxa"/>
            <w:gridSpan w:val="5"/>
            <w:tcBorders>
              <w:bottom w:val="single" w:color="auto" w:sz="4" w:space="0"/>
            </w:tcBorders>
            <w:vAlign w:val="center"/>
          </w:tcPr>
          <w:p>
            <w:pPr>
              <w:jc w:val="left"/>
              <w:rPr>
                <w:rFonts w:ascii="宋体" w:cs="Times New Roman"/>
                <w:color w:val="000000"/>
                <w:sz w:val="22"/>
              </w:rPr>
            </w:pPr>
            <w:r>
              <w:rPr>
                <w:rFonts w:hint="eastAsia" w:ascii="宋体" w:hAnsi="宋体" w:cs="宋体"/>
                <w:color w:val="000000"/>
                <w:kern w:val="0"/>
                <w:sz w:val="22"/>
                <w:szCs w:val="22"/>
              </w:rPr>
              <w:t>部门：</w:t>
            </w:r>
            <w:r>
              <w:rPr>
                <w:rFonts w:hint="eastAsia" w:cs="宋体" w:asciiTheme="minorEastAsia" w:hAnsiTheme="minorEastAsia" w:eastAsiaTheme="minorEastAsia"/>
                <w:color w:val="000000"/>
                <w:kern w:val="0"/>
                <w:sz w:val="20"/>
                <w:szCs w:val="20"/>
              </w:rPr>
              <w:t>河南省周口市西华县林业局</w:t>
            </w:r>
          </w:p>
        </w:tc>
        <w:tc>
          <w:tcPr>
            <w:tcW w:w="6944" w:type="dxa"/>
            <w:gridSpan w:val="2"/>
            <w:tcBorders>
              <w:bottom w:val="single" w:color="auto" w:sz="4" w:space="0"/>
            </w:tcBorders>
            <w:vAlign w:val="center"/>
          </w:tcPr>
          <w:p>
            <w:pPr>
              <w:jc w:val="left"/>
              <w:rPr>
                <w:rFonts w:ascii="宋体" w:cs="Times New Roman"/>
                <w:color w:val="000000"/>
                <w:sz w:val="18"/>
                <w:szCs w:val="18"/>
              </w:rPr>
            </w:pPr>
          </w:p>
        </w:tc>
        <w:tc>
          <w:tcPr>
            <w:tcW w:w="1145" w:type="dxa"/>
            <w:gridSpan w:val="2"/>
            <w:tcBorders>
              <w:bottom w:val="single" w:color="auto" w:sz="4" w:space="0"/>
            </w:tcBorders>
            <w:vAlign w:val="center"/>
          </w:tcPr>
          <w:p>
            <w:pPr>
              <w:jc w:val="left"/>
              <w:rPr>
                <w:rFonts w:ascii="宋体" w:cs="Times New Roman"/>
                <w:color w:val="000000"/>
                <w:sz w:val="18"/>
                <w:szCs w:val="18"/>
              </w:rPr>
            </w:pPr>
          </w:p>
        </w:tc>
        <w:tc>
          <w:tcPr>
            <w:tcW w:w="2649" w:type="dxa"/>
            <w:tcBorders>
              <w:bottom w:val="single" w:color="auto" w:sz="4" w:space="0"/>
              <w:right w:val="nil"/>
            </w:tcBorders>
            <w:vAlign w:val="center"/>
          </w:tcPr>
          <w:p>
            <w:pPr>
              <w:widowControl/>
              <w:jc w:val="right"/>
              <w:textAlignment w:val="center"/>
              <w:rPr>
                <w:rFonts w:ascii="宋体" w:cs="Times New Roman"/>
                <w:color w:val="000000"/>
                <w:sz w:val="22"/>
              </w:rPr>
            </w:pPr>
            <w:r>
              <w:rPr>
                <w:rFonts w:hint="eastAsia" w:ascii="宋体" w:hAnsi="宋体" w:cs="宋体"/>
                <w:color w:val="000000"/>
                <w:kern w:val="0"/>
                <w:sz w:val="22"/>
                <w:szCs w:val="22"/>
              </w:rPr>
              <w:t>金额单位：万元</w:t>
            </w:r>
          </w:p>
        </w:tc>
      </w:tr>
      <w:tr>
        <w:tblPrEx>
          <w:tblLayout w:type="fixed"/>
          <w:tblCellMar>
            <w:top w:w="15" w:type="dxa"/>
            <w:left w:w="15" w:type="dxa"/>
            <w:bottom w:w="15" w:type="dxa"/>
            <w:right w:w="15" w:type="dxa"/>
          </w:tblCellMar>
        </w:tblPrEx>
        <w:trPr>
          <w:trHeight w:val="300" w:hRule="atLeast"/>
        </w:trPr>
        <w:tc>
          <w:tcPr>
            <w:tcW w:w="3244"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项目</w:t>
            </w:r>
          </w:p>
        </w:tc>
        <w:tc>
          <w:tcPr>
            <w:tcW w:w="10738"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本年支出</w:t>
            </w:r>
          </w:p>
        </w:tc>
      </w:tr>
      <w:tr>
        <w:tblPrEx>
          <w:tblLayout w:type="fixed"/>
          <w:tblCellMar>
            <w:top w:w="15" w:type="dxa"/>
            <w:left w:w="15" w:type="dxa"/>
            <w:bottom w:w="15" w:type="dxa"/>
            <w:right w:w="15" w:type="dxa"/>
          </w:tblCellMar>
        </w:tblPrEx>
        <w:trPr>
          <w:trHeight w:val="312" w:hRule="atLeast"/>
        </w:trPr>
        <w:tc>
          <w:tcPr>
            <w:tcW w:w="949" w:type="dxa"/>
            <w:gridSpan w:val="2"/>
            <w:vMerge w:val="restart"/>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功能分类科目编码</w:t>
            </w:r>
          </w:p>
        </w:tc>
        <w:tc>
          <w:tcPr>
            <w:tcW w:w="2295" w:type="dxa"/>
            <w:gridSpan w:val="3"/>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3579"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小计</w:t>
            </w:r>
          </w:p>
        </w:tc>
        <w:tc>
          <w:tcPr>
            <w:tcW w:w="3579" w:type="dxa"/>
            <w:gridSpan w:val="2"/>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基本支出</w:t>
            </w:r>
          </w:p>
        </w:tc>
        <w:tc>
          <w:tcPr>
            <w:tcW w:w="3580" w:type="dxa"/>
            <w:gridSpan w:val="2"/>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项目支出</w:t>
            </w:r>
          </w:p>
        </w:tc>
      </w:tr>
      <w:tr>
        <w:tblPrEx>
          <w:tblLayout w:type="fixed"/>
          <w:tblCellMar>
            <w:top w:w="15" w:type="dxa"/>
            <w:left w:w="15" w:type="dxa"/>
            <w:bottom w:w="15" w:type="dxa"/>
            <w:right w:w="15" w:type="dxa"/>
          </w:tblCellMar>
        </w:tblPrEx>
        <w:trPr>
          <w:trHeight w:val="312" w:hRule="atLeast"/>
        </w:trPr>
        <w:tc>
          <w:tcPr>
            <w:tcW w:w="949" w:type="dxa"/>
            <w:gridSpan w:val="2"/>
            <w:vMerge w:val="continue"/>
            <w:tcBorders>
              <w:top w:val="single" w:color="auto" w:sz="4" w:space="0"/>
              <w:left w:val="single" w:color="000000"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2295" w:type="dxa"/>
            <w:gridSpan w:val="3"/>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3579"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3579"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3580"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12" w:hRule="atLeast"/>
        </w:trPr>
        <w:tc>
          <w:tcPr>
            <w:tcW w:w="949" w:type="dxa"/>
            <w:gridSpan w:val="2"/>
            <w:vMerge w:val="continue"/>
            <w:tcBorders>
              <w:top w:val="single" w:color="auto" w:sz="4" w:space="0"/>
              <w:left w:val="single" w:color="000000"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2295" w:type="dxa"/>
            <w:gridSpan w:val="3"/>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3579"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3579"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3580"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44" w:type="dxa"/>
            <w:gridSpan w:val="5"/>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栏次</w:t>
            </w:r>
          </w:p>
        </w:tc>
        <w:tc>
          <w:tcPr>
            <w:tcW w:w="3579"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3579" w:type="dxa"/>
            <w:gridSpan w:val="2"/>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3580" w:type="dxa"/>
            <w:gridSpan w:val="2"/>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r>
      <w:tr>
        <w:tblPrEx>
          <w:tblLayout w:type="fixed"/>
          <w:tblCellMar>
            <w:top w:w="15" w:type="dxa"/>
            <w:left w:w="15" w:type="dxa"/>
            <w:bottom w:w="15" w:type="dxa"/>
            <w:right w:w="15" w:type="dxa"/>
          </w:tblCellMar>
        </w:tblPrEx>
        <w:trPr>
          <w:trHeight w:val="300" w:hRule="atLeast"/>
        </w:trPr>
        <w:tc>
          <w:tcPr>
            <w:tcW w:w="3244" w:type="dxa"/>
            <w:gridSpan w:val="5"/>
            <w:tcBorders>
              <w:left w:val="single" w:color="000000" w:sz="4" w:space="0"/>
              <w:bottom w:val="single" w:color="000000" w:sz="4" w:space="0"/>
              <w:right w:val="single" w:color="000000" w:sz="4" w:space="0"/>
            </w:tcBorders>
            <w:vAlign w:val="center"/>
          </w:tcPr>
          <w:p>
            <w:pPr>
              <w:widowControl/>
              <w:textAlignment w:val="center"/>
              <w:rPr>
                <w:rFonts w:ascii="宋体" w:cs="Times New Roman"/>
                <w:color w:val="000000"/>
                <w:sz w:val="20"/>
                <w:szCs w:val="20"/>
              </w:rPr>
            </w:pPr>
            <w:r>
              <w:rPr>
                <w:rFonts w:hint="eastAsia" w:ascii="宋体" w:hAnsi="宋体" w:cs="宋体"/>
                <w:color w:val="000000"/>
                <w:kern w:val="0"/>
                <w:sz w:val="20"/>
                <w:szCs w:val="20"/>
              </w:rPr>
              <w:t>合计</w:t>
            </w:r>
          </w:p>
        </w:tc>
        <w:tc>
          <w:tcPr>
            <w:tcW w:w="3579" w:type="dxa"/>
            <w:tcBorders>
              <w:bottom w:val="single" w:color="000000" w:sz="4" w:space="0"/>
              <w:right w:val="single" w:color="000000" w:sz="4" w:space="0"/>
            </w:tcBorders>
            <w:vAlign w:val="center"/>
          </w:tcPr>
          <w:p>
            <w:pPr>
              <w:jc w:val="right"/>
              <w:rPr>
                <w:rFonts w:ascii="宋体" w:cs="Times New Roman"/>
                <w:b/>
                <w:bCs/>
                <w:color w:val="000000"/>
                <w:sz w:val="20"/>
                <w:szCs w:val="20"/>
              </w:rPr>
            </w:pPr>
          </w:p>
        </w:tc>
        <w:tc>
          <w:tcPr>
            <w:tcW w:w="3579" w:type="dxa"/>
            <w:gridSpan w:val="2"/>
            <w:tcBorders>
              <w:bottom w:val="single" w:color="000000" w:sz="4" w:space="0"/>
              <w:right w:val="single" w:color="000000" w:sz="4" w:space="0"/>
            </w:tcBorders>
            <w:vAlign w:val="center"/>
          </w:tcPr>
          <w:p>
            <w:pPr>
              <w:jc w:val="right"/>
              <w:rPr>
                <w:rFonts w:ascii="宋体" w:cs="Times New Roman"/>
                <w:b/>
                <w:bCs/>
                <w:color w:val="000000"/>
                <w:sz w:val="20"/>
                <w:szCs w:val="20"/>
              </w:rPr>
            </w:pPr>
          </w:p>
        </w:tc>
        <w:tc>
          <w:tcPr>
            <w:tcW w:w="3580" w:type="dxa"/>
            <w:gridSpan w:val="2"/>
            <w:tcBorders>
              <w:bottom w:val="single" w:color="000000" w:sz="4" w:space="0"/>
              <w:right w:val="single" w:color="000000" w:sz="4" w:space="0"/>
            </w:tcBorders>
            <w:vAlign w:val="center"/>
          </w:tcPr>
          <w:p>
            <w:pPr>
              <w:jc w:val="right"/>
              <w:rPr>
                <w:rFonts w:ascii="宋体" w:cs="Times New Roman"/>
                <w:b/>
                <w:bCs/>
                <w:color w:val="000000"/>
                <w:sz w:val="20"/>
                <w:szCs w:val="20"/>
              </w:rPr>
            </w:pP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w:t>
            </w:r>
          </w:p>
        </w:tc>
        <w:tc>
          <w:tcPr>
            <w:tcW w:w="229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社会保障和就业支出</w:t>
            </w:r>
          </w:p>
        </w:tc>
        <w:tc>
          <w:tcPr>
            <w:tcW w:w="357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51.57</w:t>
            </w:r>
          </w:p>
        </w:tc>
        <w:tc>
          <w:tcPr>
            <w:tcW w:w="3579"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51.57</w:t>
            </w:r>
          </w:p>
        </w:tc>
        <w:tc>
          <w:tcPr>
            <w:tcW w:w="358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20805</w:t>
            </w:r>
          </w:p>
        </w:tc>
        <w:tc>
          <w:tcPr>
            <w:tcW w:w="229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行政事业单位离退休</w:t>
            </w:r>
          </w:p>
        </w:tc>
        <w:tc>
          <w:tcPr>
            <w:tcW w:w="357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51.57</w:t>
            </w:r>
          </w:p>
        </w:tc>
        <w:tc>
          <w:tcPr>
            <w:tcW w:w="3579"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51.57</w:t>
            </w:r>
          </w:p>
        </w:tc>
        <w:tc>
          <w:tcPr>
            <w:tcW w:w="358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2080501</w:t>
            </w:r>
          </w:p>
        </w:tc>
        <w:tc>
          <w:tcPr>
            <w:tcW w:w="229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归口管理的行政单位离退休</w:t>
            </w:r>
          </w:p>
        </w:tc>
        <w:tc>
          <w:tcPr>
            <w:tcW w:w="357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41.10</w:t>
            </w:r>
          </w:p>
        </w:tc>
        <w:tc>
          <w:tcPr>
            <w:tcW w:w="3579"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41.10</w:t>
            </w:r>
          </w:p>
        </w:tc>
        <w:tc>
          <w:tcPr>
            <w:tcW w:w="358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2080505</w:t>
            </w:r>
          </w:p>
        </w:tc>
        <w:tc>
          <w:tcPr>
            <w:tcW w:w="229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机关事业单位基本养老保险缴费支出</w:t>
            </w:r>
          </w:p>
        </w:tc>
        <w:tc>
          <w:tcPr>
            <w:tcW w:w="357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10.47</w:t>
            </w:r>
          </w:p>
        </w:tc>
        <w:tc>
          <w:tcPr>
            <w:tcW w:w="3579"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10.47</w:t>
            </w:r>
          </w:p>
        </w:tc>
        <w:tc>
          <w:tcPr>
            <w:tcW w:w="358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210</w:t>
            </w:r>
          </w:p>
        </w:tc>
        <w:tc>
          <w:tcPr>
            <w:tcW w:w="229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医疗卫生与计划生育支出</w:t>
            </w:r>
          </w:p>
        </w:tc>
        <w:tc>
          <w:tcPr>
            <w:tcW w:w="357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9.30</w:t>
            </w:r>
          </w:p>
        </w:tc>
        <w:tc>
          <w:tcPr>
            <w:tcW w:w="3579"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9.30</w:t>
            </w:r>
          </w:p>
        </w:tc>
        <w:tc>
          <w:tcPr>
            <w:tcW w:w="358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21011</w:t>
            </w:r>
          </w:p>
        </w:tc>
        <w:tc>
          <w:tcPr>
            <w:tcW w:w="229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行政事业单位医疗</w:t>
            </w:r>
          </w:p>
        </w:tc>
        <w:tc>
          <w:tcPr>
            <w:tcW w:w="357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9.30</w:t>
            </w:r>
          </w:p>
        </w:tc>
        <w:tc>
          <w:tcPr>
            <w:tcW w:w="3579"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9.30</w:t>
            </w:r>
          </w:p>
        </w:tc>
        <w:tc>
          <w:tcPr>
            <w:tcW w:w="358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2101101</w:t>
            </w:r>
          </w:p>
        </w:tc>
        <w:tc>
          <w:tcPr>
            <w:tcW w:w="229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行政单位医疗</w:t>
            </w:r>
          </w:p>
        </w:tc>
        <w:tc>
          <w:tcPr>
            <w:tcW w:w="357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9.30</w:t>
            </w:r>
          </w:p>
        </w:tc>
        <w:tc>
          <w:tcPr>
            <w:tcW w:w="3579"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9.30</w:t>
            </w:r>
          </w:p>
        </w:tc>
        <w:tc>
          <w:tcPr>
            <w:tcW w:w="358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213</w:t>
            </w:r>
          </w:p>
        </w:tc>
        <w:tc>
          <w:tcPr>
            <w:tcW w:w="229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农林水支出</w:t>
            </w:r>
          </w:p>
        </w:tc>
        <w:tc>
          <w:tcPr>
            <w:tcW w:w="357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138.74</w:t>
            </w:r>
          </w:p>
        </w:tc>
        <w:tc>
          <w:tcPr>
            <w:tcW w:w="3579"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138.74</w:t>
            </w:r>
          </w:p>
        </w:tc>
        <w:tc>
          <w:tcPr>
            <w:tcW w:w="358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21302</w:t>
            </w:r>
          </w:p>
        </w:tc>
        <w:tc>
          <w:tcPr>
            <w:tcW w:w="229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林业</w:t>
            </w:r>
          </w:p>
        </w:tc>
        <w:tc>
          <w:tcPr>
            <w:tcW w:w="357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138.74</w:t>
            </w:r>
          </w:p>
        </w:tc>
        <w:tc>
          <w:tcPr>
            <w:tcW w:w="3579"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138.74</w:t>
            </w:r>
          </w:p>
        </w:tc>
        <w:tc>
          <w:tcPr>
            <w:tcW w:w="358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2130201</w:t>
            </w:r>
          </w:p>
        </w:tc>
        <w:tc>
          <w:tcPr>
            <w:tcW w:w="229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行政运行</w:t>
            </w:r>
          </w:p>
        </w:tc>
        <w:tc>
          <w:tcPr>
            <w:tcW w:w="357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138.74</w:t>
            </w:r>
          </w:p>
        </w:tc>
        <w:tc>
          <w:tcPr>
            <w:tcW w:w="3579"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138.74</w:t>
            </w:r>
          </w:p>
        </w:tc>
        <w:tc>
          <w:tcPr>
            <w:tcW w:w="358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w:t>
            </w:r>
          </w:p>
        </w:tc>
        <w:tc>
          <w:tcPr>
            <w:tcW w:w="229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社会保障和就业支出</w:t>
            </w:r>
          </w:p>
        </w:tc>
        <w:tc>
          <w:tcPr>
            <w:tcW w:w="357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9.28</w:t>
            </w:r>
          </w:p>
        </w:tc>
        <w:tc>
          <w:tcPr>
            <w:tcW w:w="3579"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9.28</w:t>
            </w:r>
          </w:p>
        </w:tc>
        <w:tc>
          <w:tcPr>
            <w:tcW w:w="358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20805</w:t>
            </w:r>
          </w:p>
        </w:tc>
        <w:tc>
          <w:tcPr>
            <w:tcW w:w="229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行政事业单位离退休</w:t>
            </w:r>
          </w:p>
        </w:tc>
        <w:tc>
          <w:tcPr>
            <w:tcW w:w="357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8.53</w:t>
            </w:r>
          </w:p>
        </w:tc>
        <w:tc>
          <w:tcPr>
            <w:tcW w:w="3579"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8.53</w:t>
            </w:r>
          </w:p>
        </w:tc>
        <w:tc>
          <w:tcPr>
            <w:tcW w:w="358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2080502</w:t>
            </w:r>
          </w:p>
        </w:tc>
        <w:tc>
          <w:tcPr>
            <w:tcW w:w="229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事业单位离退休</w:t>
            </w:r>
          </w:p>
        </w:tc>
        <w:tc>
          <w:tcPr>
            <w:tcW w:w="357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1.61</w:t>
            </w:r>
          </w:p>
        </w:tc>
        <w:tc>
          <w:tcPr>
            <w:tcW w:w="3579"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1.61</w:t>
            </w:r>
          </w:p>
        </w:tc>
        <w:tc>
          <w:tcPr>
            <w:tcW w:w="358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2080505</w:t>
            </w:r>
          </w:p>
        </w:tc>
        <w:tc>
          <w:tcPr>
            <w:tcW w:w="229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机关事业单位基本养老保险缴费支出</w:t>
            </w:r>
          </w:p>
        </w:tc>
        <w:tc>
          <w:tcPr>
            <w:tcW w:w="357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6.92</w:t>
            </w:r>
          </w:p>
        </w:tc>
        <w:tc>
          <w:tcPr>
            <w:tcW w:w="3579"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6.92</w:t>
            </w:r>
          </w:p>
        </w:tc>
        <w:tc>
          <w:tcPr>
            <w:tcW w:w="358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20899</w:t>
            </w:r>
          </w:p>
        </w:tc>
        <w:tc>
          <w:tcPr>
            <w:tcW w:w="229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其他社会保障和就业支出</w:t>
            </w:r>
          </w:p>
        </w:tc>
        <w:tc>
          <w:tcPr>
            <w:tcW w:w="357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0.74</w:t>
            </w:r>
          </w:p>
        </w:tc>
        <w:tc>
          <w:tcPr>
            <w:tcW w:w="3579"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0.74</w:t>
            </w:r>
          </w:p>
        </w:tc>
        <w:tc>
          <w:tcPr>
            <w:tcW w:w="358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2089901</w:t>
            </w:r>
          </w:p>
        </w:tc>
        <w:tc>
          <w:tcPr>
            <w:tcW w:w="229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其他社会保障和就业支出</w:t>
            </w:r>
          </w:p>
        </w:tc>
        <w:tc>
          <w:tcPr>
            <w:tcW w:w="357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0.74</w:t>
            </w:r>
          </w:p>
        </w:tc>
        <w:tc>
          <w:tcPr>
            <w:tcW w:w="3579"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0.74</w:t>
            </w:r>
          </w:p>
        </w:tc>
        <w:tc>
          <w:tcPr>
            <w:tcW w:w="358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211</w:t>
            </w:r>
          </w:p>
        </w:tc>
        <w:tc>
          <w:tcPr>
            <w:tcW w:w="229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节能环保支出</w:t>
            </w:r>
          </w:p>
        </w:tc>
        <w:tc>
          <w:tcPr>
            <w:tcW w:w="357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50.96</w:t>
            </w:r>
          </w:p>
        </w:tc>
        <w:tc>
          <w:tcPr>
            <w:tcW w:w="3579"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50.96</w:t>
            </w:r>
          </w:p>
        </w:tc>
        <w:tc>
          <w:tcPr>
            <w:tcW w:w="358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21106</w:t>
            </w:r>
          </w:p>
        </w:tc>
        <w:tc>
          <w:tcPr>
            <w:tcW w:w="229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退耕还林</w:t>
            </w:r>
          </w:p>
        </w:tc>
        <w:tc>
          <w:tcPr>
            <w:tcW w:w="357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50.96</w:t>
            </w:r>
          </w:p>
        </w:tc>
        <w:tc>
          <w:tcPr>
            <w:tcW w:w="3579"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50.96</w:t>
            </w:r>
          </w:p>
        </w:tc>
        <w:tc>
          <w:tcPr>
            <w:tcW w:w="358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2110699</w:t>
            </w:r>
          </w:p>
        </w:tc>
        <w:tc>
          <w:tcPr>
            <w:tcW w:w="229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其他退耕还林支出</w:t>
            </w:r>
          </w:p>
        </w:tc>
        <w:tc>
          <w:tcPr>
            <w:tcW w:w="357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50.96</w:t>
            </w:r>
          </w:p>
        </w:tc>
        <w:tc>
          <w:tcPr>
            <w:tcW w:w="3579"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50.96</w:t>
            </w:r>
          </w:p>
        </w:tc>
        <w:tc>
          <w:tcPr>
            <w:tcW w:w="358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213</w:t>
            </w:r>
          </w:p>
        </w:tc>
        <w:tc>
          <w:tcPr>
            <w:tcW w:w="229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农林水支出</w:t>
            </w:r>
          </w:p>
        </w:tc>
        <w:tc>
          <w:tcPr>
            <w:tcW w:w="357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57.33</w:t>
            </w:r>
          </w:p>
        </w:tc>
        <w:tc>
          <w:tcPr>
            <w:tcW w:w="3579"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57.33</w:t>
            </w:r>
          </w:p>
        </w:tc>
        <w:tc>
          <w:tcPr>
            <w:tcW w:w="358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21302</w:t>
            </w:r>
          </w:p>
        </w:tc>
        <w:tc>
          <w:tcPr>
            <w:tcW w:w="229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林业</w:t>
            </w:r>
          </w:p>
        </w:tc>
        <w:tc>
          <w:tcPr>
            <w:tcW w:w="357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57.33</w:t>
            </w:r>
          </w:p>
        </w:tc>
        <w:tc>
          <w:tcPr>
            <w:tcW w:w="3579"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57.33</w:t>
            </w:r>
          </w:p>
        </w:tc>
        <w:tc>
          <w:tcPr>
            <w:tcW w:w="358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2130299</w:t>
            </w:r>
          </w:p>
        </w:tc>
        <w:tc>
          <w:tcPr>
            <w:tcW w:w="2295" w:type="dxa"/>
            <w:gridSpan w:val="3"/>
            <w:tcBorders>
              <w:bottom w:val="single" w:color="000000" w:sz="4" w:space="0"/>
              <w:right w:val="single" w:color="000000" w:sz="4" w:space="0"/>
            </w:tcBorders>
            <w:vAlign w:val="center"/>
          </w:tcPr>
          <w:p>
            <w:pPr>
              <w:widowControl/>
              <w:jc w:val="lef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 xml:space="preserve">  其他林业支出</w:t>
            </w:r>
          </w:p>
        </w:tc>
        <w:tc>
          <w:tcPr>
            <w:tcW w:w="3579" w:type="dxa"/>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57.33</w:t>
            </w:r>
          </w:p>
        </w:tc>
        <w:tc>
          <w:tcPr>
            <w:tcW w:w="3579"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57.33</w:t>
            </w:r>
          </w:p>
        </w:tc>
        <w:tc>
          <w:tcPr>
            <w:tcW w:w="3580" w:type="dxa"/>
            <w:gridSpan w:val="2"/>
            <w:tcBorders>
              <w:bottom w:val="single" w:color="000000" w:sz="4" w:space="0"/>
              <w:right w:val="single" w:color="000000" w:sz="4" w:space="0"/>
            </w:tcBorders>
            <w:vAlign w:val="center"/>
          </w:tcPr>
          <w:p>
            <w:pPr>
              <w:widowControl/>
              <w:jc w:val="right"/>
              <w:textAlignment w:val="center"/>
              <w:rPr>
                <w:rFonts w:cs="宋体" w:asciiTheme="minorEastAsia" w:hAnsiTheme="minorEastAsia" w:eastAsiaTheme="minorEastAsia"/>
                <w:color w:val="000000"/>
                <w:sz w:val="22"/>
              </w:rPr>
            </w:pPr>
            <w:r>
              <w:rPr>
                <w:rFonts w:hint="eastAsia" w:cs="宋体" w:asciiTheme="minorEastAsia" w:hAnsiTheme="minorEastAsia" w:eastAsiaTheme="minorEastAsia"/>
                <w:color w:val="000000"/>
                <w:kern w:val="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2295" w:type="dxa"/>
            <w:gridSpan w:val="3"/>
            <w:tcBorders>
              <w:bottom w:val="single" w:color="000000" w:sz="4" w:space="0"/>
              <w:right w:val="single" w:color="000000" w:sz="4" w:space="0"/>
            </w:tcBorders>
            <w:vAlign w:val="center"/>
          </w:tcPr>
          <w:p>
            <w:pPr>
              <w:jc w:val="left"/>
              <w:rPr>
                <w:rFonts w:ascii="宋体" w:cs="Times New Roman"/>
                <w:color w:val="000000"/>
                <w:sz w:val="20"/>
                <w:szCs w:val="20"/>
              </w:rPr>
            </w:pPr>
          </w:p>
        </w:tc>
        <w:tc>
          <w:tcPr>
            <w:tcW w:w="357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579"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580"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2295" w:type="dxa"/>
            <w:gridSpan w:val="3"/>
            <w:tcBorders>
              <w:bottom w:val="single" w:color="000000" w:sz="4" w:space="0"/>
              <w:right w:val="single" w:color="000000" w:sz="4" w:space="0"/>
            </w:tcBorders>
            <w:vAlign w:val="center"/>
          </w:tcPr>
          <w:p>
            <w:pPr>
              <w:jc w:val="left"/>
              <w:rPr>
                <w:rFonts w:ascii="宋体" w:cs="Times New Roman"/>
                <w:color w:val="000000"/>
                <w:sz w:val="20"/>
                <w:szCs w:val="20"/>
              </w:rPr>
            </w:pPr>
          </w:p>
        </w:tc>
        <w:tc>
          <w:tcPr>
            <w:tcW w:w="357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579"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580"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13982" w:type="dxa"/>
            <w:gridSpan w:val="10"/>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注：本表反映部门本年度一般公共预算财政拨款支出情况。</w:t>
            </w:r>
          </w:p>
        </w:tc>
      </w:tr>
    </w:tbl>
    <w:p>
      <w:pPr>
        <w:rPr>
          <w:rFonts w:ascii="仿宋_GB2312" w:hAnsi="仿宋_GB2312" w:eastAsia="仿宋_GB2312" w:cs="Times New Roman"/>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6"/>
        <w:tblW w:w="13982" w:type="dxa"/>
        <w:tblInd w:w="-13" w:type="dxa"/>
        <w:tblLayout w:type="fixed"/>
        <w:tblCellMar>
          <w:top w:w="15" w:type="dxa"/>
          <w:left w:w="15" w:type="dxa"/>
          <w:bottom w:w="15" w:type="dxa"/>
          <w:right w:w="15" w:type="dxa"/>
        </w:tblCellMar>
      </w:tblPr>
      <w:tblGrid>
        <w:gridCol w:w="601"/>
        <w:gridCol w:w="2656"/>
        <w:gridCol w:w="1301"/>
        <w:gridCol w:w="601"/>
        <w:gridCol w:w="2657"/>
        <w:gridCol w:w="1301"/>
        <w:gridCol w:w="601"/>
        <w:gridCol w:w="2657"/>
        <w:gridCol w:w="1607"/>
      </w:tblGrid>
      <w:tr>
        <w:tblPrEx>
          <w:tblLayout w:type="fixed"/>
          <w:tblCellMar>
            <w:top w:w="15" w:type="dxa"/>
            <w:left w:w="15" w:type="dxa"/>
            <w:bottom w:w="15" w:type="dxa"/>
            <w:right w:w="15" w:type="dxa"/>
          </w:tblCellMar>
        </w:tblPrEx>
        <w:trPr>
          <w:trHeight w:val="375" w:hRule="atLeast"/>
        </w:trPr>
        <w:tc>
          <w:tcPr>
            <w:tcW w:w="13982" w:type="dxa"/>
            <w:gridSpan w:val="9"/>
            <w:tcBorders>
              <w:right w:val="nil"/>
            </w:tcBorders>
            <w:vAlign w:val="center"/>
          </w:tcPr>
          <w:p>
            <w:pPr>
              <w:widowControl/>
              <w:jc w:val="center"/>
              <w:textAlignment w:val="center"/>
              <w:rPr>
                <w:rFonts w:ascii="黑体" w:hAnsi="宋体" w:eastAsia="黑体" w:cs="Times New Roman"/>
                <w:color w:val="000000"/>
                <w:sz w:val="30"/>
                <w:szCs w:val="30"/>
              </w:rPr>
            </w:pPr>
            <w:r>
              <w:rPr>
                <w:rFonts w:hint="eastAsia" w:ascii="黑体" w:hAnsi="宋体" w:eastAsia="黑体" w:cs="黑体"/>
                <w:color w:val="000000"/>
                <w:kern w:val="0"/>
                <w:sz w:val="30"/>
                <w:szCs w:val="30"/>
              </w:rPr>
              <w:t>一般公共预算财政拨款基本支出决算表</w:t>
            </w:r>
          </w:p>
        </w:tc>
      </w:tr>
      <w:tr>
        <w:tblPrEx>
          <w:tblLayout w:type="fixed"/>
          <w:tblCellMar>
            <w:top w:w="15" w:type="dxa"/>
            <w:left w:w="15" w:type="dxa"/>
            <w:bottom w:w="15" w:type="dxa"/>
            <w:right w:w="15" w:type="dxa"/>
          </w:tblCellMar>
        </w:tblPrEx>
        <w:trPr>
          <w:trHeight w:val="300" w:hRule="atLeast"/>
        </w:trPr>
        <w:tc>
          <w:tcPr>
            <w:tcW w:w="601" w:type="dxa"/>
            <w:vAlign w:val="center"/>
          </w:tcPr>
          <w:p>
            <w:pPr>
              <w:jc w:val="left"/>
              <w:rPr>
                <w:rFonts w:ascii="宋体" w:cs="Times New Roman"/>
                <w:color w:val="000000"/>
                <w:sz w:val="18"/>
                <w:szCs w:val="18"/>
              </w:rPr>
            </w:pPr>
          </w:p>
        </w:tc>
        <w:tc>
          <w:tcPr>
            <w:tcW w:w="2656" w:type="dxa"/>
            <w:vAlign w:val="center"/>
          </w:tcPr>
          <w:p>
            <w:pPr>
              <w:jc w:val="left"/>
              <w:rPr>
                <w:rFonts w:ascii="宋体" w:cs="Times New Roman"/>
                <w:color w:val="000000"/>
                <w:sz w:val="18"/>
                <w:szCs w:val="18"/>
              </w:rPr>
            </w:pPr>
          </w:p>
        </w:tc>
        <w:tc>
          <w:tcPr>
            <w:tcW w:w="1301" w:type="dxa"/>
            <w:vAlign w:val="center"/>
          </w:tcPr>
          <w:p>
            <w:pPr>
              <w:jc w:val="left"/>
              <w:rPr>
                <w:rFonts w:ascii="宋体" w:cs="Times New Roman"/>
                <w:color w:val="000000"/>
                <w:sz w:val="18"/>
                <w:szCs w:val="18"/>
              </w:rPr>
            </w:pPr>
          </w:p>
        </w:tc>
        <w:tc>
          <w:tcPr>
            <w:tcW w:w="601" w:type="dxa"/>
            <w:vAlign w:val="center"/>
          </w:tcPr>
          <w:p>
            <w:pPr>
              <w:jc w:val="left"/>
              <w:rPr>
                <w:rFonts w:ascii="宋体" w:cs="Times New Roman"/>
                <w:color w:val="000000"/>
                <w:sz w:val="18"/>
                <w:szCs w:val="18"/>
              </w:rPr>
            </w:pPr>
          </w:p>
        </w:tc>
        <w:tc>
          <w:tcPr>
            <w:tcW w:w="2657" w:type="dxa"/>
            <w:vAlign w:val="center"/>
          </w:tcPr>
          <w:p>
            <w:pPr>
              <w:jc w:val="left"/>
              <w:rPr>
                <w:rFonts w:ascii="宋体" w:cs="Times New Roman"/>
                <w:color w:val="000000"/>
                <w:sz w:val="18"/>
                <w:szCs w:val="18"/>
              </w:rPr>
            </w:pPr>
          </w:p>
        </w:tc>
        <w:tc>
          <w:tcPr>
            <w:tcW w:w="1301" w:type="dxa"/>
            <w:vAlign w:val="center"/>
          </w:tcPr>
          <w:p>
            <w:pPr>
              <w:jc w:val="left"/>
              <w:rPr>
                <w:rFonts w:ascii="宋体" w:cs="Times New Roman"/>
                <w:color w:val="000000"/>
                <w:sz w:val="18"/>
                <w:szCs w:val="18"/>
              </w:rPr>
            </w:pPr>
          </w:p>
        </w:tc>
        <w:tc>
          <w:tcPr>
            <w:tcW w:w="601" w:type="dxa"/>
            <w:vAlign w:val="center"/>
          </w:tcPr>
          <w:p>
            <w:pPr>
              <w:jc w:val="left"/>
              <w:rPr>
                <w:rFonts w:ascii="宋体" w:cs="Times New Roman"/>
                <w:color w:val="000000"/>
                <w:sz w:val="18"/>
                <w:szCs w:val="18"/>
              </w:rPr>
            </w:pPr>
          </w:p>
        </w:tc>
        <w:tc>
          <w:tcPr>
            <w:tcW w:w="2657" w:type="dxa"/>
            <w:vAlign w:val="center"/>
          </w:tcPr>
          <w:p>
            <w:pPr>
              <w:jc w:val="left"/>
              <w:rPr>
                <w:rFonts w:ascii="宋体" w:cs="Times New Roman"/>
                <w:color w:val="000000"/>
                <w:sz w:val="18"/>
                <w:szCs w:val="18"/>
              </w:rPr>
            </w:pPr>
          </w:p>
        </w:tc>
        <w:tc>
          <w:tcPr>
            <w:tcW w:w="1607" w:type="dxa"/>
            <w:tcBorders>
              <w:right w:val="nil"/>
            </w:tcBorders>
            <w:vAlign w:val="center"/>
          </w:tcPr>
          <w:p>
            <w:pPr>
              <w:widowControl/>
              <w:jc w:val="right"/>
              <w:textAlignment w:val="center"/>
              <w:rPr>
                <w:rFonts w:ascii="宋体" w:cs="Times New Roman"/>
                <w:color w:val="000000"/>
                <w:sz w:val="22"/>
              </w:rPr>
            </w:pPr>
            <w:r>
              <w:rPr>
                <w:rFonts w:hint="eastAsia" w:ascii="宋体" w:hAnsi="宋体" w:cs="宋体"/>
                <w:color w:val="000000"/>
                <w:kern w:val="0"/>
                <w:sz w:val="22"/>
                <w:szCs w:val="22"/>
              </w:rPr>
              <w:t>公开</w:t>
            </w:r>
            <w:r>
              <w:rPr>
                <w:rFonts w:ascii="宋体" w:hAnsi="宋体" w:cs="宋体"/>
                <w:color w:val="000000"/>
                <w:kern w:val="0"/>
                <w:sz w:val="22"/>
                <w:szCs w:val="22"/>
              </w:rPr>
              <w:t>06</w:t>
            </w:r>
            <w:r>
              <w:rPr>
                <w:rFonts w:hint="eastAsia" w:ascii="宋体" w:hAnsi="宋体" w:cs="宋体"/>
                <w:color w:val="000000"/>
                <w:kern w:val="0"/>
                <w:sz w:val="22"/>
                <w:szCs w:val="22"/>
              </w:rPr>
              <w:t>表</w:t>
            </w:r>
          </w:p>
        </w:tc>
      </w:tr>
      <w:tr>
        <w:tblPrEx>
          <w:tblLayout w:type="fixed"/>
          <w:tblCellMar>
            <w:top w:w="15" w:type="dxa"/>
            <w:left w:w="15" w:type="dxa"/>
            <w:bottom w:w="15" w:type="dxa"/>
            <w:right w:w="15" w:type="dxa"/>
          </w:tblCellMar>
        </w:tblPrEx>
        <w:trPr>
          <w:trHeight w:val="300" w:hRule="atLeast"/>
        </w:trPr>
        <w:tc>
          <w:tcPr>
            <w:tcW w:w="5159" w:type="dxa"/>
            <w:gridSpan w:val="4"/>
            <w:tcBorders>
              <w:bottom w:val="single" w:color="auto" w:sz="4" w:space="0"/>
            </w:tcBorders>
            <w:vAlign w:val="center"/>
          </w:tcPr>
          <w:p>
            <w:pPr>
              <w:jc w:val="left"/>
              <w:rPr>
                <w:rFonts w:ascii="宋体" w:cs="Times New Roman"/>
                <w:color w:val="000000"/>
                <w:sz w:val="18"/>
                <w:szCs w:val="18"/>
              </w:rPr>
            </w:pPr>
            <w:r>
              <w:rPr>
                <w:rFonts w:hint="eastAsia" w:ascii="宋体" w:hAnsi="宋体" w:cs="宋体"/>
                <w:color w:val="000000"/>
                <w:kern w:val="0"/>
                <w:sz w:val="22"/>
                <w:szCs w:val="22"/>
              </w:rPr>
              <w:t>部门：</w:t>
            </w:r>
            <w:r>
              <w:rPr>
                <w:rFonts w:hint="eastAsia" w:cs="宋体" w:asciiTheme="minorEastAsia" w:hAnsiTheme="minorEastAsia" w:eastAsiaTheme="minorEastAsia"/>
                <w:color w:val="000000"/>
                <w:kern w:val="0"/>
                <w:sz w:val="20"/>
                <w:szCs w:val="20"/>
              </w:rPr>
              <w:t>河南省周口市西华县林业局</w:t>
            </w:r>
          </w:p>
        </w:tc>
        <w:tc>
          <w:tcPr>
            <w:tcW w:w="2657" w:type="dxa"/>
            <w:tcBorders>
              <w:bottom w:val="single" w:color="auto" w:sz="4" w:space="0"/>
            </w:tcBorders>
            <w:vAlign w:val="center"/>
          </w:tcPr>
          <w:p>
            <w:pPr>
              <w:jc w:val="center"/>
              <w:rPr>
                <w:rFonts w:ascii="宋体" w:cs="Times New Roman"/>
                <w:color w:val="000000"/>
                <w:sz w:val="22"/>
              </w:rPr>
            </w:pPr>
          </w:p>
        </w:tc>
        <w:tc>
          <w:tcPr>
            <w:tcW w:w="1301" w:type="dxa"/>
            <w:tcBorders>
              <w:bottom w:val="single" w:color="auto" w:sz="4" w:space="0"/>
            </w:tcBorders>
            <w:vAlign w:val="center"/>
          </w:tcPr>
          <w:p>
            <w:pPr>
              <w:jc w:val="left"/>
              <w:rPr>
                <w:rFonts w:ascii="宋体" w:cs="Times New Roman"/>
                <w:color w:val="000000"/>
                <w:sz w:val="18"/>
                <w:szCs w:val="18"/>
              </w:rPr>
            </w:pPr>
          </w:p>
        </w:tc>
        <w:tc>
          <w:tcPr>
            <w:tcW w:w="601" w:type="dxa"/>
            <w:tcBorders>
              <w:bottom w:val="single" w:color="auto" w:sz="4" w:space="0"/>
            </w:tcBorders>
            <w:vAlign w:val="center"/>
          </w:tcPr>
          <w:p>
            <w:pPr>
              <w:jc w:val="left"/>
              <w:rPr>
                <w:rFonts w:ascii="宋体" w:cs="Times New Roman"/>
                <w:color w:val="000000"/>
                <w:sz w:val="18"/>
                <w:szCs w:val="18"/>
              </w:rPr>
            </w:pPr>
          </w:p>
        </w:tc>
        <w:tc>
          <w:tcPr>
            <w:tcW w:w="2657" w:type="dxa"/>
            <w:tcBorders>
              <w:bottom w:val="single" w:color="auto" w:sz="4" w:space="0"/>
            </w:tcBorders>
            <w:vAlign w:val="center"/>
          </w:tcPr>
          <w:p>
            <w:pPr>
              <w:jc w:val="left"/>
              <w:rPr>
                <w:rFonts w:ascii="宋体" w:cs="Times New Roman"/>
                <w:color w:val="000000"/>
                <w:sz w:val="18"/>
                <w:szCs w:val="18"/>
              </w:rPr>
            </w:pPr>
          </w:p>
        </w:tc>
        <w:tc>
          <w:tcPr>
            <w:tcW w:w="1607" w:type="dxa"/>
            <w:tcBorders>
              <w:bottom w:val="single" w:color="auto" w:sz="4" w:space="0"/>
              <w:right w:val="nil"/>
            </w:tcBorders>
            <w:vAlign w:val="center"/>
          </w:tcPr>
          <w:p>
            <w:pPr>
              <w:widowControl/>
              <w:jc w:val="right"/>
              <w:textAlignment w:val="center"/>
              <w:rPr>
                <w:rFonts w:ascii="宋体" w:cs="Times New Roman"/>
                <w:color w:val="000000"/>
                <w:sz w:val="22"/>
              </w:rPr>
            </w:pPr>
            <w:r>
              <w:rPr>
                <w:rFonts w:hint="eastAsia" w:ascii="宋体" w:hAnsi="宋体" w:cs="宋体"/>
                <w:color w:val="000000"/>
                <w:kern w:val="0"/>
                <w:sz w:val="22"/>
                <w:szCs w:val="22"/>
              </w:rPr>
              <w:t>金额单位：万元</w:t>
            </w:r>
          </w:p>
        </w:tc>
      </w:tr>
      <w:tr>
        <w:tblPrEx>
          <w:tblLayout w:type="fixed"/>
          <w:tblCellMar>
            <w:top w:w="15" w:type="dxa"/>
            <w:left w:w="15" w:type="dxa"/>
            <w:bottom w:w="15" w:type="dxa"/>
            <w:right w:w="15" w:type="dxa"/>
          </w:tblCellMar>
        </w:tblPrEx>
        <w:trPr>
          <w:trHeight w:val="300" w:hRule="atLeast"/>
        </w:trPr>
        <w:tc>
          <w:tcPr>
            <w:tcW w:w="4558"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人员经费</w:t>
            </w:r>
          </w:p>
        </w:tc>
        <w:tc>
          <w:tcPr>
            <w:tcW w:w="9424" w:type="dxa"/>
            <w:gridSpan w:val="6"/>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公用经费</w:t>
            </w:r>
          </w:p>
        </w:tc>
      </w:tr>
      <w:tr>
        <w:tblPrEx>
          <w:tblLayout w:type="fixed"/>
          <w:tblCellMar>
            <w:top w:w="15" w:type="dxa"/>
            <w:left w:w="15" w:type="dxa"/>
            <w:bottom w:w="15" w:type="dxa"/>
            <w:right w:w="15" w:type="dxa"/>
          </w:tblCellMar>
        </w:tblPrEx>
        <w:trPr>
          <w:trHeight w:val="312" w:hRule="atLeast"/>
        </w:trPr>
        <w:tc>
          <w:tcPr>
            <w:tcW w:w="601" w:type="dxa"/>
            <w:vMerge w:val="restart"/>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经济分类科目编码</w:t>
            </w:r>
          </w:p>
        </w:tc>
        <w:tc>
          <w:tcPr>
            <w:tcW w:w="2656"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130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金额</w:t>
            </w:r>
          </w:p>
        </w:tc>
        <w:tc>
          <w:tcPr>
            <w:tcW w:w="60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经济分类科目编码</w:t>
            </w:r>
          </w:p>
        </w:tc>
        <w:tc>
          <w:tcPr>
            <w:tcW w:w="2657"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130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金额</w:t>
            </w:r>
          </w:p>
        </w:tc>
        <w:tc>
          <w:tcPr>
            <w:tcW w:w="60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经济分类科目编码</w:t>
            </w:r>
          </w:p>
        </w:tc>
        <w:tc>
          <w:tcPr>
            <w:tcW w:w="2657"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1607"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金额</w:t>
            </w:r>
          </w:p>
        </w:tc>
      </w:tr>
      <w:tr>
        <w:tblPrEx>
          <w:tblLayout w:type="fixed"/>
          <w:tblCellMar>
            <w:top w:w="15" w:type="dxa"/>
            <w:left w:w="15" w:type="dxa"/>
            <w:bottom w:w="15" w:type="dxa"/>
            <w:right w:w="15" w:type="dxa"/>
          </w:tblCellMar>
        </w:tblPrEx>
        <w:trPr>
          <w:trHeight w:val="600" w:hRule="atLeast"/>
        </w:trPr>
        <w:tc>
          <w:tcPr>
            <w:tcW w:w="601" w:type="dxa"/>
            <w:vMerge w:val="continue"/>
            <w:tcBorders>
              <w:top w:val="single" w:color="auto" w:sz="4" w:space="0"/>
              <w:left w:val="single" w:color="000000"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2656"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301"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601"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2657"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301"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601"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2657"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607"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top w:val="single" w:color="auto"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w:t>
            </w:r>
          </w:p>
        </w:tc>
        <w:tc>
          <w:tcPr>
            <w:tcW w:w="2656" w:type="dxa"/>
            <w:tcBorders>
              <w:top w:val="single" w:color="auto"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工资福利支出</w:t>
            </w:r>
          </w:p>
        </w:tc>
        <w:tc>
          <w:tcPr>
            <w:tcW w:w="1301" w:type="dxa"/>
            <w:tcBorders>
              <w:top w:val="single" w:color="auto" w:sz="4" w:space="0"/>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164.28</w:t>
            </w:r>
          </w:p>
        </w:tc>
        <w:tc>
          <w:tcPr>
            <w:tcW w:w="601" w:type="dxa"/>
            <w:tcBorders>
              <w:top w:val="single" w:color="auto"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w:t>
            </w:r>
          </w:p>
        </w:tc>
        <w:tc>
          <w:tcPr>
            <w:tcW w:w="2657" w:type="dxa"/>
            <w:tcBorders>
              <w:top w:val="single" w:color="auto"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商品和服务支出</w:t>
            </w:r>
          </w:p>
        </w:tc>
        <w:tc>
          <w:tcPr>
            <w:tcW w:w="1301" w:type="dxa"/>
            <w:tcBorders>
              <w:top w:val="single" w:color="auto" w:sz="4" w:space="0"/>
              <w:bottom w:val="single" w:color="000000" w:sz="4" w:space="0"/>
              <w:right w:val="single" w:color="000000" w:sz="4" w:space="0"/>
            </w:tcBorders>
            <w:vAlign w:val="center"/>
          </w:tcPr>
          <w:p>
            <w:pPr>
              <w:jc w:val="right"/>
              <w:rPr>
                <w:rFonts w:ascii="宋体" w:cs="Times New Roman"/>
                <w:color w:val="000000"/>
                <w:sz w:val="20"/>
                <w:szCs w:val="20"/>
              </w:rPr>
            </w:pPr>
            <w:r>
              <w:rPr>
                <w:rFonts w:hint="eastAsia" w:ascii="宋体" w:cs="Times New Roman"/>
                <w:color w:val="000000"/>
                <w:sz w:val="20"/>
                <w:szCs w:val="20"/>
              </w:rPr>
              <w:t>88.92</w:t>
            </w:r>
          </w:p>
        </w:tc>
        <w:tc>
          <w:tcPr>
            <w:tcW w:w="601" w:type="dxa"/>
            <w:tcBorders>
              <w:top w:val="single" w:color="auto"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w:t>
            </w:r>
          </w:p>
        </w:tc>
        <w:tc>
          <w:tcPr>
            <w:tcW w:w="2657" w:type="dxa"/>
            <w:tcBorders>
              <w:top w:val="single" w:color="auto"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其他资本性支出</w:t>
            </w:r>
          </w:p>
        </w:tc>
        <w:tc>
          <w:tcPr>
            <w:tcW w:w="1607" w:type="dxa"/>
            <w:tcBorders>
              <w:top w:val="single" w:color="auto" w:sz="4" w:space="0"/>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30101</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基本工资</w:t>
            </w:r>
          </w:p>
        </w:tc>
        <w:tc>
          <w:tcPr>
            <w:tcW w:w="1301"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146.14</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30201</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办公费</w:t>
            </w:r>
          </w:p>
        </w:tc>
        <w:tc>
          <w:tcPr>
            <w:tcW w:w="1301"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48.62</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31001</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房屋建筑物购建</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30102</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津贴补贴</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30202</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印刷费</w:t>
            </w:r>
          </w:p>
        </w:tc>
        <w:tc>
          <w:tcPr>
            <w:tcW w:w="1301"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5.78</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31002</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办公设备购置</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30103</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奖金</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30203</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咨询费</w:t>
            </w:r>
          </w:p>
        </w:tc>
        <w:tc>
          <w:tcPr>
            <w:tcW w:w="1301"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31003</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专用设备购置</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30104</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其他社会保障缴费</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r>
              <w:rPr>
                <w:rFonts w:hint="eastAsia" w:ascii="宋体" w:cs="Times New Roman"/>
                <w:color w:val="000000"/>
                <w:sz w:val="20"/>
                <w:szCs w:val="20"/>
              </w:rPr>
              <w:t>0.74</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30204</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手续费</w:t>
            </w:r>
          </w:p>
        </w:tc>
        <w:tc>
          <w:tcPr>
            <w:tcW w:w="1301"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0.15</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31005</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基础设施建设</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30106</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伙食补助费</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30205</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水费</w:t>
            </w:r>
          </w:p>
        </w:tc>
        <w:tc>
          <w:tcPr>
            <w:tcW w:w="1301"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0.49</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31006</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大型修缮</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30107</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绩效工资</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30206</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电费</w:t>
            </w:r>
          </w:p>
        </w:tc>
        <w:tc>
          <w:tcPr>
            <w:tcW w:w="1301"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6.59</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31007</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信息网络及软件购置更新</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30108</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机关事业单位基本养老保险缴费</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30207</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邮电费</w:t>
            </w:r>
          </w:p>
        </w:tc>
        <w:tc>
          <w:tcPr>
            <w:tcW w:w="1301"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0.64</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31008</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物资储备</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30109</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职业年金缴费</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30208</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取暖费</w:t>
            </w:r>
          </w:p>
        </w:tc>
        <w:tc>
          <w:tcPr>
            <w:tcW w:w="1301"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31009</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土地补偿</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30199</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其他工资福利支出</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30209</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物业管理费</w:t>
            </w:r>
          </w:p>
        </w:tc>
        <w:tc>
          <w:tcPr>
            <w:tcW w:w="1301"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2.21</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31010</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安置补助</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对个人和家庭的补助</w:t>
            </w:r>
          </w:p>
        </w:tc>
        <w:tc>
          <w:tcPr>
            <w:tcW w:w="1301"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63.97</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30211</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差旅费</w:t>
            </w:r>
          </w:p>
        </w:tc>
        <w:tc>
          <w:tcPr>
            <w:tcW w:w="1301" w:type="dxa"/>
            <w:tcBorders>
              <w:bottom w:val="single" w:color="000000" w:sz="4" w:space="0"/>
              <w:right w:val="single" w:color="000000" w:sz="4" w:space="0"/>
            </w:tcBorders>
            <w:vAlign w:val="center"/>
          </w:tcPr>
          <w:p>
            <w:pPr>
              <w:jc w:val="right"/>
              <w:rPr>
                <w:rFonts w:cs="Times New Roman" w:asciiTheme="minorEastAsia" w:hAnsiTheme="minorEastAsia" w:eastAsiaTheme="minorEastAsia"/>
                <w:color w:val="000000"/>
                <w:sz w:val="20"/>
                <w:szCs w:val="20"/>
              </w:rPr>
            </w:pPr>
            <w:r>
              <w:rPr>
                <w:rFonts w:hint="eastAsia" w:cs="Times New Roman" w:asciiTheme="minorEastAsia" w:hAnsiTheme="minorEastAsia" w:eastAsiaTheme="minorEastAsia"/>
                <w:color w:val="000000"/>
                <w:sz w:val="20"/>
                <w:szCs w:val="20"/>
              </w:rPr>
              <w:t>8.24</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31011</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地上附着物和青苗补偿</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30301</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离休费</w:t>
            </w:r>
          </w:p>
        </w:tc>
        <w:tc>
          <w:tcPr>
            <w:tcW w:w="1301"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30212</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因公出国（境）费用</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31012</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拆迁补偿</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30302</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退休费</w:t>
            </w:r>
          </w:p>
        </w:tc>
        <w:tc>
          <w:tcPr>
            <w:tcW w:w="1301"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27.79</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30213</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维修</w:t>
            </w:r>
            <w:r>
              <w:rPr>
                <w:rFonts w:ascii="宋体" w:hAnsi="宋体" w:cs="宋体"/>
                <w:color w:val="000000"/>
                <w:kern w:val="0"/>
                <w:sz w:val="20"/>
                <w:szCs w:val="20"/>
              </w:rPr>
              <w:t>(</w:t>
            </w:r>
            <w:r>
              <w:rPr>
                <w:rFonts w:hint="eastAsia" w:ascii="宋体" w:hAnsi="宋体" w:cs="宋体"/>
                <w:color w:val="000000"/>
                <w:kern w:val="0"/>
                <w:sz w:val="20"/>
                <w:szCs w:val="20"/>
              </w:rPr>
              <w:t>护</w:t>
            </w:r>
            <w:r>
              <w:rPr>
                <w:rFonts w:ascii="宋体" w:hAnsi="宋体" w:cs="宋体"/>
                <w:color w:val="000000"/>
                <w:kern w:val="0"/>
                <w:sz w:val="20"/>
                <w:szCs w:val="20"/>
              </w:rPr>
              <w:t>)</w:t>
            </w:r>
            <w:r>
              <w:rPr>
                <w:rFonts w:hint="eastAsia" w:ascii="宋体" w:hAnsi="宋体" w:cs="宋体"/>
                <w:color w:val="000000"/>
                <w:kern w:val="0"/>
                <w:sz w:val="20"/>
                <w:szCs w:val="20"/>
              </w:rPr>
              <w:t>费</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r>
              <w:rPr>
                <w:rFonts w:hint="eastAsia" w:ascii="宋体" w:cs="Times New Roman"/>
                <w:color w:val="000000"/>
                <w:sz w:val="20"/>
                <w:szCs w:val="20"/>
              </w:rPr>
              <w:t>3.7</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31013</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公务用车购置</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30303</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退职（役）费</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30214</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租赁费</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31019</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其他交通工具购置</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30304</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抚恤金</w:t>
            </w:r>
          </w:p>
        </w:tc>
        <w:tc>
          <w:tcPr>
            <w:tcW w:w="1301"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4.82</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30215</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会议费</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r>
              <w:rPr>
                <w:rFonts w:hint="eastAsia" w:ascii="宋体" w:cs="Times New Roman"/>
                <w:color w:val="000000"/>
                <w:sz w:val="20"/>
                <w:szCs w:val="20"/>
              </w:rPr>
              <w:t>2.39</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31020</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产权参股</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30305</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生活补助</w:t>
            </w:r>
          </w:p>
        </w:tc>
        <w:tc>
          <w:tcPr>
            <w:tcW w:w="1301"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22.07</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30216</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培训费</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r>
              <w:rPr>
                <w:rFonts w:hint="eastAsia" w:ascii="宋体" w:cs="Times New Roman"/>
                <w:color w:val="000000"/>
                <w:sz w:val="20"/>
                <w:szCs w:val="20"/>
              </w:rPr>
              <w:t>0.62</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31099</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其他资本性支出</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30306</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救济费</w:t>
            </w:r>
          </w:p>
        </w:tc>
        <w:tc>
          <w:tcPr>
            <w:tcW w:w="1301"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30217</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公务接待费</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r>
              <w:rPr>
                <w:rFonts w:hint="eastAsia" w:ascii="宋体" w:cs="Times New Roman"/>
                <w:color w:val="000000"/>
                <w:sz w:val="20"/>
                <w:szCs w:val="20"/>
              </w:rPr>
              <w:t>0.43</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304</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对企事业单位的补贴</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3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30307</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w:t>
            </w:r>
          </w:p>
        </w:tc>
        <w:tc>
          <w:tcPr>
            <w:tcW w:w="1301"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9.3</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30218</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专用材料费</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30401</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企业政策性补贴</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30308</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助学金</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30224</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被装购置费</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30402</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事业单位补贴</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30309</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奖励金</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30225</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专用燃料费</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30403</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财政贴息</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30310</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生产补贴</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30226</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劳务费</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r>
              <w:rPr>
                <w:rFonts w:hint="eastAsia" w:ascii="宋体" w:cs="Times New Roman"/>
                <w:color w:val="000000"/>
                <w:sz w:val="20"/>
                <w:szCs w:val="20"/>
              </w:rPr>
              <w:t>0.52</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30499</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其他对企事业单位的补贴</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30311</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住房公积金</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30227</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委托业务费</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债务利息支出</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30312</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提租补贴</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30228</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工会经费</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r>
              <w:rPr>
                <w:rFonts w:hint="eastAsia" w:ascii="宋体" w:cs="Times New Roman"/>
                <w:color w:val="000000"/>
                <w:sz w:val="20"/>
                <w:szCs w:val="20"/>
              </w:rPr>
              <w:t>3</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30701</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国内债务付息</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30313</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购房补贴</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30229</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福利费</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r>
              <w:rPr>
                <w:rFonts w:hint="eastAsia" w:ascii="宋体" w:cs="Times New Roman"/>
                <w:color w:val="000000"/>
                <w:sz w:val="20"/>
                <w:szCs w:val="20"/>
              </w:rPr>
              <w:t>3</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30707</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国外债务付息</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30314</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采暖补贴</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30231</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公务用车运行维护费</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r>
              <w:rPr>
                <w:rFonts w:hint="eastAsia" w:ascii="宋体" w:cs="Times New Roman"/>
                <w:color w:val="000000"/>
                <w:sz w:val="20"/>
                <w:szCs w:val="20"/>
              </w:rPr>
              <w:t>2.56</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其他支出</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30315</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物业服务补贴</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30239</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其他交通费用</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39906</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赠与</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30399</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其他对个人和家庭的补助支出</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30240</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税金及附加费用</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jc w:val="left"/>
              <w:rPr>
                <w:rFonts w:ascii="宋体" w:cs="Times New Roman"/>
                <w:color w:val="000000"/>
                <w:sz w:val="20"/>
                <w:szCs w:val="20"/>
              </w:rPr>
            </w:pPr>
          </w:p>
        </w:tc>
        <w:tc>
          <w:tcPr>
            <w:tcW w:w="2657" w:type="dxa"/>
            <w:tcBorders>
              <w:bottom w:val="single" w:color="000000" w:sz="4" w:space="0"/>
              <w:right w:val="single" w:color="000000" w:sz="4" w:space="0"/>
            </w:tcBorders>
            <w:vAlign w:val="center"/>
          </w:tcPr>
          <w:p>
            <w:pPr>
              <w:jc w:val="left"/>
              <w:rPr>
                <w:rFonts w:ascii="宋体" w:cs="Times New Roman"/>
                <w:color w:val="000000"/>
                <w:sz w:val="20"/>
                <w:szCs w:val="20"/>
              </w:rPr>
            </w:pP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2656" w:type="dxa"/>
            <w:tcBorders>
              <w:bottom w:val="single" w:color="000000" w:sz="4" w:space="0"/>
              <w:right w:val="single" w:color="000000" w:sz="4" w:space="0"/>
            </w:tcBorders>
            <w:vAlign w:val="center"/>
          </w:tcPr>
          <w:p>
            <w:pPr>
              <w:jc w:val="left"/>
              <w:rPr>
                <w:rFonts w:ascii="宋体" w:cs="Times New Roman"/>
                <w:color w:val="000000"/>
                <w:sz w:val="20"/>
                <w:szCs w:val="20"/>
              </w:rPr>
            </w:pP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30299</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其他商品和服务支出</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jc w:val="left"/>
              <w:rPr>
                <w:rFonts w:ascii="宋体" w:cs="Times New Roman"/>
                <w:color w:val="000000"/>
                <w:sz w:val="20"/>
                <w:szCs w:val="20"/>
              </w:rPr>
            </w:pPr>
          </w:p>
        </w:tc>
        <w:tc>
          <w:tcPr>
            <w:tcW w:w="2657" w:type="dxa"/>
            <w:tcBorders>
              <w:bottom w:val="single" w:color="000000" w:sz="4" w:space="0"/>
              <w:right w:val="single" w:color="000000" w:sz="4" w:space="0"/>
            </w:tcBorders>
            <w:vAlign w:val="center"/>
          </w:tcPr>
          <w:p>
            <w:pPr>
              <w:jc w:val="left"/>
              <w:rPr>
                <w:rFonts w:ascii="宋体" w:cs="Times New Roman"/>
                <w:color w:val="000000"/>
                <w:sz w:val="20"/>
                <w:szCs w:val="20"/>
              </w:rPr>
            </w:pP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7" w:type="dxa"/>
            <w:gridSpan w:val="2"/>
            <w:tcBorders>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人员经费合计</w:t>
            </w: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r>
              <w:rPr>
                <w:rFonts w:hint="eastAsia" w:ascii="宋体" w:cs="Times New Roman"/>
                <w:color w:val="000000"/>
                <w:sz w:val="20"/>
                <w:szCs w:val="20"/>
              </w:rPr>
              <w:t>228.25</w:t>
            </w:r>
          </w:p>
        </w:tc>
        <w:tc>
          <w:tcPr>
            <w:tcW w:w="7817" w:type="dxa"/>
            <w:gridSpan w:val="5"/>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公用经费合计</w:t>
            </w: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r>
              <w:rPr>
                <w:rFonts w:hint="eastAsia" w:ascii="宋体" w:cs="Times New Roman"/>
                <w:color w:val="000000"/>
                <w:sz w:val="20"/>
                <w:szCs w:val="20"/>
              </w:rPr>
              <w:t>88.92</w:t>
            </w:r>
          </w:p>
        </w:tc>
      </w:tr>
    </w:tbl>
    <w:p>
      <w:pPr>
        <w:rPr>
          <w:rFonts w:ascii="仿宋_GB2312" w:hAnsi="仿宋_GB2312" w:eastAsia="仿宋_GB2312" w:cs="Times New Roman"/>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6"/>
        <w:tblW w:w="13807" w:type="dxa"/>
        <w:tblInd w:w="-13" w:type="dxa"/>
        <w:tblLayout w:type="fixed"/>
        <w:tblCellMar>
          <w:top w:w="15" w:type="dxa"/>
          <w:left w:w="15" w:type="dxa"/>
          <w:bottom w:w="15" w:type="dxa"/>
          <w:right w:w="15" w:type="dxa"/>
        </w:tblCellMar>
      </w:tblPr>
      <w:tblGrid>
        <w:gridCol w:w="1506"/>
        <w:gridCol w:w="1071"/>
        <w:gridCol w:w="1025"/>
        <w:gridCol w:w="1025"/>
        <w:gridCol w:w="1025"/>
        <w:gridCol w:w="1478"/>
        <w:gridCol w:w="1025"/>
        <w:gridCol w:w="1071"/>
        <w:gridCol w:w="1025"/>
        <w:gridCol w:w="1025"/>
        <w:gridCol w:w="1025"/>
        <w:gridCol w:w="1506"/>
      </w:tblGrid>
      <w:tr>
        <w:tblPrEx>
          <w:tblLayout w:type="fixed"/>
          <w:tblCellMar>
            <w:top w:w="15" w:type="dxa"/>
            <w:left w:w="15" w:type="dxa"/>
            <w:bottom w:w="15" w:type="dxa"/>
            <w:right w:w="15" w:type="dxa"/>
          </w:tblCellMar>
        </w:tblPrEx>
        <w:trPr>
          <w:trHeight w:val="555" w:hRule="atLeast"/>
        </w:trPr>
        <w:tc>
          <w:tcPr>
            <w:tcW w:w="13807" w:type="dxa"/>
            <w:gridSpan w:val="12"/>
            <w:tcBorders>
              <w:right w:val="nil"/>
            </w:tcBorders>
            <w:vAlign w:val="center"/>
          </w:tcPr>
          <w:p>
            <w:pPr>
              <w:widowControl/>
              <w:jc w:val="center"/>
              <w:textAlignment w:val="center"/>
              <w:rPr>
                <w:rFonts w:ascii="黑体" w:hAnsi="宋体" w:eastAsia="黑体" w:cs="Times New Roman"/>
                <w:color w:val="000000"/>
                <w:sz w:val="30"/>
                <w:szCs w:val="30"/>
              </w:rPr>
            </w:pPr>
            <w:r>
              <w:rPr>
                <w:rFonts w:hint="eastAsia" w:ascii="黑体" w:hAnsi="宋体" w:eastAsia="黑体" w:cs="黑体"/>
                <w:color w:val="000000"/>
                <w:kern w:val="0"/>
                <w:sz w:val="30"/>
                <w:szCs w:val="30"/>
              </w:rPr>
              <w:t>一般公共预算财政拨款“三公”经费支出决算表</w:t>
            </w:r>
          </w:p>
        </w:tc>
      </w:tr>
      <w:tr>
        <w:tblPrEx>
          <w:tblLayout w:type="fixed"/>
          <w:tblCellMar>
            <w:top w:w="15" w:type="dxa"/>
            <w:left w:w="15" w:type="dxa"/>
            <w:bottom w:w="15" w:type="dxa"/>
            <w:right w:w="15" w:type="dxa"/>
          </w:tblCellMar>
        </w:tblPrEx>
        <w:trPr>
          <w:trHeight w:val="300" w:hRule="atLeast"/>
        </w:trPr>
        <w:tc>
          <w:tcPr>
            <w:tcW w:w="1506" w:type="dxa"/>
            <w:vAlign w:val="center"/>
          </w:tcPr>
          <w:p>
            <w:pPr>
              <w:widowControl/>
              <w:jc w:val="left"/>
              <w:textAlignment w:val="center"/>
              <w:rPr>
                <w:rFonts w:ascii="宋体" w:cs="Times New Roman"/>
                <w:color w:val="000000"/>
                <w:sz w:val="22"/>
              </w:rPr>
            </w:pPr>
          </w:p>
        </w:tc>
        <w:tc>
          <w:tcPr>
            <w:tcW w:w="1071" w:type="dxa"/>
            <w:vAlign w:val="center"/>
          </w:tcPr>
          <w:p>
            <w:pPr>
              <w:jc w:val="left"/>
              <w:rPr>
                <w:rFonts w:ascii="宋体" w:cs="Times New Roman"/>
                <w:color w:val="000000"/>
                <w:sz w:val="18"/>
                <w:szCs w:val="18"/>
              </w:rPr>
            </w:pPr>
          </w:p>
        </w:tc>
        <w:tc>
          <w:tcPr>
            <w:tcW w:w="1025" w:type="dxa"/>
            <w:vAlign w:val="center"/>
          </w:tcPr>
          <w:p>
            <w:pPr>
              <w:jc w:val="left"/>
              <w:rPr>
                <w:rFonts w:ascii="宋体" w:cs="Times New Roman"/>
                <w:color w:val="000000"/>
                <w:sz w:val="18"/>
                <w:szCs w:val="18"/>
              </w:rPr>
            </w:pPr>
          </w:p>
        </w:tc>
        <w:tc>
          <w:tcPr>
            <w:tcW w:w="1025" w:type="dxa"/>
            <w:vAlign w:val="center"/>
          </w:tcPr>
          <w:p>
            <w:pPr>
              <w:jc w:val="left"/>
              <w:rPr>
                <w:rFonts w:ascii="宋体" w:cs="Times New Roman"/>
                <w:color w:val="000000"/>
                <w:sz w:val="18"/>
                <w:szCs w:val="18"/>
              </w:rPr>
            </w:pPr>
          </w:p>
        </w:tc>
        <w:tc>
          <w:tcPr>
            <w:tcW w:w="1025" w:type="dxa"/>
            <w:vAlign w:val="center"/>
          </w:tcPr>
          <w:p>
            <w:pPr>
              <w:jc w:val="left"/>
              <w:rPr>
                <w:rFonts w:ascii="宋体" w:cs="Times New Roman"/>
                <w:color w:val="000000"/>
                <w:sz w:val="18"/>
                <w:szCs w:val="18"/>
              </w:rPr>
            </w:pPr>
          </w:p>
        </w:tc>
        <w:tc>
          <w:tcPr>
            <w:tcW w:w="1478" w:type="dxa"/>
            <w:vAlign w:val="center"/>
          </w:tcPr>
          <w:p>
            <w:pPr>
              <w:jc w:val="left"/>
              <w:rPr>
                <w:rFonts w:ascii="宋体" w:cs="Times New Roman"/>
                <w:color w:val="000000"/>
                <w:sz w:val="18"/>
                <w:szCs w:val="18"/>
              </w:rPr>
            </w:pPr>
          </w:p>
        </w:tc>
        <w:tc>
          <w:tcPr>
            <w:tcW w:w="1025" w:type="dxa"/>
            <w:vAlign w:val="center"/>
          </w:tcPr>
          <w:p>
            <w:pPr>
              <w:jc w:val="left"/>
              <w:rPr>
                <w:rFonts w:ascii="宋体" w:cs="Times New Roman"/>
                <w:color w:val="000000"/>
                <w:sz w:val="18"/>
                <w:szCs w:val="18"/>
              </w:rPr>
            </w:pPr>
          </w:p>
        </w:tc>
        <w:tc>
          <w:tcPr>
            <w:tcW w:w="1071" w:type="dxa"/>
            <w:vAlign w:val="center"/>
          </w:tcPr>
          <w:p>
            <w:pPr>
              <w:jc w:val="left"/>
              <w:rPr>
                <w:rFonts w:ascii="宋体" w:cs="Times New Roman"/>
                <w:color w:val="000000"/>
                <w:sz w:val="18"/>
                <w:szCs w:val="18"/>
              </w:rPr>
            </w:pPr>
          </w:p>
        </w:tc>
        <w:tc>
          <w:tcPr>
            <w:tcW w:w="1025" w:type="dxa"/>
            <w:vAlign w:val="center"/>
          </w:tcPr>
          <w:p>
            <w:pPr>
              <w:jc w:val="left"/>
              <w:rPr>
                <w:rFonts w:ascii="宋体" w:cs="Times New Roman"/>
                <w:color w:val="000000"/>
                <w:sz w:val="18"/>
                <w:szCs w:val="18"/>
              </w:rPr>
            </w:pPr>
          </w:p>
        </w:tc>
        <w:tc>
          <w:tcPr>
            <w:tcW w:w="1025" w:type="dxa"/>
            <w:vAlign w:val="center"/>
          </w:tcPr>
          <w:p>
            <w:pPr>
              <w:jc w:val="left"/>
              <w:rPr>
                <w:rFonts w:ascii="宋体" w:cs="Times New Roman"/>
                <w:color w:val="000000"/>
                <w:sz w:val="18"/>
                <w:szCs w:val="18"/>
              </w:rPr>
            </w:pPr>
          </w:p>
        </w:tc>
        <w:tc>
          <w:tcPr>
            <w:tcW w:w="1025" w:type="dxa"/>
            <w:vAlign w:val="center"/>
          </w:tcPr>
          <w:p>
            <w:pPr>
              <w:jc w:val="left"/>
              <w:rPr>
                <w:rFonts w:ascii="宋体" w:cs="Times New Roman"/>
                <w:color w:val="000000"/>
                <w:sz w:val="18"/>
                <w:szCs w:val="18"/>
              </w:rPr>
            </w:pPr>
          </w:p>
        </w:tc>
        <w:tc>
          <w:tcPr>
            <w:tcW w:w="1506" w:type="dxa"/>
            <w:tcBorders>
              <w:right w:val="nil"/>
            </w:tcBorders>
            <w:vAlign w:val="center"/>
          </w:tcPr>
          <w:p>
            <w:pPr>
              <w:widowControl/>
              <w:jc w:val="right"/>
              <w:textAlignment w:val="center"/>
              <w:rPr>
                <w:rFonts w:ascii="宋体" w:cs="Times New Roman"/>
                <w:color w:val="000000"/>
                <w:sz w:val="22"/>
              </w:rPr>
            </w:pPr>
            <w:r>
              <w:rPr>
                <w:rFonts w:hint="eastAsia" w:ascii="宋体" w:hAnsi="宋体" w:cs="宋体"/>
                <w:color w:val="000000"/>
                <w:kern w:val="0"/>
                <w:sz w:val="22"/>
                <w:szCs w:val="22"/>
              </w:rPr>
              <w:t>公开</w:t>
            </w:r>
            <w:r>
              <w:rPr>
                <w:rFonts w:ascii="宋体" w:hAnsi="宋体" w:cs="宋体"/>
                <w:color w:val="000000"/>
                <w:kern w:val="0"/>
                <w:sz w:val="22"/>
                <w:szCs w:val="22"/>
              </w:rPr>
              <w:t>07</w:t>
            </w:r>
            <w:r>
              <w:rPr>
                <w:rFonts w:hint="eastAsia" w:ascii="宋体" w:hAnsi="宋体" w:cs="宋体"/>
                <w:color w:val="000000"/>
                <w:kern w:val="0"/>
                <w:sz w:val="22"/>
                <w:szCs w:val="22"/>
              </w:rPr>
              <w:t>表</w:t>
            </w:r>
          </w:p>
        </w:tc>
      </w:tr>
      <w:tr>
        <w:tblPrEx>
          <w:tblLayout w:type="fixed"/>
          <w:tblCellMar>
            <w:top w:w="15" w:type="dxa"/>
            <w:left w:w="15" w:type="dxa"/>
            <w:bottom w:w="15" w:type="dxa"/>
            <w:right w:w="15" w:type="dxa"/>
          </w:tblCellMar>
        </w:tblPrEx>
        <w:trPr>
          <w:trHeight w:val="300" w:hRule="atLeast"/>
        </w:trPr>
        <w:tc>
          <w:tcPr>
            <w:tcW w:w="4627" w:type="dxa"/>
            <w:gridSpan w:val="4"/>
            <w:tcBorders>
              <w:bottom w:val="single" w:color="auto" w:sz="4" w:space="0"/>
            </w:tcBorders>
            <w:vAlign w:val="center"/>
          </w:tcPr>
          <w:p>
            <w:pPr>
              <w:jc w:val="left"/>
              <w:rPr>
                <w:rFonts w:ascii="宋体" w:cs="Times New Roman"/>
                <w:color w:val="000000"/>
                <w:sz w:val="18"/>
                <w:szCs w:val="18"/>
              </w:rPr>
            </w:pPr>
            <w:r>
              <w:rPr>
                <w:rFonts w:hint="eastAsia" w:ascii="宋体" w:hAnsi="宋体" w:cs="宋体"/>
                <w:color w:val="000000"/>
                <w:kern w:val="0"/>
                <w:sz w:val="22"/>
                <w:szCs w:val="22"/>
              </w:rPr>
              <w:t>部门：</w:t>
            </w:r>
            <w:r>
              <w:rPr>
                <w:rFonts w:hint="eastAsia" w:cs="宋体" w:asciiTheme="minorEastAsia" w:hAnsiTheme="minorEastAsia" w:eastAsiaTheme="minorEastAsia"/>
                <w:color w:val="000000"/>
                <w:kern w:val="0"/>
                <w:sz w:val="20"/>
                <w:szCs w:val="20"/>
              </w:rPr>
              <w:t>河南省周口市西华县林业局</w:t>
            </w:r>
          </w:p>
        </w:tc>
        <w:tc>
          <w:tcPr>
            <w:tcW w:w="1025" w:type="dxa"/>
            <w:tcBorders>
              <w:bottom w:val="single" w:color="auto" w:sz="4" w:space="0"/>
            </w:tcBorders>
            <w:vAlign w:val="center"/>
          </w:tcPr>
          <w:p>
            <w:pPr>
              <w:jc w:val="left"/>
              <w:rPr>
                <w:rFonts w:ascii="宋体" w:cs="Times New Roman"/>
                <w:color w:val="000000"/>
                <w:sz w:val="18"/>
                <w:szCs w:val="18"/>
              </w:rPr>
            </w:pPr>
          </w:p>
        </w:tc>
        <w:tc>
          <w:tcPr>
            <w:tcW w:w="1478" w:type="dxa"/>
            <w:tcBorders>
              <w:bottom w:val="single" w:color="auto" w:sz="4" w:space="0"/>
            </w:tcBorders>
            <w:vAlign w:val="center"/>
          </w:tcPr>
          <w:p>
            <w:pPr>
              <w:jc w:val="center"/>
              <w:rPr>
                <w:rFonts w:ascii="宋体" w:cs="Times New Roman"/>
                <w:color w:val="000000"/>
                <w:sz w:val="22"/>
              </w:rPr>
            </w:pPr>
          </w:p>
        </w:tc>
        <w:tc>
          <w:tcPr>
            <w:tcW w:w="1025" w:type="dxa"/>
            <w:tcBorders>
              <w:bottom w:val="single" w:color="auto" w:sz="4" w:space="0"/>
            </w:tcBorders>
            <w:vAlign w:val="center"/>
          </w:tcPr>
          <w:p>
            <w:pPr>
              <w:jc w:val="left"/>
              <w:rPr>
                <w:rFonts w:ascii="宋体" w:cs="Times New Roman"/>
                <w:color w:val="000000"/>
                <w:sz w:val="18"/>
                <w:szCs w:val="18"/>
              </w:rPr>
            </w:pPr>
          </w:p>
        </w:tc>
        <w:tc>
          <w:tcPr>
            <w:tcW w:w="1071" w:type="dxa"/>
            <w:tcBorders>
              <w:bottom w:val="single" w:color="auto" w:sz="4" w:space="0"/>
            </w:tcBorders>
            <w:vAlign w:val="center"/>
          </w:tcPr>
          <w:p>
            <w:pPr>
              <w:jc w:val="left"/>
              <w:rPr>
                <w:rFonts w:ascii="宋体" w:cs="Times New Roman"/>
                <w:color w:val="000000"/>
                <w:sz w:val="18"/>
                <w:szCs w:val="18"/>
              </w:rPr>
            </w:pPr>
          </w:p>
        </w:tc>
        <w:tc>
          <w:tcPr>
            <w:tcW w:w="1025" w:type="dxa"/>
            <w:tcBorders>
              <w:bottom w:val="single" w:color="auto" w:sz="4" w:space="0"/>
            </w:tcBorders>
            <w:vAlign w:val="center"/>
          </w:tcPr>
          <w:p>
            <w:pPr>
              <w:jc w:val="left"/>
              <w:rPr>
                <w:rFonts w:ascii="宋体" w:cs="Times New Roman"/>
                <w:color w:val="000000"/>
                <w:sz w:val="18"/>
                <w:szCs w:val="18"/>
              </w:rPr>
            </w:pPr>
          </w:p>
        </w:tc>
        <w:tc>
          <w:tcPr>
            <w:tcW w:w="1025" w:type="dxa"/>
            <w:tcBorders>
              <w:bottom w:val="single" w:color="auto" w:sz="4" w:space="0"/>
            </w:tcBorders>
            <w:vAlign w:val="center"/>
          </w:tcPr>
          <w:p>
            <w:pPr>
              <w:jc w:val="left"/>
              <w:rPr>
                <w:rFonts w:ascii="宋体" w:cs="Times New Roman"/>
                <w:color w:val="000000"/>
                <w:sz w:val="18"/>
                <w:szCs w:val="18"/>
              </w:rPr>
            </w:pPr>
          </w:p>
        </w:tc>
        <w:tc>
          <w:tcPr>
            <w:tcW w:w="1025" w:type="dxa"/>
            <w:tcBorders>
              <w:bottom w:val="single" w:color="auto" w:sz="4" w:space="0"/>
            </w:tcBorders>
            <w:vAlign w:val="center"/>
          </w:tcPr>
          <w:p>
            <w:pPr>
              <w:jc w:val="left"/>
              <w:rPr>
                <w:rFonts w:ascii="宋体" w:cs="Times New Roman"/>
                <w:color w:val="000000"/>
                <w:sz w:val="18"/>
                <w:szCs w:val="18"/>
              </w:rPr>
            </w:pPr>
          </w:p>
        </w:tc>
        <w:tc>
          <w:tcPr>
            <w:tcW w:w="1506" w:type="dxa"/>
            <w:tcBorders>
              <w:bottom w:val="single" w:color="auto" w:sz="4" w:space="0"/>
              <w:right w:val="nil"/>
            </w:tcBorders>
            <w:vAlign w:val="center"/>
          </w:tcPr>
          <w:p>
            <w:pPr>
              <w:widowControl/>
              <w:jc w:val="right"/>
              <w:textAlignment w:val="center"/>
              <w:rPr>
                <w:rFonts w:ascii="宋体" w:cs="Times New Roman"/>
                <w:color w:val="000000"/>
                <w:sz w:val="22"/>
              </w:rPr>
            </w:pPr>
            <w:r>
              <w:rPr>
                <w:rFonts w:hint="eastAsia" w:ascii="宋体" w:hAnsi="宋体" w:cs="宋体"/>
                <w:color w:val="000000"/>
                <w:kern w:val="0"/>
                <w:sz w:val="22"/>
                <w:szCs w:val="22"/>
              </w:rPr>
              <w:t>金额单位：万元</w:t>
            </w:r>
          </w:p>
        </w:tc>
      </w:tr>
      <w:tr>
        <w:tblPrEx>
          <w:tblLayout w:type="fixed"/>
          <w:tblCellMar>
            <w:top w:w="15" w:type="dxa"/>
            <w:left w:w="15" w:type="dxa"/>
            <w:bottom w:w="15" w:type="dxa"/>
            <w:right w:w="15" w:type="dxa"/>
          </w:tblCellMar>
        </w:tblPrEx>
        <w:trPr>
          <w:trHeight w:val="300" w:hRule="atLeast"/>
        </w:trPr>
        <w:tc>
          <w:tcPr>
            <w:tcW w:w="7130" w:type="dxa"/>
            <w:gridSpan w:val="6"/>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预算数</w:t>
            </w:r>
          </w:p>
        </w:tc>
        <w:tc>
          <w:tcPr>
            <w:tcW w:w="6677" w:type="dxa"/>
            <w:gridSpan w:val="6"/>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r>
      <w:tr>
        <w:tblPrEx>
          <w:tblLayout w:type="fixed"/>
          <w:tblCellMar>
            <w:top w:w="15" w:type="dxa"/>
            <w:left w:w="15" w:type="dxa"/>
            <w:bottom w:w="15" w:type="dxa"/>
            <w:right w:w="15" w:type="dxa"/>
          </w:tblCellMar>
        </w:tblPrEx>
        <w:trPr>
          <w:trHeight w:val="300" w:hRule="atLeast"/>
        </w:trPr>
        <w:tc>
          <w:tcPr>
            <w:tcW w:w="1506" w:type="dxa"/>
            <w:vMerge w:val="restart"/>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合计</w:t>
            </w:r>
          </w:p>
        </w:tc>
        <w:tc>
          <w:tcPr>
            <w:tcW w:w="107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因公出国（境）费</w:t>
            </w:r>
          </w:p>
        </w:tc>
        <w:tc>
          <w:tcPr>
            <w:tcW w:w="3075" w:type="dxa"/>
            <w:gridSpan w:val="3"/>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公务用车购置及运行费</w:t>
            </w:r>
          </w:p>
        </w:tc>
        <w:tc>
          <w:tcPr>
            <w:tcW w:w="1478"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公务接待费</w:t>
            </w:r>
          </w:p>
        </w:tc>
        <w:tc>
          <w:tcPr>
            <w:tcW w:w="1025"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合计</w:t>
            </w:r>
          </w:p>
        </w:tc>
        <w:tc>
          <w:tcPr>
            <w:tcW w:w="107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因公出国（境）费</w:t>
            </w:r>
          </w:p>
        </w:tc>
        <w:tc>
          <w:tcPr>
            <w:tcW w:w="3075" w:type="dxa"/>
            <w:gridSpan w:val="3"/>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公务用车购置及运行费</w:t>
            </w:r>
          </w:p>
        </w:tc>
        <w:tc>
          <w:tcPr>
            <w:tcW w:w="1506"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公务接待费</w:t>
            </w:r>
          </w:p>
        </w:tc>
      </w:tr>
      <w:tr>
        <w:tblPrEx>
          <w:tblLayout w:type="fixed"/>
          <w:tblCellMar>
            <w:top w:w="15" w:type="dxa"/>
            <w:left w:w="15" w:type="dxa"/>
            <w:bottom w:w="15" w:type="dxa"/>
            <w:right w:w="15" w:type="dxa"/>
          </w:tblCellMar>
        </w:tblPrEx>
        <w:trPr>
          <w:trHeight w:val="600" w:hRule="atLeast"/>
        </w:trPr>
        <w:tc>
          <w:tcPr>
            <w:tcW w:w="1506" w:type="dxa"/>
            <w:vMerge w:val="continue"/>
            <w:tcBorders>
              <w:top w:val="single" w:color="auto"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1071" w:type="dxa"/>
            <w:vMerge w:val="continue"/>
            <w:tcBorders>
              <w:top w:val="single" w:color="auto"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小计</w:t>
            </w: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公务用车购置费</w:t>
            </w: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公务用车运行费</w:t>
            </w:r>
          </w:p>
        </w:tc>
        <w:tc>
          <w:tcPr>
            <w:tcW w:w="1478" w:type="dxa"/>
            <w:vMerge w:val="continue"/>
            <w:tcBorders>
              <w:top w:val="single" w:color="auto"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1025" w:type="dxa"/>
            <w:vMerge w:val="continue"/>
            <w:tcBorders>
              <w:top w:val="single" w:color="auto"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1071" w:type="dxa"/>
            <w:vMerge w:val="continue"/>
            <w:tcBorders>
              <w:top w:val="single" w:color="auto"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小计</w:t>
            </w: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公务用车购置费</w:t>
            </w: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公务用车运行费</w:t>
            </w:r>
          </w:p>
        </w:tc>
        <w:tc>
          <w:tcPr>
            <w:tcW w:w="1506" w:type="dxa"/>
            <w:vMerge w:val="continue"/>
            <w:tcBorders>
              <w:top w:val="single" w:color="auto" w:sz="4" w:space="0"/>
              <w:bottom w:val="single" w:color="000000" w:sz="4" w:space="0"/>
              <w:right w:val="single" w:color="000000"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1506" w:type="dxa"/>
            <w:tcBorders>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1071"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102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c>
          <w:tcPr>
            <w:tcW w:w="102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w:t>
            </w:r>
          </w:p>
        </w:tc>
        <w:tc>
          <w:tcPr>
            <w:tcW w:w="102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w:t>
            </w:r>
          </w:p>
        </w:tc>
        <w:tc>
          <w:tcPr>
            <w:tcW w:w="1478"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6</w:t>
            </w:r>
          </w:p>
        </w:tc>
        <w:tc>
          <w:tcPr>
            <w:tcW w:w="102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7</w:t>
            </w:r>
          </w:p>
        </w:tc>
        <w:tc>
          <w:tcPr>
            <w:tcW w:w="1071"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8</w:t>
            </w:r>
          </w:p>
        </w:tc>
        <w:tc>
          <w:tcPr>
            <w:tcW w:w="102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9</w:t>
            </w:r>
          </w:p>
        </w:tc>
        <w:tc>
          <w:tcPr>
            <w:tcW w:w="102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10</w:t>
            </w:r>
          </w:p>
        </w:tc>
        <w:tc>
          <w:tcPr>
            <w:tcW w:w="102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11</w:t>
            </w:r>
          </w:p>
        </w:tc>
        <w:tc>
          <w:tcPr>
            <w:tcW w:w="150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12</w:t>
            </w:r>
          </w:p>
        </w:tc>
      </w:tr>
      <w:tr>
        <w:tblPrEx>
          <w:tblLayout w:type="fixed"/>
          <w:tblCellMar>
            <w:top w:w="15" w:type="dxa"/>
            <w:left w:w="15" w:type="dxa"/>
            <w:bottom w:w="15" w:type="dxa"/>
            <w:right w:w="15" w:type="dxa"/>
          </w:tblCellMar>
        </w:tblPrEx>
        <w:trPr>
          <w:trHeight w:val="300" w:hRule="atLeast"/>
        </w:trPr>
        <w:tc>
          <w:tcPr>
            <w:tcW w:w="1506" w:type="dxa"/>
            <w:tcBorders>
              <w:left w:val="single" w:color="000000" w:sz="4" w:space="0"/>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4.56</w:t>
            </w:r>
          </w:p>
        </w:tc>
        <w:tc>
          <w:tcPr>
            <w:tcW w:w="1071"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p>
        </w:tc>
        <w:tc>
          <w:tcPr>
            <w:tcW w:w="1025"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2.56</w:t>
            </w:r>
          </w:p>
        </w:tc>
        <w:tc>
          <w:tcPr>
            <w:tcW w:w="1025"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p>
        </w:tc>
        <w:tc>
          <w:tcPr>
            <w:tcW w:w="1025"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2.56</w:t>
            </w:r>
          </w:p>
        </w:tc>
        <w:tc>
          <w:tcPr>
            <w:tcW w:w="1478"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2</w:t>
            </w:r>
          </w:p>
        </w:tc>
        <w:tc>
          <w:tcPr>
            <w:tcW w:w="1025"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2.99</w:t>
            </w:r>
          </w:p>
        </w:tc>
        <w:tc>
          <w:tcPr>
            <w:tcW w:w="1071"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p>
        </w:tc>
        <w:tc>
          <w:tcPr>
            <w:tcW w:w="1025"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2.56</w:t>
            </w:r>
          </w:p>
        </w:tc>
        <w:tc>
          <w:tcPr>
            <w:tcW w:w="1025"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p>
        </w:tc>
        <w:tc>
          <w:tcPr>
            <w:tcW w:w="1025"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2.56</w:t>
            </w:r>
          </w:p>
        </w:tc>
        <w:tc>
          <w:tcPr>
            <w:tcW w:w="1506" w:type="dxa"/>
            <w:tcBorders>
              <w:bottom w:val="single" w:color="000000" w:sz="4" w:space="0"/>
              <w:right w:val="single" w:color="000000" w:sz="4" w:space="0"/>
            </w:tcBorders>
            <w:vAlign w:val="center"/>
          </w:tcPr>
          <w:p>
            <w:pPr>
              <w:jc w:val="right"/>
              <w:rPr>
                <w:rFonts w:cs="宋体" w:asciiTheme="minorEastAsia" w:hAnsiTheme="minorEastAsia" w:eastAsiaTheme="minorEastAsia"/>
                <w:color w:val="000000"/>
                <w:sz w:val="20"/>
                <w:szCs w:val="20"/>
              </w:rPr>
            </w:pPr>
            <w:r>
              <w:rPr>
                <w:rFonts w:hint="eastAsia" w:cs="宋体" w:asciiTheme="minorEastAsia" w:hAnsiTheme="minorEastAsia" w:eastAsiaTheme="minorEastAsia"/>
                <w:color w:val="000000"/>
                <w:sz w:val="20"/>
                <w:szCs w:val="20"/>
              </w:rPr>
              <w:t>0.43</w:t>
            </w:r>
          </w:p>
        </w:tc>
      </w:tr>
      <w:tr>
        <w:tblPrEx>
          <w:tblLayout w:type="fixed"/>
          <w:tblCellMar>
            <w:top w:w="15" w:type="dxa"/>
            <w:left w:w="15" w:type="dxa"/>
            <w:bottom w:w="15" w:type="dxa"/>
            <w:right w:w="15" w:type="dxa"/>
          </w:tblCellMar>
        </w:tblPrEx>
        <w:trPr>
          <w:trHeight w:val="600" w:hRule="atLeast"/>
        </w:trPr>
        <w:tc>
          <w:tcPr>
            <w:tcW w:w="13807" w:type="dxa"/>
            <w:gridSpan w:val="12"/>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注：本表反映部门本年度“三公”经费支出预决算情况。其中：</w:t>
            </w:r>
            <w:r>
              <w:rPr>
                <w:rFonts w:ascii="宋体" w:hAnsi="宋体" w:cs="宋体"/>
                <w:color w:val="000000"/>
                <w:kern w:val="0"/>
                <w:sz w:val="20"/>
                <w:szCs w:val="20"/>
              </w:rPr>
              <w:t>2017</w:t>
            </w:r>
            <w:r>
              <w:rPr>
                <w:rFonts w:hint="eastAsia" w:ascii="宋体" w:hAnsi="宋体" w:cs="宋体"/>
                <w:color w:val="000000"/>
                <w:kern w:val="0"/>
                <w:sz w:val="20"/>
                <w:szCs w:val="20"/>
              </w:rPr>
              <w:t>年度预算数为“三公”经费年初预算数，决算数是包括当年一般公共预算财政拨款和以前年度结转资金安排的实际支出。</w:t>
            </w:r>
          </w:p>
        </w:tc>
      </w:tr>
    </w:tbl>
    <w:p>
      <w:pPr>
        <w:rPr>
          <w:rFonts w:ascii="仿宋_GB2312" w:hAnsi="仿宋_GB2312" w:eastAsia="仿宋_GB2312" w:cs="Times New Roman"/>
          <w:sz w:val="32"/>
          <w:szCs w:val="32"/>
        </w:rPr>
      </w:pPr>
    </w:p>
    <w:p>
      <w:pPr>
        <w:rPr>
          <w:rFonts w:ascii="仿宋_GB2312" w:hAnsi="仿宋_GB2312" w:eastAsia="仿宋_GB2312" w:cs="Times New Roman"/>
          <w:sz w:val="32"/>
          <w:szCs w:val="32"/>
        </w:rPr>
      </w:pPr>
    </w:p>
    <w:p>
      <w:pPr>
        <w:rPr>
          <w:rFonts w:ascii="仿宋_GB2312" w:hAnsi="仿宋_GB2312" w:eastAsia="仿宋_GB2312" w:cs="Times New Roman"/>
          <w:sz w:val="32"/>
          <w:szCs w:val="32"/>
        </w:rPr>
      </w:pPr>
    </w:p>
    <w:p>
      <w:pPr>
        <w:rPr>
          <w:rFonts w:ascii="仿宋_GB2312" w:hAnsi="仿宋_GB2312" w:eastAsia="仿宋_GB2312" w:cs="Times New Roman"/>
          <w:sz w:val="32"/>
          <w:szCs w:val="32"/>
        </w:rPr>
      </w:pPr>
    </w:p>
    <w:p>
      <w:pPr>
        <w:rPr>
          <w:rFonts w:ascii="仿宋_GB2312" w:hAnsi="仿宋_GB2312" w:eastAsia="仿宋_GB2312" w:cs="Times New Roman"/>
          <w:sz w:val="32"/>
          <w:szCs w:val="32"/>
        </w:rPr>
      </w:pPr>
    </w:p>
    <w:p>
      <w:pPr>
        <w:rPr>
          <w:rFonts w:ascii="仿宋_GB2312" w:hAnsi="仿宋_GB2312" w:eastAsia="仿宋_GB2312" w:cs="Times New Roman"/>
          <w:sz w:val="32"/>
          <w:szCs w:val="32"/>
        </w:rPr>
      </w:pPr>
    </w:p>
    <w:p>
      <w:pPr>
        <w:rPr>
          <w:rFonts w:ascii="仿宋_GB2312" w:hAnsi="仿宋_GB2312" w:eastAsia="仿宋_GB2312" w:cs="Times New Roman"/>
          <w:sz w:val="32"/>
          <w:szCs w:val="32"/>
        </w:rPr>
      </w:pPr>
    </w:p>
    <w:tbl>
      <w:tblPr>
        <w:tblStyle w:val="6"/>
        <w:tblW w:w="13979" w:type="dxa"/>
        <w:tblInd w:w="-13" w:type="dxa"/>
        <w:tblLayout w:type="fixed"/>
        <w:tblCellMar>
          <w:top w:w="15" w:type="dxa"/>
          <w:left w:w="15" w:type="dxa"/>
          <w:bottom w:w="15" w:type="dxa"/>
          <w:right w:w="15" w:type="dxa"/>
        </w:tblCellMar>
      </w:tblPr>
      <w:tblGrid>
        <w:gridCol w:w="522"/>
        <w:gridCol w:w="352"/>
        <w:gridCol w:w="696"/>
        <w:gridCol w:w="1049"/>
        <w:gridCol w:w="580"/>
        <w:gridCol w:w="2190"/>
        <w:gridCol w:w="2220"/>
        <w:gridCol w:w="1640"/>
        <w:gridCol w:w="1572"/>
        <w:gridCol w:w="68"/>
        <w:gridCol w:w="983"/>
        <w:gridCol w:w="657"/>
        <w:gridCol w:w="1450"/>
      </w:tblGrid>
      <w:tr>
        <w:tblPrEx>
          <w:tblLayout w:type="fixed"/>
          <w:tblCellMar>
            <w:top w:w="15" w:type="dxa"/>
            <w:left w:w="15" w:type="dxa"/>
            <w:bottom w:w="15" w:type="dxa"/>
            <w:right w:w="15" w:type="dxa"/>
          </w:tblCellMar>
        </w:tblPrEx>
        <w:trPr>
          <w:trHeight w:val="375" w:hRule="atLeast"/>
        </w:trPr>
        <w:tc>
          <w:tcPr>
            <w:tcW w:w="13979" w:type="dxa"/>
            <w:gridSpan w:val="13"/>
            <w:tcBorders>
              <w:right w:val="nil"/>
            </w:tcBorders>
            <w:vAlign w:val="center"/>
          </w:tcPr>
          <w:p>
            <w:pPr>
              <w:widowControl/>
              <w:jc w:val="center"/>
              <w:textAlignment w:val="center"/>
              <w:rPr>
                <w:rFonts w:ascii="黑体" w:hAnsi="宋体" w:eastAsia="黑体" w:cs="Times New Roman"/>
                <w:color w:val="000000"/>
                <w:sz w:val="30"/>
                <w:szCs w:val="30"/>
              </w:rPr>
            </w:pPr>
            <w:r>
              <w:rPr>
                <w:rFonts w:hint="eastAsia" w:ascii="黑体" w:hAnsi="宋体" w:eastAsia="黑体" w:cs="黑体"/>
                <w:color w:val="000000"/>
                <w:kern w:val="0"/>
                <w:sz w:val="30"/>
                <w:szCs w:val="30"/>
              </w:rPr>
              <w:t>政府性基金预算财政拨款收入支出决算表</w:t>
            </w:r>
          </w:p>
        </w:tc>
      </w:tr>
      <w:tr>
        <w:tblPrEx>
          <w:tblLayout w:type="fixed"/>
          <w:tblCellMar>
            <w:top w:w="15" w:type="dxa"/>
            <w:left w:w="15" w:type="dxa"/>
            <w:bottom w:w="15" w:type="dxa"/>
            <w:right w:w="15" w:type="dxa"/>
          </w:tblCellMar>
        </w:tblPrEx>
        <w:trPr>
          <w:trHeight w:val="300" w:hRule="atLeast"/>
        </w:trPr>
        <w:tc>
          <w:tcPr>
            <w:tcW w:w="522" w:type="dxa"/>
            <w:vAlign w:val="center"/>
          </w:tcPr>
          <w:p>
            <w:pPr>
              <w:jc w:val="left"/>
              <w:rPr>
                <w:rFonts w:ascii="宋体" w:cs="Times New Roman"/>
                <w:color w:val="000000"/>
                <w:sz w:val="18"/>
                <w:szCs w:val="18"/>
              </w:rPr>
            </w:pPr>
          </w:p>
        </w:tc>
        <w:tc>
          <w:tcPr>
            <w:tcW w:w="1048" w:type="dxa"/>
            <w:gridSpan w:val="2"/>
            <w:vAlign w:val="center"/>
          </w:tcPr>
          <w:p>
            <w:pPr>
              <w:jc w:val="left"/>
              <w:rPr>
                <w:rFonts w:ascii="宋体" w:cs="Times New Roman"/>
                <w:color w:val="000000"/>
                <w:sz w:val="18"/>
                <w:szCs w:val="18"/>
              </w:rPr>
            </w:pPr>
          </w:p>
        </w:tc>
        <w:tc>
          <w:tcPr>
            <w:tcW w:w="1049" w:type="dxa"/>
            <w:vAlign w:val="center"/>
          </w:tcPr>
          <w:p>
            <w:pPr>
              <w:jc w:val="left"/>
              <w:rPr>
                <w:rFonts w:ascii="宋体" w:cs="Times New Roman"/>
                <w:color w:val="000000"/>
                <w:sz w:val="18"/>
                <w:szCs w:val="18"/>
              </w:rPr>
            </w:pPr>
          </w:p>
        </w:tc>
        <w:tc>
          <w:tcPr>
            <w:tcW w:w="580" w:type="dxa"/>
            <w:vAlign w:val="center"/>
          </w:tcPr>
          <w:p>
            <w:pPr>
              <w:jc w:val="left"/>
              <w:rPr>
                <w:rFonts w:ascii="宋体" w:cs="Times New Roman"/>
                <w:color w:val="000000"/>
                <w:sz w:val="18"/>
                <w:szCs w:val="18"/>
              </w:rPr>
            </w:pPr>
          </w:p>
        </w:tc>
        <w:tc>
          <w:tcPr>
            <w:tcW w:w="2190" w:type="dxa"/>
            <w:vAlign w:val="center"/>
          </w:tcPr>
          <w:p>
            <w:pPr>
              <w:jc w:val="left"/>
              <w:rPr>
                <w:rFonts w:ascii="宋体" w:cs="Times New Roman"/>
                <w:color w:val="000000"/>
                <w:sz w:val="18"/>
                <w:szCs w:val="18"/>
              </w:rPr>
            </w:pPr>
          </w:p>
        </w:tc>
        <w:tc>
          <w:tcPr>
            <w:tcW w:w="2220" w:type="dxa"/>
            <w:vAlign w:val="center"/>
          </w:tcPr>
          <w:p>
            <w:pPr>
              <w:jc w:val="left"/>
              <w:rPr>
                <w:rFonts w:ascii="宋体" w:cs="Times New Roman"/>
                <w:color w:val="000000"/>
                <w:sz w:val="18"/>
                <w:szCs w:val="18"/>
              </w:rPr>
            </w:pPr>
          </w:p>
        </w:tc>
        <w:tc>
          <w:tcPr>
            <w:tcW w:w="3212" w:type="dxa"/>
            <w:gridSpan w:val="2"/>
            <w:vAlign w:val="center"/>
          </w:tcPr>
          <w:p>
            <w:pPr>
              <w:jc w:val="left"/>
              <w:rPr>
                <w:rFonts w:ascii="宋体" w:cs="Times New Roman"/>
                <w:color w:val="000000"/>
                <w:sz w:val="18"/>
                <w:szCs w:val="18"/>
              </w:rPr>
            </w:pPr>
          </w:p>
        </w:tc>
        <w:tc>
          <w:tcPr>
            <w:tcW w:w="3158" w:type="dxa"/>
            <w:gridSpan w:val="4"/>
            <w:tcBorders>
              <w:right w:val="nil"/>
            </w:tcBorders>
            <w:vAlign w:val="center"/>
          </w:tcPr>
          <w:p>
            <w:pPr>
              <w:widowControl/>
              <w:jc w:val="right"/>
              <w:textAlignment w:val="center"/>
              <w:rPr>
                <w:rFonts w:ascii="宋体" w:cs="Times New Roman"/>
                <w:color w:val="000000"/>
                <w:sz w:val="22"/>
              </w:rPr>
            </w:pPr>
            <w:r>
              <w:rPr>
                <w:rFonts w:hint="eastAsia" w:ascii="宋体" w:hAnsi="宋体" w:cs="宋体"/>
                <w:color w:val="000000"/>
                <w:kern w:val="0"/>
                <w:sz w:val="22"/>
                <w:szCs w:val="22"/>
              </w:rPr>
              <w:t>公开</w:t>
            </w:r>
            <w:r>
              <w:rPr>
                <w:rFonts w:ascii="宋体" w:hAnsi="宋体" w:cs="宋体"/>
                <w:color w:val="000000"/>
                <w:kern w:val="0"/>
                <w:sz w:val="22"/>
                <w:szCs w:val="22"/>
              </w:rPr>
              <w:t>08</w:t>
            </w:r>
            <w:r>
              <w:rPr>
                <w:rFonts w:hint="eastAsia" w:ascii="宋体" w:hAnsi="宋体" w:cs="宋体"/>
                <w:color w:val="000000"/>
                <w:kern w:val="0"/>
                <w:sz w:val="22"/>
                <w:szCs w:val="22"/>
              </w:rPr>
              <w:t>表</w:t>
            </w:r>
          </w:p>
        </w:tc>
      </w:tr>
      <w:tr>
        <w:tblPrEx>
          <w:tblLayout w:type="fixed"/>
          <w:tblCellMar>
            <w:top w:w="15" w:type="dxa"/>
            <w:left w:w="15" w:type="dxa"/>
            <w:bottom w:w="15" w:type="dxa"/>
            <w:right w:w="15" w:type="dxa"/>
          </w:tblCellMar>
        </w:tblPrEx>
        <w:trPr>
          <w:trHeight w:val="300" w:hRule="atLeast"/>
        </w:trPr>
        <w:tc>
          <w:tcPr>
            <w:tcW w:w="3199" w:type="dxa"/>
            <w:gridSpan w:val="5"/>
            <w:tcBorders>
              <w:bottom w:val="single" w:color="auto" w:sz="4" w:space="0"/>
            </w:tcBorders>
            <w:vAlign w:val="center"/>
          </w:tcPr>
          <w:p>
            <w:pPr>
              <w:jc w:val="left"/>
              <w:rPr>
                <w:rFonts w:ascii="宋体" w:cs="Times New Roman"/>
                <w:color w:val="000000"/>
                <w:sz w:val="18"/>
                <w:szCs w:val="18"/>
              </w:rPr>
            </w:pPr>
            <w:r>
              <w:rPr>
                <w:rFonts w:hint="eastAsia" w:ascii="宋体" w:hAnsi="宋体" w:cs="宋体"/>
                <w:color w:val="000000"/>
                <w:kern w:val="0"/>
                <w:sz w:val="22"/>
                <w:szCs w:val="22"/>
              </w:rPr>
              <w:t>部门：</w:t>
            </w:r>
            <w:r>
              <w:rPr>
                <w:rFonts w:hint="eastAsia" w:cs="宋体" w:asciiTheme="minorEastAsia" w:hAnsiTheme="minorEastAsia" w:eastAsiaTheme="minorEastAsia"/>
                <w:color w:val="000000"/>
                <w:kern w:val="0"/>
                <w:sz w:val="20"/>
                <w:szCs w:val="20"/>
              </w:rPr>
              <w:t>河南省周口市西华县林业局</w:t>
            </w:r>
          </w:p>
        </w:tc>
        <w:tc>
          <w:tcPr>
            <w:tcW w:w="2190" w:type="dxa"/>
            <w:tcBorders>
              <w:bottom w:val="single" w:color="auto" w:sz="4" w:space="0"/>
            </w:tcBorders>
            <w:vAlign w:val="center"/>
          </w:tcPr>
          <w:p>
            <w:pPr>
              <w:widowControl/>
              <w:jc w:val="center"/>
              <w:textAlignment w:val="center"/>
              <w:rPr>
                <w:rFonts w:ascii="宋体" w:cs="Times New Roman"/>
                <w:color w:val="000000"/>
                <w:sz w:val="22"/>
              </w:rPr>
            </w:pPr>
          </w:p>
        </w:tc>
        <w:tc>
          <w:tcPr>
            <w:tcW w:w="2220" w:type="dxa"/>
            <w:tcBorders>
              <w:bottom w:val="single" w:color="auto" w:sz="4" w:space="0"/>
            </w:tcBorders>
            <w:vAlign w:val="center"/>
          </w:tcPr>
          <w:p>
            <w:pPr>
              <w:jc w:val="left"/>
              <w:rPr>
                <w:rFonts w:ascii="宋体" w:cs="Times New Roman"/>
                <w:color w:val="000000"/>
                <w:sz w:val="18"/>
                <w:szCs w:val="18"/>
              </w:rPr>
            </w:pPr>
          </w:p>
        </w:tc>
        <w:tc>
          <w:tcPr>
            <w:tcW w:w="3212" w:type="dxa"/>
            <w:gridSpan w:val="2"/>
            <w:tcBorders>
              <w:bottom w:val="single" w:color="auto" w:sz="4" w:space="0"/>
            </w:tcBorders>
            <w:vAlign w:val="center"/>
          </w:tcPr>
          <w:p>
            <w:pPr>
              <w:jc w:val="left"/>
              <w:rPr>
                <w:rFonts w:ascii="宋体" w:cs="Times New Roman"/>
                <w:color w:val="000000"/>
                <w:sz w:val="18"/>
                <w:szCs w:val="18"/>
              </w:rPr>
            </w:pPr>
          </w:p>
        </w:tc>
        <w:tc>
          <w:tcPr>
            <w:tcW w:w="1051" w:type="dxa"/>
            <w:gridSpan w:val="2"/>
            <w:tcBorders>
              <w:bottom w:val="single" w:color="auto" w:sz="4" w:space="0"/>
            </w:tcBorders>
            <w:vAlign w:val="center"/>
          </w:tcPr>
          <w:p>
            <w:pPr>
              <w:jc w:val="left"/>
              <w:rPr>
                <w:rFonts w:ascii="宋体" w:cs="Times New Roman"/>
                <w:color w:val="000000"/>
                <w:sz w:val="18"/>
                <w:szCs w:val="18"/>
              </w:rPr>
            </w:pPr>
          </w:p>
        </w:tc>
        <w:tc>
          <w:tcPr>
            <w:tcW w:w="2107" w:type="dxa"/>
            <w:gridSpan w:val="2"/>
            <w:tcBorders>
              <w:bottom w:val="single" w:color="auto" w:sz="4" w:space="0"/>
              <w:right w:val="nil"/>
            </w:tcBorders>
            <w:vAlign w:val="center"/>
          </w:tcPr>
          <w:p>
            <w:pPr>
              <w:widowControl/>
              <w:jc w:val="right"/>
              <w:textAlignment w:val="center"/>
              <w:rPr>
                <w:rFonts w:ascii="宋体" w:cs="Times New Roman"/>
                <w:color w:val="000000"/>
                <w:sz w:val="22"/>
              </w:rPr>
            </w:pPr>
            <w:r>
              <w:rPr>
                <w:rFonts w:hint="eastAsia" w:ascii="宋体" w:hAnsi="宋体" w:cs="宋体"/>
                <w:color w:val="000000"/>
                <w:kern w:val="0"/>
                <w:sz w:val="22"/>
                <w:szCs w:val="22"/>
              </w:rPr>
              <w:t>金额单位：万元</w:t>
            </w:r>
          </w:p>
        </w:tc>
      </w:tr>
      <w:tr>
        <w:tblPrEx>
          <w:tblLayout w:type="fixed"/>
          <w:tblCellMar>
            <w:top w:w="15" w:type="dxa"/>
            <w:left w:w="15" w:type="dxa"/>
            <w:bottom w:w="15" w:type="dxa"/>
            <w:right w:w="15" w:type="dxa"/>
          </w:tblCellMar>
        </w:tblPrEx>
        <w:trPr>
          <w:trHeight w:val="300" w:hRule="atLeast"/>
        </w:trPr>
        <w:tc>
          <w:tcPr>
            <w:tcW w:w="3199"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项目</w:t>
            </w:r>
          </w:p>
        </w:tc>
        <w:tc>
          <w:tcPr>
            <w:tcW w:w="219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年初结转和结余</w:t>
            </w:r>
          </w:p>
        </w:tc>
        <w:tc>
          <w:tcPr>
            <w:tcW w:w="222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本年收入</w:t>
            </w:r>
          </w:p>
        </w:tc>
        <w:tc>
          <w:tcPr>
            <w:tcW w:w="4920"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本年支出</w:t>
            </w:r>
          </w:p>
        </w:tc>
        <w:tc>
          <w:tcPr>
            <w:tcW w:w="145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年末结转和结余</w:t>
            </w:r>
          </w:p>
        </w:tc>
      </w:tr>
      <w:tr>
        <w:tblPrEx>
          <w:tblLayout w:type="fixed"/>
          <w:tblCellMar>
            <w:top w:w="15" w:type="dxa"/>
            <w:left w:w="15" w:type="dxa"/>
            <w:bottom w:w="15" w:type="dxa"/>
            <w:right w:w="15" w:type="dxa"/>
          </w:tblCellMar>
        </w:tblPrEx>
        <w:trPr>
          <w:trHeight w:val="312" w:hRule="atLeast"/>
        </w:trPr>
        <w:tc>
          <w:tcPr>
            <w:tcW w:w="874" w:type="dxa"/>
            <w:gridSpan w:val="2"/>
            <w:vMerge w:val="restart"/>
            <w:tcBorders>
              <w:left w:val="single" w:color="000000" w:sz="4" w:space="0"/>
              <w:bottom w:val="single" w:color="000000"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功能分类科目编码</w:t>
            </w:r>
          </w:p>
        </w:tc>
        <w:tc>
          <w:tcPr>
            <w:tcW w:w="2325"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219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c>
          <w:tcPr>
            <w:tcW w:w="222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c>
          <w:tcPr>
            <w:tcW w:w="16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小计</w:t>
            </w:r>
          </w:p>
        </w:tc>
        <w:tc>
          <w:tcPr>
            <w:tcW w:w="1640"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基本支出</w:t>
            </w:r>
          </w:p>
        </w:tc>
        <w:tc>
          <w:tcPr>
            <w:tcW w:w="1640"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项目支出</w:t>
            </w:r>
          </w:p>
        </w:tc>
        <w:tc>
          <w:tcPr>
            <w:tcW w:w="145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12" w:hRule="atLeast"/>
        </w:trPr>
        <w:tc>
          <w:tcPr>
            <w:tcW w:w="874" w:type="dxa"/>
            <w:gridSpan w:val="2"/>
            <w:vMerge w:val="continue"/>
            <w:tcBorders>
              <w:left w:val="single" w:color="000000" w:sz="4" w:space="0"/>
              <w:bottom w:val="single" w:color="000000" w:sz="4" w:space="0"/>
              <w:right w:val="single" w:color="auto" w:sz="4" w:space="0"/>
            </w:tcBorders>
            <w:vAlign w:val="center"/>
          </w:tcPr>
          <w:p>
            <w:pPr>
              <w:jc w:val="center"/>
              <w:rPr>
                <w:rFonts w:ascii="宋体" w:cs="Times New Roman"/>
                <w:color w:val="000000"/>
                <w:sz w:val="20"/>
                <w:szCs w:val="20"/>
              </w:rPr>
            </w:pPr>
          </w:p>
        </w:tc>
        <w:tc>
          <w:tcPr>
            <w:tcW w:w="2325"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219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222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64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640"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640"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450" w:type="dxa"/>
            <w:vMerge w:val="continue"/>
            <w:tcBorders>
              <w:top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12" w:hRule="atLeast"/>
        </w:trPr>
        <w:tc>
          <w:tcPr>
            <w:tcW w:w="874" w:type="dxa"/>
            <w:gridSpan w:val="2"/>
            <w:vMerge w:val="continue"/>
            <w:tcBorders>
              <w:left w:val="single" w:color="000000" w:sz="4" w:space="0"/>
              <w:bottom w:val="single" w:color="000000" w:sz="4" w:space="0"/>
              <w:right w:val="single" w:color="auto" w:sz="4" w:space="0"/>
            </w:tcBorders>
            <w:vAlign w:val="center"/>
          </w:tcPr>
          <w:p>
            <w:pPr>
              <w:jc w:val="center"/>
              <w:rPr>
                <w:rFonts w:ascii="宋体" w:cs="Times New Roman"/>
                <w:color w:val="000000"/>
                <w:sz w:val="20"/>
                <w:szCs w:val="20"/>
              </w:rPr>
            </w:pPr>
          </w:p>
        </w:tc>
        <w:tc>
          <w:tcPr>
            <w:tcW w:w="2325"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219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222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64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640"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640"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450" w:type="dxa"/>
            <w:vMerge w:val="continue"/>
            <w:tcBorders>
              <w:top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199" w:type="dxa"/>
            <w:gridSpan w:val="5"/>
            <w:tcBorders>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栏次</w:t>
            </w:r>
          </w:p>
        </w:tc>
        <w:tc>
          <w:tcPr>
            <w:tcW w:w="2190"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2220"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1640"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c>
          <w:tcPr>
            <w:tcW w:w="1640" w:type="dxa"/>
            <w:gridSpan w:val="2"/>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w:t>
            </w:r>
          </w:p>
        </w:tc>
        <w:tc>
          <w:tcPr>
            <w:tcW w:w="1640" w:type="dxa"/>
            <w:gridSpan w:val="2"/>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w:t>
            </w:r>
          </w:p>
        </w:tc>
        <w:tc>
          <w:tcPr>
            <w:tcW w:w="1450"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6</w:t>
            </w:r>
          </w:p>
        </w:tc>
      </w:tr>
      <w:tr>
        <w:tblPrEx>
          <w:tblLayout w:type="fixed"/>
          <w:tblCellMar>
            <w:top w:w="15" w:type="dxa"/>
            <w:left w:w="15" w:type="dxa"/>
            <w:bottom w:w="15" w:type="dxa"/>
            <w:right w:w="15" w:type="dxa"/>
          </w:tblCellMar>
        </w:tblPrEx>
        <w:trPr>
          <w:trHeight w:val="300" w:hRule="atLeast"/>
        </w:trPr>
        <w:tc>
          <w:tcPr>
            <w:tcW w:w="3199" w:type="dxa"/>
            <w:gridSpan w:val="5"/>
            <w:tcBorders>
              <w:left w:val="single" w:color="000000" w:sz="4" w:space="0"/>
              <w:bottom w:val="single" w:color="000000" w:sz="4" w:space="0"/>
              <w:right w:val="single" w:color="000000" w:sz="4" w:space="0"/>
            </w:tcBorders>
            <w:vAlign w:val="center"/>
          </w:tcPr>
          <w:p>
            <w:pPr>
              <w:widowControl/>
              <w:textAlignment w:val="center"/>
              <w:rPr>
                <w:rFonts w:ascii="宋体" w:cs="Times New Roman"/>
                <w:color w:val="000000"/>
                <w:sz w:val="20"/>
                <w:szCs w:val="20"/>
              </w:rPr>
            </w:pPr>
            <w:r>
              <w:rPr>
                <w:rFonts w:hint="eastAsia" w:ascii="宋体" w:hAnsi="宋体" w:cs="宋体"/>
                <w:color w:val="000000"/>
                <w:kern w:val="0"/>
                <w:sz w:val="20"/>
                <w:szCs w:val="20"/>
              </w:rPr>
              <w:t>合计</w:t>
            </w:r>
          </w:p>
        </w:tc>
        <w:tc>
          <w:tcPr>
            <w:tcW w:w="2190" w:type="dxa"/>
            <w:tcBorders>
              <w:bottom w:val="single" w:color="000000" w:sz="4" w:space="0"/>
              <w:right w:val="single" w:color="000000" w:sz="4" w:space="0"/>
            </w:tcBorders>
            <w:vAlign w:val="center"/>
          </w:tcPr>
          <w:p>
            <w:pPr>
              <w:jc w:val="right"/>
              <w:rPr>
                <w:rFonts w:ascii="宋体" w:cs="Times New Roman"/>
                <w:b/>
                <w:bCs/>
                <w:color w:val="000000"/>
                <w:sz w:val="20"/>
                <w:szCs w:val="20"/>
              </w:rPr>
            </w:pPr>
            <w:r>
              <w:rPr>
                <w:rFonts w:hint="eastAsia" w:ascii="宋体" w:cs="Times New Roman"/>
                <w:b/>
                <w:bCs/>
                <w:color w:val="000000"/>
                <w:sz w:val="20"/>
                <w:szCs w:val="20"/>
              </w:rPr>
              <w:t>0</w:t>
            </w:r>
          </w:p>
        </w:tc>
        <w:tc>
          <w:tcPr>
            <w:tcW w:w="2220" w:type="dxa"/>
            <w:tcBorders>
              <w:bottom w:val="single" w:color="000000" w:sz="4" w:space="0"/>
              <w:right w:val="single" w:color="000000" w:sz="4" w:space="0"/>
            </w:tcBorders>
            <w:vAlign w:val="center"/>
          </w:tcPr>
          <w:p>
            <w:pPr>
              <w:jc w:val="right"/>
              <w:rPr>
                <w:rFonts w:ascii="宋体" w:cs="Times New Roman"/>
                <w:b/>
                <w:bCs/>
                <w:color w:val="000000"/>
                <w:sz w:val="20"/>
                <w:szCs w:val="20"/>
              </w:rPr>
            </w:pPr>
            <w:r>
              <w:rPr>
                <w:rFonts w:hint="eastAsia" w:ascii="宋体" w:cs="Times New Roman"/>
                <w:b/>
                <w:bCs/>
                <w:color w:val="000000"/>
                <w:sz w:val="20"/>
                <w:szCs w:val="20"/>
              </w:rPr>
              <w:t>0</w:t>
            </w:r>
          </w:p>
        </w:tc>
        <w:tc>
          <w:tcPr>
            <w:tcW w:w="1640" w:type="dxa"/>
            <w:tcBorders>
              <w:bottom w:val="single" w:color="000000" w:sz="4" w:space="0"/>
              <w:right w:val="single" w:color="000000" w:sz="4" w:space="0"/>
            </w:tcBorders>
            <w:vAlign w:val="center"/>
          </w:tcPr>
          <w:p>
            <w:pPr>
              <w:jc w:val="right"/>
              <w:rPr>
                <w:rFonts w:ascii="宋体" w:cs="Times New Roman"/>
                <w:b/>
                <w:bCs/>
                <w:color w:val="000000"/>
                <w:sz w:val="20"/>
                <w:szCs w:val="20"/>
              </w:rPr>
            </w:pPr>
            <w:r>
              <w:rPr>
                <w:rFonts w:hint="eastAsia" w:ascii="宋体" w:cs="Times New Roman"/>
                <w:b/>
                <w:bCs/>
                <w:color w:val="000000"/>
                <w:sz w:val="20"/>
                <w:szCs w:val="20"/>
              </w:rPr>
              <w:t>0</w:t>
            </w:r>
          </w:p>
        </w:tc>
        <w:tc>
          <w:tcPr>
            <w:tcW w:w="1640" w:type="dxa"/>
            <w:gridSpan w:val="2"/>
            <w:tcBorders>
              <w:bottom w:val="single" w:color="000000" w:sz="4" w:space="0"/>
              <w:right w:val="single" w:color="000000" w:sz="4" w:space="0"/>
            </w:tcBorders>
            <w:vAlign w:val="center"/>
          </w:tcPr>
          <w:p>
            <w:pPr>
              <w:jc w:val="right"/>
              <w:rPr>
                <w:rFonts w:ascii="宋体" w:cs="Times New Roman"/>
                <w:b/>
                <w:bCs/>
                <w:color w:val="000000"/>
                <w:sz w:val="20"/>
                <w:szCs w:val="20"/>
              </w:rPr>
            </w:pPr>
            <w:r>
              <w:rPr>
                <w:rFonts w:hint="eastAsia" w:ascii="宋体" w:cs="Times New Roman"/>
                <w:b/>
                <w:bCs/>
                <w:color w:val="000000"/>
                <w:sz w:val="20"/>
                <w:szCs w:val="20"/>
              </w:rPr>
              <w:t>0</w:t>
            </w:r>
          </w:p>
        </w:tc>
        <w:tc>
          <w:tcPr>
            <w:tcW w:w="1640" w:type="dxa"/>
            <w:gridSpan w:val="2"/>
            <w:tcBorders>
              <w:bottom w:val="single" w:color="000000" w:sz="4" w:space="0"/>
              <w:right w:val="single" w:color="000000" w:sz="4" w:space="0"/>
            </w:tcBorders>
            <w:vAlign w:val="center"/>
          </w:tcPr>
          <w:p>
            <w:pPr>
              <w:jc w:val="right"/>
              <w:rPr>
                <w:rFonts w:ascii="宋体" w:cs="Times New Roman"/>
                <w:b/>
                <w:bCs/>
                <w:color w:val="000000"/>
                <w:sz w:val="20"/>
                <w:szCs w:val="20"/>
              </w:rPr>
            </w:pPr>
            <w:r>
              <w:rPr>
                <w:rFonts w:hint="eastAsia" w:ascii="宋体" w:cs="Times New Roman"/>
                <w:b/>
                <w:bCs/>
                <w:color w:val="000000"/>
                <w:sz w:val="20"/>
                <w:szCs w:val="20"/>
              </w:rPr>
              <w:t>0</w:t>
            </w:r>
          </w:p>
        </w:tc>
        <w:tc>
          <w:tcPr>
            <w:tcW w:w="1450" w:type="dxa"/>
            <w:tcBorders>
              <w:bottom w:val="single" w:color="000000" w:sz="4" w:space="0"/>
              <w:right w:val="single" w:color="000000" w:sz="4" w:space="0"/>
            </w:tcBorders>
            <w:vAlign w:val="center"/>
          </w:tcPr>
          <w:p>
            <w:pPr>
              <w:jc w:val="right"/>
              <w:rPr>
                <w:rFonts w:ascii="宋体" w:cs="Times New Roman"/>
                <w:b/>
                <w:bCs/>
                <w:color w:val="000000"/>
                <w:sz w:val="20"/>
                <w:szCs w:val="20"/>
              </w:rPr>
            </w:pPr>
            <w:r>
              <w:rPr>
                <w:rFonts w:hint="eastAsia" w:ascii="宋体" w:cs="Times New Roman"/>
                <w:b/>
                <w:bCs/>
                <w:color w:val="000000"/>
                <w:sz w:val="20"/>
                <w:szCs w:val="20"/>
              </w:rPr>
              <w:t>0</w:t>
            </w:r>
          </w:p>
        </w:tc>
      </w:tr>
      <w:tr>
        <w:tblPrEx>
          <w:tblLayout w:type="fixed"/>
          <w:tblCellMar>
            <w:top w:w="15" w:type="dxa"/>
            <w:left w:w="15" w:type="dxa"/>
            <w:bottom w:w="15" w:type="dxa"/>
            <w:right w:w="15" w:type="dxa"/>
          </w:tblCellMar>
        </w:tblPrEx>
        <w:trPr>
          <w:trHeight w:val="300" w:hRule="atLeast"/>
        </w:trPr>
        <w:tc>
          <w:tcPr>
            <w:tcW w:w="874" w:type="dxa"/>
            <w:gridSpan w:val="2"/>
            <w:tcBorders>
              <w:left w:val="single" w:color="000000" w:sz="4" w:space="0"/>
              <w:bottom w:val="single" w:color="000000" w:sz="4" w:space="0"/>
              <w:right w:val="single" w:color="000000" w:sz="4" w:space="0"/>
            </w:tcBorders>
            <w:vAlign w:val="center"/>
          </w:tcPr>
          <w:p>
            <w:pPr>
              <w:jc w:val="left"/>
              <w:rPr>
                <w:rFonts w:ascii="宋体" w:cs="Times New Roman"/>
                <w:b/>
                <w:bCs/>
                <w:color w:val="000000"/>
                <w:sz w:val="20"/>
                <w:szCs w:val="20"/>
              </w:rPr>
            </w:pPr>
          </w:p>
        </w:tc>
        <w:tc>
          <w:tcPr>
            <w:tcW w:w="2325" w:type="dxa"/>
            <w:gridSpan w:val="3"/>
            <w:tcBorders>
              <w:bottom w:val="single" w:color="000000" w:sz="4" w:space="0"/>
              <w:right w:val="single" w:color="000000" w:sz="4" w:space="0"/>
            </w:tcBorders>
            <w:vAlign w:val="center"/>
          </w:tcPr>
          <w:p>
            <w:pPr>
              <w:jc w:val="left"/>
              <w:rPr>
                <w:rFonts w:ascii="宋体" w:cs="Times New Roman"/>
                <w:b/>
                <w:bCs/>
                <w:color w:val="000000"/>
                <w:sz w:val="20"/>
                <w:szCs w:val="20"/>
              </w:rPr>
            </w:pPr>
          </w:p>
        </w:tc>
        <w:tc>
          <w:tcPr>
            <w:tcW w:w="2190" w:type="dxa"/>
            <w:tcBorders>
              <w:bottom w:val="single" w:color="000000" w:sz="4" w:space="0"/>
              <w:right w:val="single" w:color="000000" w:sz="4" w:space="0"/>
            </w:tcBorders>
            <w:vAlign w:val="center"/>
          </w:tcPr>
          <w:p>
            <w:pPr>
              <w:jc w:val="right"/>
              <w:rPr>
                <w:rFonts w:ascii="宋体" w:cs="Times New Roman"/>
                <w:b/>
                <w:bCs/>
                <w:color w:val="000000"/>
                <w:sz w:val="20"/>
                <w:szCs w:val="20"/>
              </w:rPr>
            </w:pPr>
          </w:p>
        </w:tc>
        <w:tc>
          <w:tcPr>
            <w:tcW w:w="2220" w:type="dxa"/>
            <w:tcBorders>
              <w:bottom w:val="single" w:color="000000" w:sz="4" w:space="0"/>
              <w:right w:val="single" w:color="000000" w:sz="4" w:space="0"/>
            </w:tcBorders>
            <w:vAlign w:val="center"/>
          </w:tcPr>
          <w:p>
            <w:pPr>
              <w:jc w:val="right"/>
              <w:rPr>
                <w:rFonts w:ascii="宋体" w:cs="Times New Roman"/>
                <w:b/>
                <w:bCs/>
                <w:color w:val="000000"/>
                <w:sz w:val="20"/>
                <w:szCs w:val="20"/>
              </w:rPr>
            </w:pPr>
          </w:p>
        </w:tc>
        <w:tc>
          <w:tcPr>
            <w:tcW w:w="1640" w:type="dxa"/>
            <w:tcBorders>
              <w:bottom w:val="single" w:color="000000" w:sz="4" w:space="0"/>
              <w:right w:val="single" w:color="000000" w:sz="4" w:space="0"/>
            </w:tcBorders>
            <w:vAlign w:val="center"/>
          </w:tcPr>
          <w:p>
            <w:pPr>
              <w:jc w:val="right"/>
              <w:rPr>
                <w:rFonts w:ascii="宋体" w:cs="Times New Roman"/>
                <w:b/>
                <w:bCs/>
                <w:color w:val="000000"/>
                <w:sz w:val="20"/>
                <w:szCs w:val="20"/>
              </w:rPr>
            </w:pPr>
          </w:p>
        </w:tc>
        <w:tc>
          <w:tcPr>
            <w:tcW w:w="1640" w:type="dxa"/>
            <w:gridSpan w:val="2"/>
            <w:tcBorders>
              <w:bottom w:val="single" w:color="000000" w:sz="4" w:space="0"/>
              <w:right w:val="single" w:color="000000" w:sz="4" w:space="0"/>
            </w:tcBorders>
            <w:vAlign w:val="center"/>
          </w:tcPr>
          <w:p>
            <w:pPr>
              <w:jc w:val="right"/>
              <w:rPr>
                <w:rFonts w:ascii="宋体" w:cs="Times New Roman"/>
                <w:b/>
                <w:bCs/>
                <w:color w:val="000000"/>
                <w:sz w:val="20"/>
                <w:szCs w:val="20"/>
              </w:rPr>
            </w:pPr>
          </w:p>
        </w:tc>
        <w:tc>
          <w:tcPr>
            <w:tcW w:w="1640" w:type="dxa"/>
            <w:gridSpan w:val="2"/>
            <w:tcBorders>
              <w:bottom w:val="single" w:color="000000" w:sz="4" w:space="0"/>
              <w:right w:val="single" w:color="000000" w:sz="4" w:space="0"/>
            </w:tcBorders>
            <w:vAlign w:val="center"/>
          </w:tcPr>
          <w:p>
            <w:pPr>
              <w:jc w:val="right"/>
              <w:rPr>
                <w:rFonts w:ascii="宋体" w:cs="Times New Roman"/>
                <w:b/>
                <w:bCs/>
                <w:color w:val="000000"/>
                <w:sz w:val="20"/>
                <w:szCs w:val="20"/>
              </w:rPr>
            </w:pPr>
          </w:p>
        </w:tc>
        <w:tc>
          <w:tcPr>
            <w:tcW w:w="1450" w:type="dxa"/>
            <w:tcBorders>
              <w:bottom w:val="single" w:color="000000" w:sz="4" w:space="0"/>
              <w:right w:val="single" w:color="000000" w:sz="4" w:space="0"/>
            </w:tcBorders>
            <w:vAlign w:val="center"/>
          </w:tcPr>
          <w:p>
            <w:pPr>
              <w:jc w:val="right"/>
              <w:rPr>
                <w:rFonts w:ascii="宋体" w:cs="Times New Roman"/>
                <w:b/>
                <w:bCs/>
                <w:color w:val="000000"/>
                <w:sz w:val="20"/>
                <w:szCs w:val="20"/>
              </w:rPr>
            </w:pPr>
          </w:p>
        </w:tc>
      </w:tr>
      <w:tr>
        <w:tblPrEx>
          <w:tblLayout w:type="fixed"/>
          <w:tblCellMar>
            <w:top w:w="15" w:type="dxa"/>
            <w:left w:w="15" w:type="dxa"/>
            <w:bottom w:w="15" w:type="dxa"/>
            <w:right w:w="15" w:type="dxa"/>
          </w:tblCellMar>
        </w:tblPrEx>
        <w:trPr>
          <w:trHeight w:val="300" w:hRule="atLeast"/>
        </w:trPr>
        <w:tc>
          <w:tcPr>
            <w:tcW w:w="874" w:type="dxa"/>
            <w:gridSpan w:val="2"/>
            <w:tcBorders>
              <w:left w:val="single" w:color="000000" w:sz="4" w:space="0"/>
              <w:bottom w:val="single" w:color="000000" w:sz="4" w:space="0"/>
              <w:right w:val="single" w:color="000000" w:sz="4" w:space="0"/>
            </w:tcBorders>
            <w:vAlign w:val="center"/>
          </w:tcPr>
          <w:p>
            <w:pPr>
              <w:jc w:val="left"/>
              <w:rPr>
                <w:rFonts w:ascii="宋体" w:cs="Times New Roman"/>
                <w:b/>
                <w:bCs/>
                <w:color w:val="000000"/>
                <w:sz w:val="20"/>
                <w:szCs w:val="20"/>
              </w:rPr>
            </w:pPr>
          </w:p>
        </w:tc>
        <w:tc>
          <w:tcPr>
            <w:tcW w:w="2325" w:type="dxa"/>
            <w:gridSpan w:val="3"/>
            <w:tcBorders>
              <w:bottom w:val="single" w:color="000000" w:sz="4" w:space="0"/>
              <w:right w:val="single" w:color="000000" w:sz="4" w:space="0"/>
            </w:tcBorders>
            <w:vAlign w:val="center"/>
          </w:tcPr>
          <w:p>
            <w:pPr>
              <w:jc w:val="left"/>
              <w:rPr>
                <w:rFonts w:ascii="宋体" w:cs="Times New Roman"/>
                <w:b/>
                <w:bCs/>
                <w:color w:val="000000"/>
                <w:sz w:val="20"/>
                <w:szCs w:val="20"/>
              </w:rPr>
            </w:pPr>
          </w:p>
        </w:tc>
        <w:tc>
          <w:tcPr>
            <w:tcW w:w="2190" w:type="dxa"/>
            <w:tcBorders>
              <w:bottom w:val="single" w:color="000000" w:sz="4" w:space="0"/>
              <w:right w:val="single" w:color="000000" w:sz="4" w:space="0"/>
            </w:tcBorders>
            <w:vAlign w:val="center"/>
          </w:tcPr>
          <w:p>
            <w:pPr>
              <w:jc w:val="right"/>
              <w:rPr>
                <w:rFonts w:ascii="宋体" w:cs="Times New Roman"/>
                <w:b/>
                <w:bCs/>
                <w:color w:val="000000"/>
                <w:sz w:val="20"/>
                <w:szCs w:val="20"/>
              </w:rPr>
            </w:pPr>
          </w:p>
        </w:tc>
        <w:tc>
          <w:tcPr>
            <w:tcW w:w="2220" w:type="dxa"/>
            <w:tcBorders>
              <w:bottom w:val="single" w:color="000000" w:sz="4" w:space="0"/>
              <w:right w:val="single" w:color="000000" w:sz="4" w:space="0"/>
            </w:tcBorders>
            <w:vAlign w:val="center"/>
          </w:tcPr>
          <w:p>
            <w:pPr>
              <w:jc w:val="right"/>
              <w:rPr>
                <w:rFonts w:ascii="宋体" w:cs="Times New Roman"/>
                <w:b/>
                <w:bCs/>
                <w:color w:val="000000"/>
                <w:sz w:val="20"/>
                <w:szCs w:val="20"/>
              </w:rPr>
            </w:pPr>
          </w:p>
        </w:tc>
        <w:tc>
          <w:tcPr>
            <w:tcW w:w="1640" w:type="dxa"/>
            <w:tcBorders>
              <w:bottom w:val="single" w:color="000000" w:sz="4" w:space="0"/>
              <w:right w:val="single" w:color="000000" w:sz="4" w:space="0"/>
            </w:tcBorders>
            <w:vAlign w:val="center"/>
          </w:tcPr>
          <w:p>
            <w:pPr>
              <w:jc w:val="right"/>
              <w:rPr>
                <w:rFonts w:ascii="宋体" w:cs="Times New Roman"/>
                <w:b/>
                <w:bCs/>
                <w:color w:val="000000"/>
                <w:sz w:val="20"/>
                <w:szCs w:val="20"/>
              </w:rPr>
            </w:pPr>
          </w:p>
        </w:tc>
        <w:tc>
          <w:tcPr>
            <w:tcW w:w="1640" w:type="dxa"/>
            <w:gridSpan w:val="2"/>
            <w:tcBorders>
              <w:bottom w:val="single" w:color="000000" w:sz="4" w:space="0"/>
              <w:right w:val="single" w:color="000000" w:sz="4" w:space="0"/>
            </w:tcBorders>
            <w:vAlign w:val="center"/>
          </w:tcPr>
          <w:p>
            <w:pPr>
              <w:jc w:val="right"/>
              <w:rPr>
                <w:rFonts w:ascii="宋体" w:cs="Times New Roman"/>
                <w:b/>
                <w:bCs/>
                <w:color w:val="000000"/>
                <w:sz w:val="20"/>
                <w:szCs w:val="20"/>
              </w:rPr>
            </w:pPr>
          </w:p>
        </w:tc>
        <w:tc>
          <w:tcPr>
            <w:tcW w:w="1640" w:type="dxa"/>
            <w:gridSpan w:val="2"/>
            <w:tcBorders>
              <w:bottom w:val="single" w:color="000000" w:sz="4" w:space="0"/>
              <w:right w:val="single" w:color="000000" w:sz="4" w:space="0"/>
            </w:tcBorders>
            <w:vAlign w:val="center"/>
          </w:tcPr>
          <w:p>
            <w:pPr>
              <w:jc w:val="right"/>
              <w:rPr>
                <w:rFonts w:ascii="宋体" w:cs="Times New Roman"/>
                <w:b/>
                <w:bCs/>
                <w:color w:val="000000"/>
                <w:sz w:val="20"/>
                <w:szCs w:val="20"/>
              </w:rPr>
            </w:pPr>
          </w:p>
        </w:tc>
        <w:tc>
          <w:tcPr>
            <w:tcW w:w="1450" w:type="dxa"/>
            <w:tcBorders>
              <w:bottom w:val="single" w:color="000000" w:sz="4" w:space="0"/>
              <w:right w:val="single" w:color="000000" w:sz="4" w:space="0"/>
            </w:tcBorders>
            <w:vAlign w:val="center"/>
          </w:tcPr>
          <w:p>
            <w:pPr>
              <w:jc w:val="right"/>
              <w:rPr>
                <w:rFonts w:ascii="宋体" w:cs="Times New Roman"/>
                <w:b/>
                <w:bCs/>
                <w:color w:val="000000"/>
                <w:sz w:val="20"/>
                <w:szCs w:val="20"/>
              </w:rPr>
            </w:pPr>
          </w:p>
        </w:tc>
      </w:tr>
      <w:tr>
        <w:tblPrEx>
          <w:tblLayout w:type="fixed"/>
          <w:tblCellMar>
            <w:top w:w="15" w:type="dxa"/>
            <w:left w:w="15" w:type="dxa"/>
            <w:bottom w:w="15" w:type="dxa"/>
            <w:right w:w="15" w:type="dxa"/>
          </w:tblCellMar>
        </w:tblPrEx>
        <w:trPr>
          <w:trHeight w:val="300" w:hRule="atLeast"/>
        </w:trPr>
        <w:tc>
          <w:tcPr>
            <w:tcW w:w="874" w:type="dxa"/>
            <w:gridSpan w:val="2"/>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2325" w:type="dxa"/>
            <w:gridSpan w:val="3"/>
            <w:tcBorders>
              <w:bottom w:val="single" w:color="000000" w:sz="4" w:space="0"/>
              <w:right w:val="single" w:color="000000" w:sz="4" w:space="0"/>
            </w:tcBorders>
            <w:vAlign w:val="center"/>
          </w:tcPr>
          <w:p>
            <w:pPr>
              <w:jc w:val="left"/>
              <w:rPr>
                <w:rFonts w:ascii="宋体" w:cs="Times New Roman"/>
                <w:color w:val="000000"/>
                <w:sz w:val="20"/>
                <w:szCs w:val="20"/>
              </w:rPr>
            </w:pPr>
          </w:p>
        </w:tc>
        <w:tc>
          <w:tcPr>
            <w:tcW w:w="2190"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220"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40"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40"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40"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45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13979" w:type="dxa"/>
            <w:gridSpan w:val="13"/>
            <w:vAlign w:val="center"/>
          </w:tcPr>
          <w:p>
            <w:pPr>
              <w:widowControl/>
              <w:jc w:val="left"/>
              <w:textAlignment w:val="center"/>
              <w:rPr>
                <w:rFonts w:ascii="宋体" w:cs="Times New Roman"/>
                <w:color w:val="000000"/>
                <w:kern w:val="0"/>
                <w:sz w:val="20"/>
                <w:szCs w:val="20"/>
              </w:rPr>
            </w:pPr>
            <w:r>
              <w:rPr>
                <w:rFonts w:hint="eastAsia" w:ascii="宋体" w:hAnsi="宋体" w:cs="宋体"/>
                <w:color w:val="000000"/>
                <w:kern w:val="0"/>
                <w:sz w:val="20"/>
                <w:szCs w:val="20"/>
              </w:rPr>
              <w:t>注：本表反映部门本年度政府性基金预算财政拨款收入、支出及结转和结余情况。</w:t>
            </w:r>
          </w:p>
          <w:p>
            <w:pPr>
              <w:widowControl/>
              <w:jc w:val="left"/>
              <w:textAlignment w:val="center"/>
              <w:rPr>
                <w:rFonts w:ascii="宋体" w:cs="Times New Roman"/>
                <w:color w:val="000000"/>
                <w:sz w:val="20"/>
                <w:szCs w:val="20"/>
              </w:rPr>
            </w:pPr>
            <w:r>
              <w:rPr>
                <w:rFonts w:hint="eastAsia" w:ascii="宋体" w:hAnsi="宋体" w:cs="宋体"/>
                <w:b/>
                <w:bCs/>
                <w:color w:val="000000"/>
                <w:kern w:val="0"/>
                <w:sz w:val="20"/>
                <w:szCs w:val="20"/>
              </w:rPr>
              <w:t>说明：</w:t>
            </w:r>
            <w:r>
              <w:rPr>
                <w:rFonts w:ascii="宋体" w:hAnsi="宋体" w:cs="宋体"/>
                <w:b/>
                <w:bCs/>
                <w:color w:val="000000"/>
                <w:kern w:val="0"/>
                <w:sz w:val="20"/>
                <w:szCs w:val="20"/>
              </w:rPr>
              <w:t>林业局</w:t>
            </w:r>
            <w:r>
              <w:rPr>
                <w:rFonts w:hint="eastAsia" w:ascii="宋体" w:hAnsi="宋体" w:cs="宋体"/>
                <w:b/>
                <w:bCs/>
                <w:color w:val="000000"/>
                <w:kern w:val="0"/>
                <w:sz w:val="20"/>
                <w:szCs w:val="20"/>
              </w:rPr>
              <w:t>单位没有政府性基金收入，也没有使用政府性基金安排的支出，故本表无数据。</w:t>
            </w:r>
          </w:p>
        </w:tc>
      </w:tr>
    </w:tbl>
    <w:p>
      <w:pPr>
        <w:rPr>
          <w:rFonts w:ascii="仿宋_GB2312" w:hAnsi="仿宋_GB2312" w:eastAsia="仿宋_GB2312" w:cs="Times New Roman"/>
          <w:sz w:val="32"/>
          <w:szCs w:val="32"/>
        </w:rPr>
        <w:sectPr>
          <w:pgSz w:w="16838" w:h="11906" w:orient="landscape"/>
          <w:pgMar w:top="2098" w:right="1474" w:bottom="1984" w:left="1587" w:header="720" w:footer="720" w:gutter="0"/>
          <w:pgNumType w:fmt="numberInDash"/>
          <w:cols w:space="720" w:num="1"/>
          <w:docGrid w:type="lines" w:linePitch="312" w:charSpace="0"/>
        </w:sect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rPr>
        <w:rFonts w:ascii="仿宋_GB2312" w:hAnsi="仿宋_GB2312" w:eastAsia="仿宋_GB2312" w:cs="仿宋_GB2312"/>
        <w:sz w:val="18"/>
        <w:szCs w:val="18"/>
        <w:lang w:val="zh-CN" w:eastAsia="zh-CN" w:bidi="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3"/>
                            <w:jc w:val="center"/>
                          </w:pPr>
                          <w:r>
                            <w:fldChar w:fldCharType="begin"/>
                          </w:r>
                          <w:r>
                            <w:instrText xml:space="preserve"> PAGE   \* MERGEFORMAT </w:instrText>
                          </w:r>
                          <w:r>
                            <w:fldChar w:fldCharType="separate"/>
                          </w:r>
                          <w:r>
                            <w:t>3</w:t>
                          </w:r>
                          <w:r>
                            <w:fldChar w:fldCharType="end"/>
                          </w:r>
                        </w:p>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M6pebnP&#10;AAAABQEAAA8AAAAAAAAAAQAgAAAAIgAAAGRycy9kb3ducmV2LnhtbFBLAQIUABQAAAAIAIdO4kAi&#10;B7s4twEAAFQDAAAOAAAAAAAAAAEAIAAAAB4BAABkcnMvZTJvRG9jLnhtbFBLBQYAAAAABgAGAFkB&#10;AABHBQAAAAA=&#10;">
              <v:fill on="f" focussize="0,0"/>
              <v:stroke on="f"/>
              <v:imagedata o:title=""/>
              <o:lock v:ext="edit" aspectratio="f"/>
              <v:textbox inset="0mm,0mm,0mm,0mm" style="mso-fit-shape-to-text:t;">
                <w:txbxContent>
                  <w:p>
                    <w:pPr>
                      <w:pStyle w:val="3"/>
                      <w:jc w:val="center"/>
                    </w:pPr>
                    <w:r>
                      <w:fldChar w:fldCharType="begin"/>
                    </w:r>
                    <w:r>
                      <w:instrText xml:space="preserve"> PAGE   \* MERGEFORMAT </w:instrText>
                    </w:r>
                    <w:r>
                      <w:fldChar w:fldCharType="separate"/>
                    </w:r>
                    <w:r>
                      <w:t>3</w:t>
                    </w:r>
                    <w:r>
                      <w:fldChar w:fldCharType="end"/>
                    </w:r>
                  </w:p>
                  <w:p/>
                </w:txbxContent>
              </v:textbox>
            </v:shape>
          </w:pict>
        </mc:Fallback>
      </mc:AlternateContent>
    </w:r>
  </w:p>
  <w:p>
    <w:pPr>
      <w:pStyle w:val="2"/>
      <w:spacing w:line="14" w:lineRule="auto"/>
      <w:rPr>
        <w:sz w:val="20"/>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9E35A7"/>
    <w:multiLevelType w:val="singleLevel"/>
    <w:tmpl w:val="309E35A7"/>
    <w:lvl w:ilvl="0" w:tentative="0">
      <w:start w:val="4"/>
      <w:numFmt w:val="chineseCounting"/>
      <w:suff w:val="nothing"/>
      <w:lvlText w:val="%1、"/>
      <w:lvlJc w:val="left"/>
      <w:rPr>
        <w:rFonts w:hint="eastAsia"/>
      </w:rPr>
    </w:lvl>
  </w:abstractNum>
  <w:abstractNum w:abstractNumId="1">
    <w:nsid w:val="7FEFDB1F"/>
    <w:multiLevelType w:val="singleLevel"/>
    <w:tmpl w:val="7FEFDB1F"/>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D6E7701"/>
    <w:rsid w:val="379932AA"/>
    <w:rsid w:val="3C0D02B5"/>
    <w:rsid w:val="425110C6"/>
    <w:rsid w:val="431933B6"/>
    <w:rsid w:val="4EF1758F"/>
    <w:rsid w:val="526F1504"/>
    <w:rsid w:val="5D2D73FE"/>
    <w:rsid w:val="73B57FC3"/>
    <w:rsid w:val="7D7B33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autoSpaceDE w:val="0"/>
      <w:autoSpaceDN w:val="0"/>
    </w:pPr>
    <w:rPr>
      <w:rFonts w:ascii="仿宋_GB2312" w:hAnsi="仿宋_GB2312" w:eastAsia="仿宋_GB2312" w:cs="仿宋_GB2312"/>
      <w:sz w:val="22"/>
      <w:szCs w:val="22"/>
      <w:lang w:val="zh-CN" w:eastAsia="zh-CN" w:bidi="zh-CN"/>
    </w:rPr>
  </w:style>
  <w:style w:type="character" w:default="1" w:styleId="5">
    <w:name w:val="Default Paragraph Font"/>
    <w:semiHidden/>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Body Text"/>
    <w:basedOn w:val="1"/>
    <w:qFormat/>
    <w:uiPriority w:val="0"/>
    <w:rPr>
      <w:sz w:val="32"/>
      <w:szCs w:val="32"/>
    </w:rPr>
  </w:style>
  <w:style w:type="paragraph" w:styleId="3">
    <w:name w:val="footer"/>
    <w:basedOn w:val="1"/>
    <w:qFormat/>
    <w:uiPriority w:val="0"/>
    <w:pPr>
      <w:tabs>
        <w:tab w:val="center" w:pos="4153"/>
        <w:tab w:val="right" w:pos="8306"/>
      </w:tabs>
      <w:snapToGrid w:val="0"/>
    </w:pPr>
    <w:rPr>
      <w:rFonts w:ascii="仿宋_GB2312" w:hAnsi="仿宋_GB2312" w:eastAsia="仿宋_GB2312" w:cs="仿宋_GB2312"/>
      <w:sz w:val="18"/>
      <w:szCs w:val="18"/>
      <w:lang w:val="zh-CN" w:eastAsia="zh-CN" w:bidi="zh-CN"/>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标题 11"/>
    <w:basedOn w:val="1"/>
    <w:qFormat/>
    <w:uiPriority w:val="0"/>
    <w:pPr>
      <w:spacing w:before="27"/>
      <w:ind w:left="2273" w:right="2175"/>
      <w:jc w:val="center"/>
      <w:outlineLvl w:val="1"/>
    </w:pPr>
    <w:rPr>
      <w:rFonts w:ascii="黑体" w:hAnsi="黑体" w:eastAsia="黑体" w:cs="黑体"/>
      <w:sz w:val="52"/>
      <w:szCs w:val="5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Office_11.1.0.8213_F1E327BC-269C-435d-A152-05C5408002CA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2019-02-01T01:28:26Z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2052-11.1.0.8213</vt:lpwstr>
  </property>
</Properties>
</file>