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10"/>
        <w:ind w:left="-708" w:leftChars="-322" w:right="-63"/>
      </w:pPr>
      <w:r>
        <w:rPr>
          <w:rFonts w:hint="eastAsia"/>
        </w:rPr>
        <w:t>西华县市场发展服务中心</w:t>
      </w:r>
    </w:p>
    <w:p>
      <w:pPr>
        <w:spacing w:before="285"/>
        <w:ind w:left="2273" w:right="-63"/>
        <w:rPr>
          <w:rFonts w:ascii="黑体" w:eastAsia="黑体"/>
          <w:sz w:val="52"/>
        </w:rPr>
      </w:pPr>
      <w:r>
        <w:rPr>
          <w:rFonts w:hint="eastAsia" w:ascii="黑体" w:eastAsia="黑体"/>
          <w:sz w:val="52"/>
        </w:rPr>
        <w:t>2017 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rPr>
        <w:t>八</w:t>
      </w:r>
      <w:r>
        <w:rPr>
          <w:rFonts w:hint="eastAsia" w:ascii="黑体" w:eastAsia="黑体"/>
        </w:rPr>
        <w:t>月</w:t>
      </w:r>
    </w:p>
    <w:p>
      <w:pPr>
        <w:sectPr>
          <w:footerReference r:id="rId3" w:type="default"/>
          <w:pgSz w:w="11910" w:h="16840"/>
          <w:pgMar w:top="1600" w:right="570" w:bottom="1180" w:left="1480" w:header="720" w:footer="999" w:gutter="0"/>
          <w:pgNumType w:start="1"/>
          <w:cols w:space="720" w:num="1"/>
        </w:sectPr>
      </w:pPr>
    </w:p>
    <w:p>
      <w:pPr>
        <w:spacing w:line="220" w:lineRule="atLeast"/>
        <w:jc w:val="center"/>
        <w:rPr>
          <w:rFonts w:ascii="黑体" w:hAnsi="黑体" w:eastAsia="黑体"/>
          <w:sz w:val="36"/>
          <w:szCs w:val="36"/>
        </w:rPr>
      </w:pPr>
      <w:r>
        <w:rPr>
          <w:rFonts w:hint="eastAsia" w:ascii="黑体" w:hAnsi="黑体" w:eastAsia="黑体"/>
          <w:sz w:val="36"/>
          <w:szCs w:val="36"/>
        </w:rPr>
        <w:t>目    录</w:t>
      </w:r>
    </w:p>
    <w:p>
      <w:pPr>
        <w:spacing w:line="220" w:lineRule="atLeast"/>
        <w:rPr>
          <w:rFonts w:ascii="黑体" w:hAnsi="黑体" w:eastAsia="黑体"/>
          <w:sz w:val="32"/>
          <w:szCs w:val="32"/>
        </w:rPr>
      </w:pPr>
      <w:r>
        <w:rPr>
          <w:rFonts w:hint="eastAsia" w:ascii="黑体" w:hAnsi="黑体" w:eastAsia="黑体"/>
          <w:sz w:val="32"/>
          <w:szCs w:val="32"/>
        </w:rPr>
        <w:t xml:space="preserve">第一部分 西华县市场发展服务中心单位概况 </w:t>
      </w:r>
    </w:p>
    <w:p>
      <w:pPr>
        <w:spacing w:line="220" w:lineRule="atLeast"/>
        <w:rPr>
          <w:rFonts w:ascii="宋体" w:hAnsi="宋体" w:eastAsia="宋体"/>
          <w:sz w:val="32"/>
          <w:szCs w:val="32"/>
        </w:rPr>
      </w:pPr>
      <w:r>
        <w:rPr>
          <w:rFonts w:hint="eastAsia" w:ascii="宋体" w:hAnsi="宋体" w:eastAsia="宋体"/>
          <w:sz w:val="32"/>
          <w:szCs w:val="32"/>
        </w:rPr>
        <w:t>一、部门职责</w:t>
      </w:r>
    </w:p>
    <w:p>
      <w:pPr>
        <w:spacing w:line="220" w:lineRule="atLeast"/>
        <w:rPr>
          <w:rFonts w:ascii="宋体" w:hAnsi="宋体" w:eastAsia="宋体"/>
          <w:sz w:val="32"/>
          <w:szCs w:val="32"/>
        </w:rPr>
      </w:pPr>
      <w:r>
        <w:rPr>
          <w:rFonts w:hint="eastAsia" w:ascii="宋体" w:hAnsi="宋体" w:eastAsia="宋体"/>
          <w:sz w:val="32"/>
          <w:szCs w:val="32"/>
        </w:rPr>
        <w:t>二、机构设置</w:t>
      </w:r>
    </w:p>
    <w:p>
      <w:pPr>
        <w:spacing w:line="220" w:lineRule="atLeast"/>
        <w:rPr>
          <w:rFonts w:ascii="黑体" w:hAnsi="黑体" w:eastAsia="黑体"/>
          <w:sz w:val="32"/>
          <w:szCs w:val="32"/>
        </w:rPr>
      </w:pPr>
      <w:r>
        <w:rPr>
          <w:rFonts w:hint="eastAsia" w:ascii="黑体" w:hAnsi="黑体" w:eastAsia="黑体"/>
          <w:sz w:val="32"/>
          <w:szCs w:val="32"/>
        </w:rPr>
        <w:t>第二部分2017年度部门决算情况说明</w:t>
      </w:r>
    </w:p>
    <w:p>
      <w:pPr>
        <w:spacing w:line="220" w:lineRule="atLeast"/>
        <w:rPr>
          <w:rFonts w:ascii="宋体" w:hAnsi="宋体" w:eastAsia="宋体"/>
          <w:sz w:val="32"/>
          <w:szCs w:val="32"/>
        </w:rPr>
      </w:pPr>
      <w:r>
        <w:rPr>
          <w:rFonts w:hint="eastAsia" w:ascii="宋体" w:hAnsi="宋体" w:eastAsia="宋体"/>
          <w:sz w:val="32"/>
          <w:szCs w:val="32"/>
        </w:rPr>
        <w:t>一、收入支出决算总体情况说明</w:t>
      </w:r>
    </w:p>
    <w:p>
      <w:pPr>
        <w:spacing w:line="220" w:lineRule="atLeast"/>
        <w:rPr>
          <w:rFonts w:ascii="宋体" w:hAnsi="宋体" w:eastAsia="宋体"/>
          <w:sz w:val="32"/>
          <w:szCs w:val="32"/>
        </w:rPr>
      </w:pPr>
      <w:r>
        <w:rPr>
          <w:rFonts w:hint="eastAsia" w:ascii="宋体" w:hAnsi="宋体" w:eastAsia="宋体"/>
          <w:sz w:val="32"/>
          <w:szCs w:val="32"/>
        </w:rPr>
        <w:t xml:space="preserve">二、收入决算情况说明 </w:t>
      </w:r>
    </w:p>
    <w:p>
      <w:pPr>
        <w:spacing w:line="220" w:lineRule="atLeast"/>
        <w:rPr>
          <w:rFonts w:ascii="宋体" w:hAnsi="宋体" w:eastAsia="宋体"/>
          <w:sz w:val="32"/>
          <w:szCs w:val="32"/>
        </w:rPr>
      </w:pPr>
      <w:r>
        <w:rPr>
          <w:rFonts w:hint="eastAsia" w:ascii="宋体" w:hAnsi="宋体" w:eastAsia="宋体"/>
          <w:sz w:val="32"/>
          <w:szCs w:val="32"/>
        </w:rPr>
        <w:t>三、支出决算情况说明</w:t>
      </w:r>
    </w:p>
    <w:p>
      <w:pPr>
        <w:spacing w:line="220" w:lineRule="atLeast"/>
        <w:rPr>
          <w:rFonts w:ascii="宋体" w:hAnsi="宋体" w:eastAsia="宋体"/>
          <w:sz w:val="32"/>
          <w:szCs w:val="32"/>
        </w:rPr>
      </w:pPr>
      <w:r>
        <w:rPr>
          <w:rFonts w:hint="eastAsia" w:ascii="宋体" w:hAnsi="宋体" w:eastAsia="宋体"/>
          <w:sz w:val="32"/>
          <w:szCs w:val="32"/>
        </w:rPr>
        <w:t>四、财政拨款支出决算分项情况说明</w:t>
      </w:r>
    </w:p>
    <w:p>
      <w:pPr>
        <w:spacing w:line="220" w:lineRule="atLeast"/>
        <w:rPr>
          <w:rFonts w:ascii="宋体" w:hAnsi="宋体" w:eastAsia="宋体"/>
          <w:sz w:val="32"/>
          <w:szCs w:val="32"/>
        </w:rPr>
      </w:pPr>
      <w:r>
        <w:rPr>
          <w:rFonts w:hint="eastAsia" w:ascii="宋体" w:hAnsi="宋体" w:eastAsia="宋体"/>
          <w:sz w:val="32"/>
          <w:szCs w:val="32"/>
        </w:rPr>
        <w:t>五、一般公共预算财政拨款基本支出决算情况说明</w:t>
      </w:r>
    </w:p>
    <w:p>
      <w:pPr>
        <w:spacing w:line="220" w:lineRule="atLeast"/>
        <w:rPr>
          <w:rFonts w:ascii="宋体" w:hAnsi="宋体" w:eastAsia="宋体"/>
          <w:sz w:val="32"/>
          <w:szCs w:val="32"/>
        </w:rPr>
      </w:pPr>
      <w:r>
        <w:rPr>
          <w:rFonts w:hint="eastAsia" w:ascii="宋体" w:hAnsi="宋体" w:eastAsia="宋体"/>
          <w:sz w:val="32"/>
          <w:szCs w:val="32"/>
        </w:rPr>
        <w:t>六、一般公共预算财政拨款“三公”经费支出决算情况说明</w:t>
      </w:r>
    </w:p>
    <w:p>
      <w:pPr>
        <w:spacing w:line="220" w:lineRule="atLeast"/>
        <w:rPr>
          <w:rFonts w:ascii="宋体" w:hAnsi="宋体" w:eastAsia="宋体"/>
          <w:sz w:val="32"/>
          <w:szCs w:val="32"/>
        </w:rPr>
      </w:pPr>
      <w:r>
        <w:rPr>
          <w:rFonts w:hint="eastAsia" w:ascii="宋体" w:hAnsi="宋体" w:eastAsia="宋体"/>
          <w:sz w:val="32"/>
          <w:szCs w:val="32"/>
        </w:rPr>
        <w:t>七、政府基金收支情况说明</w:t>
      </w:r>
    </w:p>
    <w:p>
      <w:pPr>
        <w:spacing w:line="220" w:lineRule="atLeast"/>
        <w:rPr>
          <w:rFonts w:ascii="宋体" w:hAnsi="宋体" w:eastAsia="宋体"/>
          <w:sz w:val="32"/>
          <w:szCs w:val="32"/>
        </w:rPr>
      </w:pPr>
      <w:r>
        <w:rPr>
          <w:rFonts w:hint="eastAsia" w:ascii="宋体" w:hAnsi="宋体" w:eastAsia="宋体"/>
          <w:sz w:val="32"/>
          <w:szCs w:val="32"/>
        </w:rPr>
        <w:t>八、机关运行经费支出情况</w:t>
      </w:r>
    </w:p>
    <w:p>
      <w:pPr>
        <w:spacing w:line="220" w:lineRule="atLeast"/>
        <w:rPr>
          <w:rFonts w:ascii="宋体" w:hAnsi="宋体" w:eastAsia="宋体"/>
          <w:sz w:val="32"/>
          <w:szCs w:val="32"/>
        </w:rPr>
      </w:pPr>
      <w:r>
        <w:rPr>
          <w:rFonts w:hint="eastAsia" w:ascii="宋体" w:hAnsi="宋体" w:eastAsia="宋体"/>
          <w:sz w:val="32"/>
          <w:szCs w:val="32"/>
        </w:rPr>
        <w:t>九、政府采购支出情况</w:t>
      </w:r>
    </w:p>
    <w:p>
      <w:pPr>
        <w:spacing w:line="220" w:lineRule="atLeast"/>
        <w:rPr>
          <w:rFonts w:hint="eastAsia" w:ascii="宋体" w:hAnsi="宋体" w:eastAsia="宋体"/>
          <w:sz w:val="32"/>
          <w:szCs w:val="32"/>
        </w:rPr>
      </w:pPr>
      <w:r>
        <w:rPr>
          <w:rFonts w:hint="eastAsia" w:ascii="宋体" w:hAnsi="宋体" w:eastAsia="宋体"/>
          <w:sz w:val="32"/>
          <w:szCs w:val="32"/>
        </w:rPr>
        <w:t>十、国有资产占用情况</w:t>
      </w:r>
    </w:p>
    <w:p>
      <w:pPr>
        <w:spacing w:line="220" w:lineRule="atLeast"/>
        <w:rPr>
          <w:rFonts w:ascii="宋体" w:hAnsi="宋体" w:eastAsia="宋体"/>
          <w:bCs/>
          <w:sz w:val="32"/>
          <w:szCs w:val="32"/>
        </w:rPr>
      </w:pPr>
      <w:r>
        <w:rPr>
          <w:rFonts w:hint="eastAsia" w:ascii="宋体" w:hAnsi="宋体" w:eastAsia="宋体"/>
          <w:sz w:val="32"/>
          <w:szCs w:val="32"/>
        </w:rPr>
        <w:t>十一、</w:t>
      </w:r>
      <w:r>
        <w:rPr>
          <w:rFonts w:hint="eastAsia" w:ascii="宋体" w:hAnsi="宋体" w:eastAsia="宋体"/>
          <w:bCs/>
          <w:sz w:val="32"/>
          <w:szCs w:val="32"/>
        </w:rPr>
        <w:t>重点绩效评价结果等预算绩效情况说明</w:t>
      </w:r>
    </w:p>
    <w:p>
      <w:pPr>
        <w:spacing w:line="220" w:lineRule="atLeast"/>
        <w:rPr>
          <w:rFonts w:ascii="黑体" w:hAnsi="黑体" w:eastAsia="黑体"/>
          <w:sz w:val="32"/>
          <w:szCs w:val="32"/>
        </w:rPr>
      </w:pPr>
      <w:r>
        <w:rPr>
          <w:rFonts w:hint="eastAsia" w:ascii="黑体" w:hAnsi="黑体" w:eastAsia="黑体"/>
          <w:sz w:val="32"/>
          <w:szCs w:val="32"/>
        </w:rPr>
        <w:t>第三部分 名词解释</w:t>
      </w:r>
    </w:p>
    <w:p>
      <w:pPr>
        <w:spacing w:line="220" w:lineRule="atLeast"/>
        <w:rPr>
          <w:rFonts w:ascii="黑体" w:hAnsi="黑体" w:eastAsia="黑体"/>
          <w:sz w:val="32"/>
          <w:szCs w:val="32"/>
        </w:rPr>
      </w:pPr>
    </w:p>
    <w:p>
      <w:pPr>
        <w:spacing w:line="220" w:lineRule="atLeast"/>
        <w:rPr>
          <w:rFonts w:ascii="黑体" w:hAnsi="黑体" w:eastAsia="黑体"/>
          <w:sz w:val="32"/>
          <w:szCs w:val="32"/>
        </w:rPr>
      </w:pPr>
      <w:r>
        <w:rPr>
          <w:rFonts w:hint="eastAsia" w:ascii="黑体" w:hAnsi="黑体" w:eastAsia="黑体"/>
          <w:sz w:val="32"/>
          <w:szCs w:val="32"/>
        </w:rPr>
        <w:t>附件：2017 年度部门决算表</w:t>
      </w:r>
    </w:p>
    <w:p>
      <w:pPr>
        <w:spacing w:line="220" w:lineRule="atLeast"/>
        <w:rPr>
          <w:rFonts w:hint="eastAsia" w:ascii="宋体" w:hAnsi="宋体" w:eastAsia="宋体"/>
          <w:sz w:val="32"/>
          <w:szCs w:val="32"/>
        </w:rPr>
      </w:pPr>
      <w:r>
        <w:rPr>
          <w:rFonts w:hint="eastAsia" w:ascii="宋体" w:hAnsi="宋体" w:eastAsia="宋体"/>
          <w:sz w:val="32"/>
          <w:szCs w:val="32"/>
        </w:rPr>
        <w:t>一、收入支出决算总表</w:t>
      </w:r>
    </w:p>
    <w:p>
      <w:pPr>
        <w:spacing w:line="220" w:lineRule="atLeast"/>
        <w:rPr>
          <w:rFonts w:ascii="宋体" w:hAnsi="宋体" w:eastAsia="宋体"/>
          <w:sz w:val="32"/>
          <w:szCs w:val="32"/>
        </w:rPr>
      </w:pPr>
      <w:r>
        <w:rPr>
          <w:rFonts w:hint="eastAsia" w:ascii="宋体" w:hAnsi="宋体" w:eastAsia="宋体"/>
          <w:sz w:val="32"/>
          <w:szCs w:val="32"/>
        </w:rPr>
        <w:t>二、收入决算表</w:t>
      </w:r>
    </w:p>
    <w:p>
      <w:pPr>
        <w:spacing w:line="220" w:lineRule="atLeast"/>
        <w:rPr>
          <w:rFonts w:ascii="宋体" w:hAnsi="宋体" w:eastAsia="宋体"/>
          <w:sz w:val="32"/>
          <w:szCs w:val="32"/>
        </w:rPr>
      </w:pPr>
      <w:r>
        <w:rPr>
          <w:rFonts w:hint="eastAsia" w:ascii="宋体" w:hAnsi="宋体" w:eastAsia="宋体"/>
          <w:sz w:val="32"/>
          <w:szCs w:val="32"/>
        </w:rPr>
        <w:t>三、支出决算表</w:t>
      </w:r>
    </w:p>
    <w:p>
      <w:pPr>
        <w:spacing w:line="220" w:lineRule="atLeast"/>
        <w:rPr>
          <w:rFonts w:ascii="宋体" w:hAnsi="宋体" w:eastAsia="宋体"/>
          <w:sz w:val="32"/>
          <w:szCs w:val="32"/>
        </w:rPr>
      </w:pPr>
      <w:r>
        <w:rPr>
          <w:rFonts w:hint="eastAsia" w:ascii="宋体" w:hAnsi="宋体" w:eastAsia="宋体"/>
          <w:sz w:val="32"/>
          <w:szCs w:val="32"/>
        </w:rPr>
        <w:t>四、财政拨款收入支出</w:t>
      </w:r>
      <w:r>
        <w:rPr>
          <w:rFonts w:hint="eastAsia" w:ascii="宋体" w:hAnsi="宋体" w:eastAsia="宋体"/>
          <w:sz w:val="32"/>
          <w:szCs w:val="32"/>
          <w:lang w:eastAsia="zh-CN"/>
        </w:rPr>
        <w:t>情况</w:t>
      </w:r>
      <w:r>
        <w:rPr>
          <w:rFonts w:hint="eastAsia" w:ascii="宋体" w:hAnsi="宋体" w:eastAsia="宋体"/>
          <w:sz w:val="32"/>
          <w:szCs w:val="32"/>
        </w:rPr>
        <w:t>总表</w:t>
      </w:r>
    </w:p>
    <w:p>
      <w:pPr>
        <w:spacing w:line="220" w:lineRule="atLeast"/>
        <w:rPr>
          <w:rFonts w:ascii="宋体" w:hAnsi="宋体" w:eastAsia="宋体"/>
          <w:sz w:val="32"/>
          <w:szCs w:val="32"/>
        </w:rPr>
      </w:pPr>
      <w:r>
        <w:rPr>
          <w:rFonts w:hint="eastAsia" w:ascii="宋体" w:hAnsi="宋体" w:eastAsia="宋体"/>
          <w:sz w:val="32"/>
          <w:szCs w:val="32"/>
        </w:rPr>
        <w:t>五、一般公共预算财政拨款支出决算表</w:t>
      </w:r>
    </w:p>
    <w:p>
      <w:pPr>
        <w:spacing w:line="220" w:lineRule="atLeast"/>
        <w:rPr>
          <w:rFonts w:ascii="宋体" w:hAnsi="宋体" w:eastAsia="宋体"/>
          <w:sz w:val="32"/>
          <w:szCs w:val="32"/>
        </w:rPr>
      </w:pPr>
      <w:r>
        <w:rPr>
          <w:rFonts w:hint="eastAsia" w:ascii="宋体" w:hAnsi="宋体" w:eastAsia="宋体"/>
          <w:sz w:val="32"/>
          <w:szCs w:val="32"/>
        </w:rPr>
        <w:t>六、一般公共预算财政拨款基本支出决算表</w:t>
      </w:r>
    </w:p>
    <w:p>
      <w:pPr>
        <w:spacing w:line="220" w:lineRule="atLeast"/>
        <w:rPr>
          <w:rFonts w:hint="eastAsia" w:ascii="宋体" w:hAnsi="宋体" w:eastAsia="宋体"/>
          <w:sz w:val="32"/>
          <w:szCs w:val="32"/>
        </w:rPr>
      </w:pPr>
      <w:r>
        <w:rPr>
          <w:rFonts w:hint="eastAsia" w:ascii="宋体" w:hAnsi="宋体" w:eastAsia="宋体"/>
          <w:sz w:val="32"/>
          <w:szCs w:val="32"/>
        </w:rPr>
        <w:t>七、一般公共预算财政拨款“三公”经费支出决算表</w:t>
      </w:r>
    </w:p>
    <w:p>
      <w:pPr>
        <w:adjustRightInd/>
        <w:snapToGrid/>
        <w:spacing w:line="220" w:lineRule="atLeast"/>
        <w:rPr>
          <w:rFonts w:ascii="黑体"/>
          <w:sz w:val="20"/>
        </w:rPr>
      </w:pPr>
      <w:r>
        <w:rPr>
          <w:rFonts w:ascii="宋体" w:hAnsi="宋体" w:eastAsia="宋体"/>
          <w:sz w:val="32"/>
          <w:szCs w:val="32"/>
        </w:rPr>
        <w:br w:type="page"/>
      </w:r>
      <w:bookmarkStart w:id="0" w:name="_GoBack"/>
      <w:bookmarkEnd w:id="0"/>
    </w:p>
    <w:p>
      <w:pPr>
        <w:tabs>
          <w:tab w:val="left" w:pos="3993"/>
        </w:tabs>
        <w:spacing w:before="32"/>
        <w:ind w:firstLine="3600" w:firstLineChars="1000"/>
        <w:jc w:val="both"/>
        <w:rPr>
          <w:rFonts w:hint="eastAsia" w:ascii="黑体" w:hAnsi="黑体" w:eastAsia="黑体" w:cs="黑体"/>
          <w:sz w:val="36"/>
          <w:szCs w:val="36"/>
        </w:rPr>
      </w:pPr>
      <w:r>
        <w:rPr>
          <w:rFonts w:hint="eastAsia" w:ascii="黑体" w:hAnsi="黑体" w:eastAsia="黑体" w:cs="黑体"/>
          <w:sz w:val="36"/>
          <w:szCs w:val="36"/>
        </w:rPr>
        <w:t>第一部分</w:t>
      </w:r>
    </w:p>
    <w:p>
      <w:pPr>
        <w:ind w:firstLine="720" w:firstLineChars="200"/>
        <w:jc w:val="center"/>
        <w:rPr>
          <w:rFonts w:hint="eastAsia" w:ascii="黑体" w:hAnsi="黑体" w:eastAsia="黑体" w:cs="黑体"/>
          <w:bCs/>
          <w:sz w:val="36"/>
          <w:szCs w:val="36"/>
        </w:rPr>
      </w:pPr>
      <w:r>
        <w:rPr>
          <w:rFonts w:hint="eastAsia" w:ascii="黑体" w:hAnsi="黑体" w:eastAsia="黑体" w:cs="黑体"/>
          <w:bCs/>
          <w:sz w:val="36"/>
          <w:szCs w:val="36"/>
        </w:rPr>
        <w:t>西华县市场发展服务中心单位概况</w:t>
      </w:r>
    </w:p>
    <w:p>
      <w:pPr>
        <w:adjustRightInd/>
        <w:snapToGrid/>
        <w:spacing w:line="220" w:lineRule="atLeast"/>
        <w:rPr>
          <w:rFonts w:ascii="黑体" w:hAnsi="黑体" w:eastAsia="黑体"/>
          <w:sz w:val="32"/>
          <w:szCs w:val="32"/>
        </w:rPr>
      </w:pPr>
      <w:r>
        <w:rPr>
          <w:rFonts w:hint="eastAsia" w:ascii="黑体" w:hAnsi="黑体" w:eastAsia="黑体"/>
          <w:sz w:val="32"/>
          <w:szCs w:val="32"/>
        </w:rPr>
        <w:t>一、部门职责</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西华县市场发展服务中心是直属县政府正科级事业单位，中心机关四股一室：办公室、财务股、人事股、市场和物业管理股、市场建设股。属辖市场31个，城关13个专业市场。主要职责是：　　</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（一）、贯彻实施国家、省、市、县有关市场发展的方针政策和法律、法规。</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（二）、负责全县市场体系建设与管理，对新建市场可行性报告进行调研和论证，并参与市场规划。</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（三）、负责全县各类交易市场的登记管理工作，指导各类市场的物业经营管理；负责自办市场的实施维修、改造及资产管理工作。</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（四）、负责全县市场规范化管理；科学安排行业经营区域；开发市场资源，为市场经营者提供经营条件及信息、储运、生活等方面的有偿服务，搞好市场环境卫生和消费安全，促进市场繁荣。</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（五）、协助有关职能部门查处欺行霸市、强买强卖、缺斤少两、假冒伪劣、偷盗抢劫等违法行为。</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（六）、负责全县市场经营管理和服务人员的业务培训；围绕市场体系培育开展多种经营；组建市场发展协会，指导市场发展协会工作，负责经纪人的管理、登记、办证等工作。</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（七）、组织开展全县市场评先创优活动，提高市场管理水平，创建文明市场，规范市场管理。</w:t>
      </w:r>
    </w:p>
    <w:p>
      <w:pPr>
        <w:spacing w:line="220" w:lineRule="atLeast"/>
        <w:ind w:firstLine="640" w:firstLineChars="200"/>
        <w:rPr>
          <w:rFonts w:ascii="仿宋_GB2312" w:hAnsi="宋体" w:eastAsia="仿宋_GB2312"/>
          <w:sz w:val="32"/>
          <w:szCs w:val="32"/>
        </w:rPr>
      </w:pPr>
      <w:r>
        <w:rPr>
          <w:rFonts w:hint="eastAsia" w:ascii="仿宋_GB2312" w:hAnsi="宋体" w:eastAsia="仿宋_GB2312"/>
          <w:sz w:val="32"/>
          <w:szCs w:val="32"/>
        </w:rPr>
        <w:t>（八）、承办县委、县政府交办的其他工作。</w:t>
      </w:r>
    </w:p>
    <w:p>
      <w:pPr>
        <w:spacing w:line="220" w:lineRule="atLeast"/>
        <w:rPr>
          <w:rFonts w:ascii="黑体" w:hAnsi="黑体" w:eastAsia="黑体"/>
          <w:sz w:val="32"/>
          <w:szCs w:val="32"/>
        </w:rPr>
      </w:pPr>
      <w:r>
        <w:rPr>
          <w:rFonts w:hint="eastAsia" w:ascii="黑体" w:hAnsi="黑体" w:eastAsia="黑体"/>
          <w:sz w:val="32"/>
          <w:szCs w:val="32"/>
        </w:rPr>
        <w:t>二、机构设置</w:t>
      </w:r>
    </w:p>
    <w:p>
      <w:pPr>
        <w:spacing w:line="220" w:lineRule="atLeast"/>
        <w:rPr>
          <w:rFonts w:hint="eastAsia" w:ascii="仿宋_GB2312" w:hAnsi="宋体" w:eastAsia="仿宋_GB2312"/>
          <w:sz w:val="32"/>
          <w:szCs w:val="32"/>
        </w:rPr>
      </w:pPr>
      <w:r>
        <w:rPr>
          <w:rFonts w:hint="eastAsia" w:ascii="仿宋_GB2312" w:hAnsi="仿宋_GB2312" w:eastAsia="仿宋_GB2312"/>
          <w:sz w:val="32"/>
        </w:rPr>
        <w:t>西华县市场发展服务中心是直属县政府正科级事业单位，中心机关四股一室：办公室、财务股、人事股、市场和物业管理股、市场建设股。属辖市场31个，城关13个专业市场。</w:t>
      </w:r>
    </w:p>
    <w:p>
      <w:pPr>
        <w:spacing w:line="220" w:lineRule="atLeast"/>
        <w:rPr>
          <w:rFonts w:ascii="仿宋_GB2312" w:hAnsi="宋体" w:eastAsia="仿宋_GB2312"/>
          <w:sz w:val="32"/>
          <w:szCs w:val="32"/>
        </w:rPr>
      </w:pPr>
      <w:r>
        <w:rPr>
          <w:rFonts w:hint="eastAsia" w:ascii="仿宋_GB2312" w:hAnsi="宋体" w:eastAsia="仿宋_GB2312"/>
          <w:sz w:val="32"/>
          <w:szCs w:val="32"/>
        </w:rPr>
        <w:t>1.办公室：负责机关文件起草、文书档案、督察、统计、保卫和后勤管理工作。</w:t>
      </w:r>
    </w:p>
    <w:p>
      <w:pPr>
        <w:spacing w:line="220" w:lineRule="atLeast"/>
        <w:rPr>
          <w:rFonts w:ascii="仿宋_GB2312" w:hAnsi="宋体" w:eastAsia="仿宋_GB2312"/>
          <w:sz w:val="32"/>
          <w:szCs w:val="32"/>
        </w:rPr>
      </w:pPr>
      <w:r>
        <w:rPr>
          <w:rFonts w:hint="eastAsia" w:ascii="仿宋_GB2312" w:hAnsi="宋体" w:eastAsia="仿宋_GB2312"/>
          <w:sz w:val="32"/>
          <w:szCs w:val="32"/>
        </w:rPr>
        <w:t>2.财务股：负责单位资金、资产、票据管理，编制财务报表和下属单位内部财务审计工作。</w:t>
      </w:r>
    </w:p>
    <w:p>
      <w:pPr>
        <w:spacing w:line="220" w:lineRule="atLeast"/>
        <w:rPr>
          <w:rFonts w:ascii="仿宋_GB2312" w:hAnsi="宋体" w:eastAsia="仿宋_GB2312"/>
          <w:sz w:val="32"/>
          <w:szCs w:val="32"/>
        </w:rPr>
      </w:pPr>
      <w:r>
        <w:rPr>
          <w:rFonts w:hint="eastAsia" w:ascii="仿宋_GB2312" w:hAnsi="宋体" w:eastAsia="仿宋_GB2312"/>
          <w:sz w:val="32"/>
          <w:szCs w:val="32"/>
        </w:rPr>
        <w:t>3.人事股：负责中心及所属二级机构的人事和编制、劳资、人员培训和党务工作。</w:t>
      </w:r>
    </w:p>
    <w:p>
      <w:pPr>
        <w:spacing w:line="220" w:lineRule="atLeast"/>
        <w:rPr>
          <w:rFonts w:ascii="仿宋_GB2312" w:hAnsi="宋体" w:eastAsia="仿宋_GB2312"/>
          <w:sz w:val="32"/>
          <w:szCs w:val="32"/>
        </w:rPr>
      </w:pPr>
      <w:r>
        <w:rPr>
          <w:rFonts w:hint="eastAsia" w:ascii="仿宋_GB2312" w:hAnsi="宋体" w:eastAsia="仿宋_GB2312"/>
          <w:sz w:val="32"/>
          <w:szCs w:val="32"/>
        </w:rPr>
        <w:t>4.市场和物业管理股：指导全县各类市场的物业管理，负责自办市场设施维修及改造工作，负责中心及下属单位固定资产的管理工作。负责自办场的市场次序、市场卫生、安全保卫的监督检查工作，组织市场评先，协助有关部门查处欺行霸市、假冒伪劣等违法行为，负责多种经营、市场交易等工作。</w:t>
      </w:r>
    </w:p>
    <w:p>
      <w:pPr>
        <w:spacing w:line="220" w:lineRule="atLeast"/>
        <w:rPr>
          <w:rFonts w:ascii="仿宋_GB2312" w:hAnsi="宋体" w:eastAsia="仿宋_GB2312"/>
          <w:sz w:val="32"/>
          <w:szCs w:val="32"/>
        </w:rPr>
      </w:pPr>
      <w:r>
        <w:rPr>
          <w:rFonts w:hint="eastAsia" w:ascii="仿宋_GB2312" w:hAnsi="宋体" w:eastAsia="仿宋_GB2312"/>
          <w:sz w:val="32"/>
          <w:szCs w:val="32"/>
        </w:rPr>
        <w:t>5.市场建设股：负责全县市场体系规划和登记管理，负责新建市场的可行性论证、自办市场的建设和改造工作。</w:t>
      </w:r>
    </w:p>
    <w:p>
      <w:pPr>
        <w:adjustRightInd/>
        <w:snapToGrid/>
        <w:spacing w:line="220" w:lineRule="atLeast"/>
        <w:rPr>
          <w:rFonts w:ascii="黑体" w:eastAsia="黑体"/>
          <w:sz w:val="36"/>
          <w:szCs w:val="36"/>
        </w:rPr>
      </w:pPr>
      <w:r>
        <w:rPr>
          <w:rFonts w:ascii="仿宋_GB2312" w:hAnsi="宋体" w:eastAsia="仿宋_GB2312"/>
          <w:sz w:val="32"/>
          <w:szCs w:val="32"/>
        </w:rPr>
        <w:br w:type="page"/>
      </w:r>
      <w:r>
        <w:rPr>
          <w:rFonts w:hint="eastAsia" w:ascii="仿宋_GB2312" w:hAnsi="宋体" w:eastAsia="仿宋_GB2312"/>
          <w:sz w:val="32"/>
          <w:szCs w:val="32"/>
          <w:lang w:val="en-US" w:eastAsia="zh-CN"/>
        </w:rPr>
        <w:t xml:space="preserve">                    </w:t>
      </w:r>
      <w:r>
        <w:rPr>
          <w:rFonts w:hint="eastAsia" w:ascii="黑体" w:eastAsia="黑体"/>
          <w:sz w:val="36"/>
          <w:szCs w:val="36"/>
        </w:rPr>
        <w:t>第二部分</w:t>
      </w:r>
    </w:p>
    <w:p>
      <w:pPr>
        <w:spacing w:line="220" w:lineRule="atLeast"/>
        <w:jc w:val="center"/>
        <w:rPr>
          <w:rFonts w:ascii="黑体" w:eastAsia="黑体"/>
          <w:sz w:val="36"/>
          <w:szCs w:val="36"/>
        </w:rPr>
      </w:pPr>
      <w:r>
        <w:rPr>
          <w:rFonts w:hint="eastAsia" w:ascii="黑体" w:eastAsia="黑体"/>
          <w:sz w:val="36"/>
          <w:szCs w:val="36"/>
        </w:rPr>
        <w:t>2017年度部门决算情况说明</w:t>
      </w:r>
    </w:p>
    <w:p>
      <w:pPr>
        <w:adjustRightInd/>
        <w:snapToGrid/>
        <w:spacing w:line="220" w:lineRule="atLeast"/>
        <w:rPr>
          <w:rFonts w:ascii="黑体" w:hAnsi="黑体" w:eastAsia="黑体" w:cs="仿宋_GB2312"/>
          <w:bCs/>
          <w:sz w:val="32"/>
          <w:szCs w:val="32"/>
        </w:rPr>
      </w:pPr>
      <w:r>
        <w:rPr>
          <w:rFonts w:hint="eastAsia" w:ascii="黑体" w:hAnsi="黑体" w:eastAsia="黑体" w:cs="仿宋_GB2312"/>
          <w:bCs/>
          <w:sz w:val="32"/>
          <w:szCs w:val="32"/>
        </w:rPr>
        <w:t>一、收入支出决算总体情况说明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2017年收入总计1079.70万元，支出总计1079.70万元，与2016年相比，收、支总计各增加358.03万元，增加49.61%。主要原因：基本支出包括人员经费、日常公用经费和生活补贴增加。</w:t>
      </w:r>
    </w:p>
    <w:p>
      <w:pPr>
        <w:rPr>
          <w:rFonts w:ascii="黑体" w:hAnsi="黑体" w:eastAsia="黑体" w:cs="仿宋_GB2312"/>
          <w:bCs/>
          <w:sz w:val="32"/>
          <w:szCs w:val="32"/>
        </w:rPr>
      </w:pPr>
      <w:r>
        <w:rPr>
          <w:rFonts w:hint="eastAsia" w:ascii="黑体" w:hAnsi="黑体" w:eastAsia="黑体" w:cs="仿宋_GB2312"/>
          <w:bCs/>
          <w:sz w:val="32"/>
          <w:szCs w:val="32"/>
        </w:rPr>
        <w:t>二、收入决算情况说明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2017年收入合计1079.70万元，其中：财政拨款收入1079.70万元，占总收入的100%；政府性基金收入0万元，事业收入0万元，其它收入0万元。</w:t>
      </w:r>
    </w:p>
    <w:p>
      <w:pPr>
        <w:rPr>
          <w:rFonts w:ascii="黑体" w:hAnsi="黑体" w:eastAsia="黑体" w:cs="仿宋_GB2312"/>
          <w:bCs/>
          <w:sz w:val="32"/>
          <w:szCs w:val="32"/>
        </w:rPr>
      </w:pPr>
      <w:r>
        <w:rPr>
          <w:rFonts w:hint="eastAsia" w:ascii="黑体" w:hAnsi="黑体" w:eastAsia="黑体" w:cs="仿宋_GB2312"/>
          <w:bCs/>
          <w:sz w:val="32"/>
          <w:szCs w:val="32"/>
        </w:rPr>
        <w:t>三、支出决算情况说明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2017年支出合计1079.70万元，其中：基本支出1079.70万元，占总支出的100%，比2016年增加支出358.03万元，增长49.61%；项目支出0万元，占总支出的0%，比2016年增加减少支出0万元，增长下降0%。</w:t>
      </w:r>
    </w:p>
    <w:p>
      <w:pPr>
        <w:rPr>
          <w:rFonts w:ascii="黑体" w:hAnsi="黑体" w:eastAsia="黑体" w:cs="仿宋_GB2312"/>
          <w:bCs/>
          <w:sz w:val="32"/>
          <w:szCs w:val="32"/>
        </w:rPr>
      </w:pPr>
      <w:r>
        <w:rPr>
          <w:rFonts w:hint="eastAsia" w:ascii="黑体" w:hAnsi="黑体" w:eastAsia="黑体" w:cs="仿宋_GB2312"/>
          <w:bCs/>
          <w:sz w:val="32"/>
          <w:szCs w:val="32"/>
        </w:rPr>
        <w:t>四、财政拨款支出决算分项情况说明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 年一般公共预算财政拨款支出年初预算为1079.70万元，支出决算为1079.70万元，完成年初预算的 100%。主要用于以下方面：一般公共服务（类）支出1076.50万元，占总支出的99.70%；社会保障和就业支出2.49万元，占总支出的0.23%；节能环保支出0.7万元，占总支出的0.07%。</w:t>
      </w:r>
    </w:p>
    <w:p>
      <w:pPr>
        <w:rPr>
          <w:rFonts w:hint="eastAsia" w:ascii="黑体" w:hAnsi="黑体" w:eastAsia="黑体" w:cs="仿宋_GB2312"/>
          <w:bCs/>
          <w:sz w:val="32"/>
          <w:szCs w:val="32"/>
        </w:rPr>
      </w:pPr>
      <w:r>
        <w:rPr>
          <w:rFonts w:hint="eastAsia" w:ascii="黑体" w:hAnsi="黑体" w:eastAsia="黑体" w:cs="仿宋_GB2312"/>
          <w:bCs/>
          <w:sz w:val="32"/>
          <w:szCs w:val="32"/>
        </w:rPr>
        <w:t>五、一般公共预算财政拨款基本支出决算情况说明</w:t>
      </w:r>
    </w:p>
    <w:p>
      <w:pPr>
        <w:ind w:firstLine="643" w:firstLineChars="200"/>
        <w:rPr>
          <w:rFonts w:hint="eastAsia" w:ascii="仿宋_GB2312" w:hAnsi="黑体" w:eastAsia="仿宋_GB2312" w:cs="仿宋_GB2312"/>
          <w:b/>
          <w:bCs/>
          <w:sz w:val="32"/>
          <w:szCs w:val="32"/>
        </w:rPr>
      </w:pPr>
      <w:r>
        <w:rPr>
          <w:rFonts w:hint="eastAsia" w:ascii="仿宋_GB2312" w:hAnsi="黑体" w:eastAsia="仿宋_GB2312" w:cs="仿宋_GB2312"/>
          <w:b/>
          <w:bCs/>
          <w:sz w:val="32"/>
          <w:szCs w:val="32"/>
        </w:rPr>
        <w:t>（一）总体情况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2017年一般公共预算财政拨款基本支出 1079.70万元，同比增加支出358.03万元，增长49.61%。其中：人员经费1064.37万元，同比增加支出351.87万元，增长49.39%。主要包括：基本工资、津贴补贴、工资福利支出、机关事业单位基本养老保险、对个人和家庭的补助、生活补助有所增加；公用经费15.33万元，同比增加支出6.16万元，增长67.26%。主要包括：商品和服务支出、办公费、电费、邮电费、公务接待费、委托业务会、工会经会、福利费、其他交通费用的增加。</w:t>
      </w:r>
    </w:p>
    <w:p>
      <w:pPr>
        <w:rPr>
          <w:rFonts w:ascii="黑体" w:hAnsi="黑体" w:eastAsia="黑体" w:cs="仿宋_GB2312"/>
          <w:bCs/>
          <w:sz w:val="32"/>
          <w:szCs w:val="32"/>
        </w:rPr>
      </w:pPr>
      <w:r>
        <w:rPr>
          <w:rFonts w:hint="eastAsia" w:ascii="黑体" w:hAnsi="黑体" w:eastAsia="黑体" w:cs="仿宋_GB2312"/>
          <w:bCs/>
          <w:sz w:val="32"/>
          <w:szCs w:val="32"/>
        </w:rPr>
        <w:t>六、一般公共预算财政拨款“三公”经费支出决算情况说明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2017年“三公”经费财政拨款支出预算为3.20万元，支出决算为0.92万元，完成预算的28.75%。2017年“三公”经费财政拨款支出决算数比 2016 年减少1.48万元，下降61.60%，主要原因：公务车维护费和购置费用减少。具体支出情况如下：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（一）公务用车购置及运行费0万元，完成预算的0%，公务用车购置0万元，公务用车运行维护费0万元，支出同比减少1.42万元，下降100%。主要原因是公务用车维护支出减少。</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（二）公务接待费0.92万元，完成预算的28.75%，主要用于接待公务。2017年共接待340人次，支出同比减少0.06万元，下降6.01%。严格执行公务执行标准，压紧接待开支，所以有所下降。</w:t>
      </w:r>
    </w:p>
    <w:p>
      <w:pPr>
        <w:ind w:firstLine="640" w:firstLineChars="200"/>
        <w:rPr>
          <w:rFonts w:ascii="黑体" w:hAnsi="黑体" w:eastAsia="黑体" w:cs="仿宋_GB2312"/>
          <w:bCs/>
          <w:sz w:val="32"/>
          <w:szCs w:val="32"/>
        </w:rPr>
      </w:pPr>
      <w:r>
        <w:rPr>
          <w:rFonts w:hint="eastAsia" w:ascii="黑体" w:hAnsi="黑体" w:eastAsia="黑体" w:cs="仿宋_GB2312"/>
          <w:bCs/>
          <w:sz w:val="32"/>
          <w:szCs w:val="32"/>
        </w:rPr>
        <w:t>七、政府基金收支情况说明</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本单位2017年没有使用政府性基金预算拨款安排的支出。</w:t>
      </w:r>
    </w:p>
    <w:p>
      <w:pPr>
        <w:ind w:firstLine="640" w:firstLineChars="200"/>
        <w:rPr>
          <w:rFonts w:ascii="黑体" w:hAnsi="黑体" w:eastAsia="黑体" w:cs="仿宋_GB2312"/>
          <w:bCs/>
          <w:sz w:val="32"/>
          <w:szCs w:val="32"/>
        </w:rPr>
      </w:pPr>
      <w:r>
        <w:rPr>
          <w:rFonts w:hint="eastAsia" w:ascii="黑体" w:hAnsi="黑体" w:eastAsia="黑体" w:cs="仿宋_GB2312"/>
          <w:bCs/>
          <w:sz w:val="32"/>
          <w:szCs w:val="32"/>
        </w:rPr>
        <w:t>八、机关运行经费支出情况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本单位2017年没有机关运行经费支出。</w:t>
      </w:r>
    </w:p>
    <w:p>
      <w:pPr>
        <w:ind w:firstLine="640" w:firstLineChars="200"/>
        <w:rPr>
          <w:rFonts w:ascii="黑体" w:hAnsi="黑体" w:eastAsia="黑体" w:cs="仿宋_GB2312"/>
          <w:bCs/>
          <w:sz w:val="32"/>
          <w:szCs w:val="32"/>
        </w:rPr>
      </w:pPr>
      <w:r>
        <w:rPr>
          <w:rFonts w:hint="eastAsia" w:ascii="黑体" w:hAnsi="黑体" w:eastAsia="黑体" w:cs="仿宋_GB2312"/>
          <w:bCs/>
          <w:sz w:val="32"/>
          <w:szCs w:val="32"/>
        </w:rPr>
        <w:t>九、政府采购支出情况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本单位2017年没有政府采购支出。</w:t>
      </w:r>
    </w:p>
    <w:p>
      <w:pPr>
        <w:ind w:firstLine="640" w:firstLineChars="200"/>
        <w:rPr>
          <w:rFonts w:ascii="黑体" w:hAnsi="黑体" w:eastAsia="黑体" w:cs="仿宋_GB2312"/>
          <w:bCs/>
          <w:sz w:val="32"/>
          <w:szCs w:val="32"/>
        </w:rPr>
      </w:pPr>
      <w:r>
        <w:rPr>
          <w:rFonts w:hint="eastAsia" w:ascii="黑体" w:hAnsi="黑体" w:eastAsia="黑体" w:cs="仿宋_GB2312"/>
          <w:bCs/>
          <w:sz w:val="32"/>
          <w:szCs w:val="32"/>
        </w:rPr>
        <w:t>十、国有资产占用情况</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2017年度，本单位共有车辆0辆，单位价值50万元以上的通用设备0台，单位价值100万元以上的通用设备0台。</w:t>
      </w:r>
    </w:p>
    <w:p>
      <w:pPr>
        <w:ind w:firstLine="640" w:firstLineChars="200"/>
        <w:rPr>
          <w:rFonts w:ascii="黑体" w:hAnsi="黑体" w:eastAsia="黑体" w:cs="仿宋_GB2312"/>
          <w:bCs/>
          <w:sz w:val="32"/>
          <w:szCs w:val="32"/>
        </w:rPr>
      </w:pPr>
      <w:r>
        <w:rPr>
          <w:rFonts w:hint="eastAsia" w:ascii="黑体" w:hAnsi="黑体" w:eastAsia="黑体" w:cs="仿宋_GB2312"/>
          <w:bCs/>
          <w:sz w:val="32"/>
          <w:szCs w:val="32"/>
        </w:rPr>
        <w:t>十一、重点绩效评价结果等预算绩效情况说明</w:t>
      </w:r>
    </w:p>
    <w:p>
      <w:pPr>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2017年度，本单位没有主要的民生项目和重点支出项目，所以未开展预算绩效评价。</w:t>
      </w:r>
    </w:p>
    <w:p>
      <w:pPr>
        <w:adjustRightInd/>
        <w:snapToGrid/>
        <w:spacing w:line="220" w:lineRule="atLeast"/>
        <w:rPr>
          <w:rFonts w:ascii="仿宋_GB2312" w:hAnsi="宋体" w:eastAsia="仿宋_GB2312"/>
          <w:sz w:val="32"/>
          <w:szCs w:val="32"/>
        </w:rPr>
      </w:pPr>
      <w:r>
        <w:rPr>
          <w:rFonts w:ascii="仿宋_GB2312" w:hAnsi="宋体" w:eastAsia="仿宋_GB2312"/>
          <w:sz w:val="32"/>
          <w:szCs w:val="32"/>
        </w:rPr>
        <w:br w:type="page"/>
      </w: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both"/>
        <w:rPr>
          <w:rFonts w:ascii="黑体" w:eastAsia="黑体"/>
          <w:sz w:val="48"/>
        </w:rPr>
      </w:pPr>
    </w:p>
    <w:p>
      <w:pPr>
        <w:tabs>
          <w:tab w:val="left" w:pos="3993"/>
        </w:tabs>
        <w:spacing w:before="32" w:line="520" w:lineRule="exact"/>
        <w:ind w:firstLine="1080" w:firstLineChars="225"/>
        <w:jc w:val="center"/>
        <w:rPr>
          <w:rFonts w:ascii="黑体" w:eastAsia="黑体"/>
          <w:sz w:val="48"/>
        </w:rPr>
      </w:pPr>
      <w:r>
        <w:rPr>
          <w:rFonts w:hint="eastAsia" w:ascii="黑体" w:eastAsia="黑体"/>
          <w:sz w:val="48"/>
        </w:rPr>
        <w:t>第三部分</w:t>
      </w:r>
      <w:r>
        <w:rPr>
          <w:rFonts w:ascii="黑体" w:eastAsia="黑体"/>
          <w:sz w:val="48"/>
        </w:rPr>
        <w:t xml:space="preserve"> 名词解释</w:t>
      </w:r>
    </w:p>
    <w:p>
      <w:pPr>
        <w:adjustRightInd/>
        <w:snapToGrid/>
        <w:spacing w:line="220" w:lineRule="atLeast"/>
        <w:rPr>
          <w:rFonts w:ascii="仿宋_GB2312" w:hAnsi="宋体" w:eastAsia="仿宋_GB2312"/>
          <w:sz w:val="32"/>
          <w:szCs w:val="32"/>
        </w:rPr>
      </w:pPr>
      <w:r>
        <w:rPr>
          <w:rFonts w:ascii="仿宋_GB2312" w:hAnsi="宋体" w:eastAsia="仿宋_GB2312"/>
          <w:sz w:val="32"/>
          <w:szCs w:val="32"/>
        </w:rPr>
        <w:br w:type="page"/>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一、财政拨款收入：</w:t>
      </w:r>
      <w:r>
        <w:rPr>
          <w:rFonts w:hint="eastAsia" w:ascii="仿宋_GB2312" w:hAnsi="仿宋_GB2312" w:eastAsia="仿宋_GB2312" w:cs="仿宋_GB2312"/>
          <w:sz w:val="32"/>
          <w:szCs w:val="32"/>
        </w:rPr>
        <w:t>单位从同级政府财政部门取得的各类财政拨款。</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二、事业收入：</w:t>
      </w:r>
      <w:r>
        <w:rPr>
          <w:rFonts w:hint="eastAsia" w:ascii="仿宋_GB2312" w:hAnsi="仿宋_GB2312" w:eastAsia="仿宋_GB2312" w:cs="仿宋_GB2312"/>
          <w:sz w:val="32"/>
          <w:szCs w:val="32"/>
        </w:rPr>
        <w:t>事业单位开展专业业务活动及其辅助活动取得的收入。</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三、上级补助收入：</w:t>
      </w:r>
      <w:r>
        <w:rPr>
          <w:rFonts w:hint="eastAsia" w:ascii="仿宋_GB2312" w:hAnsi="仿宋_GB2312" w:eastAsia="仿宋_GB2312" w:cs="仿宋_GB2312"/>
          <w:sz w:val="32"/>
          <w:szCs w:val="32"/>
        </w:rPr>
        <w:t>事业单位从主管部门和上级单位取得的非财政补助收入。</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四、附属单位上缴收入：</w:t>
      </w:r>
      <w:r>
        <w:rPr>
          <w:rFonts w:hint="eastAsia" w:ascii="仿宋_GB2312" w:hAnsi="仿宋_GB2312" w:eastAsia="仿宋_GB2312" w:cs="仿宋_GB2312"/>
          <w:sz w:val="32"/>
          <w:szCs w:val="32"/>
        </w:rPr>
        <w:t>事业单位取得附属独立核算单位根据有关规定上缴的收入。</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五、经营收入：</w:t>
      </w:r>
      <w:r>
        <w:rPr>
          <w:rFonts w:hint="eastAsia" w:ascii="仿宋_GB2312" w:hAnsi="仿宋_GB2312" w:eastAsia="仿宋_GB2312" w:cs="仿宋_GB2312"/>
          <w:sz w:val="32"/>
          <w:szCs w:val="32"/>
        </w:rPr>
        <w:t>事业单位在专业业务活动及其辅助活动之外开展非独立核算经营活动取得的收入。</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六、其他收入：</w:t>
      </w:r>
      <w:r>
        <w:rPr>
          <w:rFonts w:hint="eastAsia" w:ascii="仿宋_GB2312" w:hAnsi="仿宋_GB2312" w:eastAsia="仿宋_GB2312" w:cs="仿宋_GB2312"/>
          <w:sz w:val="32"/>
          <w:szCs w:val="32"/>
        </w:rPr>
        <w:t>单位取得的除“财政拨款收入”、“事业收入”、“上级补助收入”、“附属单位上缴收入”、“经营收入”等以外的收入。</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七、用事业基金弥补收支差额：</w:t>
      </w:r>
      <w:r>
        <w:rPr>
          <w:rFonts w:hint="eastAsia" w:ascii="仿宋_GB2312" w:hAnsi="仿宋_GB2312" w:eastAsia="仿宋_GB2312" w:cs="仿宋_GB2312"/>
          <w:sz w:val="32"/>
          <w:szCs w:val="32"/>
        </w:rPr>
        <w:t>事业单位在当年收入不足以安排当年支出的情况下，使用以前年度积累的事业基金（事业单位当年收支相抵后按国家规定提取、用于弥补以后年度收支差额的基金）弥补当年收支缺口的资金。</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八、基本支出：</w:t>
      </w:r>
      <w:r>
        <w:rPr>
          <w:rFonts w:hint="eastAsia" w:ascii="仿宋_GB2312" w:hAnsi="仿宋_GB2312" w:eastAsia="仿宋_GB2312" w:cs="仿宋_GB2312"/>
          <w:sz w:val="32"/>
          <w:szCs w:val="32"/>
        </w:rPr>
        <w:t>为保障机构正常运转、完成日常工作任务而发生的人员支出和公用支出。</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九、项目支出：</w:t>
      </w:r>
      <w:r>
        <w:rPr>
          <w:rFonts w:hint="eastAsia" w:ascii="仿宋_GB2312" w:hAnsi="仿宋_GB2312" w:eastAsia="仿宋_GB2312" w:cs="仿宋_GB2312"/>
          <w:sz w:val="32"/>
          <w:szCs w:val="32"/>
        </w:rPr>
        <w:t>基本支出之外为完成特定行政任务和事业发展目标所发生的支出。</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十、“三公”经费：</w:t>
      </w:r>
      <w:r>
        <w:rPr>
          <w:rFonts w:hint="eastAsia" w:ascii="仿宋_GB2312" w:hAnsi="仿宋_GB2312" w:eastAsia="仿宋_GB2312" w:cs="仿宋_GB2312"/>
          <w:sz w:val="32"/>
          <w:szCs w:val="32"/>
        </w:rPr>
        <w:t>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十一、机关运行经费：</w:t>
      </w:r>
      <w:r>
        <w:rPr>
          <w:rFonts w:hint="eastAsia" w:ascii="仿宋_GB2312" w:hAnsi="仿宋_GB2312" w:eastAsia="仿宋_GB2312" w:cs="仿宋_GB2312"/>
          <w:sz w:val="32"/>
          <w:szCs w:val="32"/>
        </w:rPr>
        <w:t>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十二、工资福利支出：</w:t>
      </w:r>
      <w:r>
        <w:rPr>
          <w:rFonts w:hint="eastAsia" w:ascii="仿宋_GB2312" w:hAnsi="仿宋_GB2312" w:eastAsia="仿宋_GB2312" w:cs="仿宋_GB2312"/>
          <w:sz w:val="32"/>
          <w:szCs w:val="32"/>
        </w:rPr>
        <w:t>单位支付给在职职工和编制外长期聘用人员的各类劳动报酬，以及为上述人员缴纳的各项社会保险费等。</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十三、商品和服务支出：</w:t>
      </w:r>
      <w:r>
        <w:rPr>
          <w:rFonts w:hint="eastAsia" w:ascii="仿宋_GB2312" w:hAnsi="仿宋_GB2312" w:eastAsia="仿宋_GB2312" w:cs="仿宋_GB2312"/>
          <w:sz w:val="32"/>
          <w:szCs w:val="32"/>
        </w:rPr>
        <w:t>单位购买商品和服务的支出。</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十四、对个人和家庭的补助支出：</w:t>
      </w:r>
      <w:r>
        <w:rPr>
          <w:rFonts w:hint="eastAsia" w:ascii="仿宋_GB2312" w:hAnsi="仿宋_GB2312" w:eastAsia="仿宋_GB2312" w:cs="仿宋_GB2312"/>
          <w:sz w:val="32"/>
          <w:szCs w:val="32"/>
        </w:rPr>
        <w:t>单位用于对个人和家庭的补助支出。</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十五、年末结转：</w:t>
      </w:r>
      <w:r>
        <w:rPr>
          <w:rFonts w:hint="eastAsia" w:ascii="仿宋_GB2312" w:hAnsi="仿宋_GB2312" w:eastAsia="仿宋_GB2312" w:cs="仿宋_GB2312"/>
          <w:sz w:val="32"/>
          <w:szCs w:val="32"/>
        </w:rPr>
        <w:t>本年度或以前年度预算安排，已执行但尚未完成或因客观条件发生变化无法按原计划实施，需延迟到以后年度按有关规定继续使用的资金。</w:t>
      </w:r>
    </w:p>
    <w:p>
      <w:pPr>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sz w:val="32"/>
          <w:szCs w:val="32"/>
        </w:rPr>
        <w:t>十六、年末结余：</w:t>
      </w:r>
      <w:r>
        <w:rPr>
          <w:rFonts w:hint="eastAsia" w:ascii="仿宋_GB2312" w:hAnsi="仿宋_GB2312" w:eastAsia="仿宋_GB2312" w:cs="仿宋_GB2312"/>
          <w:sz w:val="32"/>
          <w:szCs w:val="32"/>
        </w:rPr>
        <w:t>本年度或以前年度预算安排，已执行完毕或因客观条件发生变化无法按原预算安排实施，不需要再使用或无法按原预算安排继续使用的资金。</w:t>
      </w:r>
    </w:p>
    <w:p>
      <w:pPr>
        <w:ind w:firstLine="640" w:firstLineChars="200"/>
        <w:rPr>
          <w:rFonts w:ascii="仿宋_GB2312" w:hAnsi="仿宋_GB2312" w:eastAsia="仿宋_GB2312" w:cs="仿宋_GB2312"/>
          <w:sz w:val="32"/>
          <w:szCs w:val="32"/>
        </w:rPr>
      </w:pPr>
    </w:p>
    <w:p>
      <w:pPr>
        <w:pStyle w:val="2"/>
        <w:tabs>
          <w:tab w:val="left" w:pos="2027"/>
        </w:tabs>
        <w:spacing w:line="406" w:lineRule="exact"/>
        <w:rPr>
          <w:rFonts w:ascii="黑体" w:eastAsia="黑体"/>
        </w:rPr>
      </w:pPr>
      <w:r>
        <w:rPr>
          <w:rFonts w:hint="eastAsia" w:eastAsia="黑体"/>
          <w:lang w:val="en-US"/>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spacing w:line="220" w:lineRule="atLeast"/>
        <w:rPr>
          <w:rFonts w:ascii="仿宋_GB2312" w:hAnsi="宋体" w:eastAsia="仿宋_GB2312"/>
          <w:sz w:val="32"/>
          <w:szCs w:val="32"/>
        </w:rPr>
      </w:pP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61007A87" w:usb1="80000000" w:usb2="00000008" w:usb3="00000000" w:csb0="200101FF" w:csb1="2028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lang w:val="zh-CN" w:bidi="zh-CN"/>
      </w:rPr>
      <w:pict>
        <v:shape id="_x0000_s5121" o:spid="_x0000_s5121" o:spt="202" type="#_x0000_t202" style="position:absolute;left:0pt;margin-top:0pt;height:144pt;width:144pt;mso-position-horizontal:center;mso-position-horizontal-relative:margin;mso-wrap-style:none;z-index:251658240;mso-width-relative:page;mso-height-relative:page;" filled="f" o:preferrelative="t" stroked="f" coordsize="21600,21600">
          <v:path/>
          <v:fill on="f" focussize="0,0"/>
          <v:stroke on="f" joinstyle="miter"/>
          <v:imagedata o:title=""/>
          <o:lock v:ext="edit"/>
          <v:textbox inset="0mm,0mm,0mm,0mm" style="mso-fit-shape-to-text:t;">
            <w:txbxContent>
              <w:p>
                <w:pPr>
                  <w:pStyle w:val="3"/>
                  <w:jc w:val="center"/>
                </w:pPr>
                <w:r>
                  <w:fldChar w:fldCharType="begin"/>
                </w:r>
                <w:r>
                  <w:instrText xml:space="preserve"> PAGE   \* MERGEFORMAT </w:instrText>
                </w:r>
                <w:r>
                  <w:fldChar w:fldCharType="separate"/>
                </w:r>
                <w:r>
                  <w:t>13</w:t>
                </w:r>
                <w:r>
                  <w:fldChar w:fldCharType="end"/>
                </w:r>
              </w:p>
              <w:p/>
            </w:txbxContent>
          </v:textbox>
        </v:shape>
      </w:pict>
    </w:r>
  </w:p>
  <w:p>
    <w:pPr>
      <w:pStyle w:val="2"/>
      <w:spacing w:line="14" w:lineRule="auto"/>
      <w:rPr>
        <w:sz w:val="20"/>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720"/>
  <w:characterSpacingControl w:val="doNotCompress"/>
  <w:hdrShapeDefaults>
    <o:shapelayout v:ext="edit">
      <o:idmap v:ext="edit" data="5"/>
    </o:shapelayout>
  </w:hdrShapeDefaults>
  <w:compat>
    <w:useFELayout/>
    <w:compatSetting w:name="compatibilityMode" w:uri="http://schemas.microsoft.com/office/word" w:val="12"/>
  </w:compat>
  <w:rsids>
    <w:rsidRoot w:val="00D31D50"/>
    <w:rsid w:val="00141E80"/>
    <w:rsid w:val="001F681C"/>
    <w:rsid w:val="003107A6"/>
    <w:rsid w:val="00311799"/>
    <w:rsid w:val="00323B43"/>
    <w:rsid w:val="003D37D8"/>
    <w:rsid w:val="00426133"/>
    <w:rsid w:val="004358AB"/>
    <w:rsid w:val="004560B3"/>
    <w:rsid w:val="005E30B0"/>
    <w:rsid w:val="00653A0C"/>
    <w:rsid w:val="008B7726"/>
    <w:rsid w:val="009B11E8"/>
    <w:rsid w:val="00A82687"/>
    <w:rsid w:val="00D31D50"/>
    <w:rsid w:val="00F4362B"/>
    <w:rsid w:val="00F758D6"/>
    <w:rsid w:val="279544B0"/>
    <w:rsid w:val="78826D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5">
    <w:name w:val="Default Paragraph Font"/>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9"/>
    <w:qFormat/>
    <w:uiPriority w:val="0"/>
    <w:pPr>
      <w:widowControl w:val="0"/>
      <w:autoSpaceDE w:val="0"/>
      <w:autoSpaceDN w:val="0"/>
      <w:adjustRightInd/>
      <w:snapToGrid/>
      <w:spacing w:after="0"/>
    </w:pPr>
    <w:rPr>
      <w:rFonts w:ascii="仿宋_GB2312" w:hAnsi="仿宋_GB2312" w:eastAsia="仿宋_GB2312" w:cs="仿宋_GB2312"/>
      <w:sz w:val="32"/>
      <w:szCs w:val="32"/>
      <w:lang w:val="zh-CN" w:bidi="zh-CN"/>
    </w:rPr>
  </w:style>
  <w:style w:type="paragraph" w:styleId="3">
    <w:name w:val="footer"/>
    <w:basedOn w:val="1"/>
    <w:link w:val="8"/>
    <w:unhideWhenUsed/>
    <w:qFormat/>
    <w:uiPriority w:val="0"/>
    <w:pPr>
      <w:tabs>
        <w:tab w:val="center" w:pos="4153"/>
        <w:tab w:val="right" w:pos="8306"/>
      </w:tabs>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jc w:val="center"/>
    </w:pPr>
    <w:rPr>
      <w:sz w:val="18"/>
      <w:szCs w:val="18"/>
    </w:rPr>
  </w:style>
  <w:style w:type="character" w:customStyle="1" w:styleId="7">
    <w:name w:val="页眉 Char"/>
    <w:basedOn w:val="5"/>
    <w:link w:val="4"/>
    <w:semiHidden/>
    <w:qFormat/>
    <w:uiPriority w:val="99"/>
    <w:rPr>
      <w:rFonts w:ascii="Tahoma" w:hAnsi="Tahoma"/>
      <w:sz w:val="18"/>
      <w:szCs w:val="18"/>
    </w:rPr>
  </w:style>
  <w:style w:type="character" w:customStyle="1" w:styleId="8">
    <w:name w:val="页脚 Char"/>
    <w:basedOn w:val="5"/>
    <w:link w:val="3"/>
    <w:semiHidden/>
    <w:qFormat/>
    <w:uiPriority w:val="0"/>
    <w:rPr>
      <w:rFonts w:ascii="Tahoma" w:hAnsi="Tahoma"/>
      <w:sz w:val="18"/>
      <w:szCs w:val="18"/>
    </w:rPr>
  </w:style>
  <w:style w:type="character" w:customStyle="1" w:styleId="9">
    <w:name w:val="正文文本 Char"/>
    <w:basedOn w:val="5"/>
    <w:link w:val="2"/>
    <w:qFormat/>
    <w:uiPriority w:val="0"/>
    <w:rPr>
      <w:rFonts w:ascii="仿宋_GB2312" w:hAnsi="仿宋_GB2312" w:eastAsia="仿宋_GB2312" w:cs="仿宋_GB2312"/>
      <w:sz w:val="32"/>
      <w:szCs w:val="32"/>
      <w:lang w:val="zh-CN" w:bidi="zh-CN"/>
    </w:rPr>
  </w:style>
  <w:style w:type="paragraph" w:customStyle="1" w:styleId="10">
    <w:name w:val="标题 11"/>
    <w:basedOn w:val="1"/>
    <w:qFormat/>
    <w:uiPriority w:val="0"/>
    <w:pPr>
      <w:widowControl w:val="0"/>
      <w:autoSpaceDE w:val="0"/>
      <w:autoSpaceDN w:val="0"/>
      <w:adjustRightInd/>
      <w:snapToGrid/>
      <w:spacing w:before="27" w:after="0"/>
      <w:ind w:left="2273" w:right="2175"/>
      <w:jc w:val="center"/>
      <w:outlineLvl w:val="1"/>
    </w:pPr>
    <w:rPr>
      <w:rFonts w:ascii="黑体" w:hAnsi="黑体" w:eastAsia="黑体" w:cs="黑体"/>
      <w:sz w:val="52"/>
      <w:szCs w:val="52"/>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512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569</Words>
  <Characters>3249</Characters>
  <Lines>27</Lines>
  <Paragraphs>7</Paragraphs>
  <TotalTime>55</TotalTime>
  <ScaleCrop>false</ScaleCrop>
  <LinksUpToDate>false</LinksUpToDate>
  <CharactersWithSpaces>3811</CharactersWithSpaces>
  <Application>WPS Office_10.1.0.7668_F1E327BC-269C-435d-A152-05C5408002CA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dcterms:modified xsi:type="dcterms:W3CDTF">2019-01-31T03:00:23Z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2052-10.1.0.7668</vt:lpwstr>
  </property>
</Properties>
</file>