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13"/>
        <w:ind w:left="-708" w:leftChars="-322" w:right="-63"/>
      </w:pPr>
      <w:r>
        <w:rPr>
          <w:rFonts w:hint="eastAsia"/>
          <w:lang w:eastAsia="zh-CN"/>
        </w:rPr>
        <w:t>西华县交通运输局</w:t>
      </w:r>
    </w:p>
    <w:p>
      <w:pPr>
        <w:spacing w:before="285"/>
        <w:ind w:left="2273" w:right="-63"/>
        <w:rPr>
          <w:rFonts w:ascii="黑体" w:eastAsia="黑体"/>
          <w:sz w:val="52"/>
        </w:rPr>
      </w:pPr>
      <w:r>
        <w:rPr>
          <w:rFonts w:hint="eastAsia" w:ascii="黑体" w:eastAsia="黑体"/>
          <w:sz w:val="52"/>
        </w:rPr>
        <w:t>2017 年度部门决算</w:t>
      </w:r>
    </w:p>
    <w:p>
      <w:pPr>
        <w:pStyle w:val="2"/>
        <w:jc w:val="center"/>
        <w:rPr>
          <w:rFonts w:ascii="黑体"/>
          <w:sz w:val="52"/>
        </w:rPr>
      </w:pPr>
    </w:p>
    <w:p>
      <w:pPr>
        <w:pStyle w:val="2"/>
        <w:rPr>
          <w:rFonts w:ascii="黑体"/>
          <w:sz w:val="52"/>
        </w:rPr>
      </w:pPr>
    </w:p>
    <w:p>
      <w:pPr>
        <w:pStyle w:val="2"/>
        <w:rPr>
          <w:rFonts w:ascii="黑体"/>
          <w:sz w:val="52"/>
        </w:rPr>
      </w:pPr>
    </w:p>
    <w:p>
      <w:pPr>
        <w:pStyle w:val="2"/>
        <w:rPr>
          <w:rFonts w:ascii="黑体"/>
          <w:sz w:val="52"/>
        </w:rPr>
      </w:pPr>
    </w:p>
    <w:p>
      <w:pPr>
        <w:pStyle w:val="2"/>
        <w:rPr>
          <w:rFonts w:ascii="黑体"/>
          <w:sz w:val="52"/>
        </w:rPr>
      </w:pPr>
    </w:p>
    <w:p>
      <w:pPr>
        <w:pStyle w:val="2"/>
        <w:rPr>
          <w:rFonts w:ascii="黑体"/>
          <w:sz w:val="52"/>
        </w:rPr>
      </w:pPr>
    </w:p>
    <w:p>
      <w:pPr>
        <w:pStyle w:val="2"/>
        <w:rPr>
          <w:rFonts w:ascii="黑体"/>
          <w:sz w:val="52"/>
        </w:rPr>
      </w:pPr>
    </w:p>
    <w:p>
      <w:pPr>
        <w:pStyle w:val="2"/>
        <w:rPr>
          <w:rFonts w:ascii="黑体"/>
          <w:sz w:val="52"/>
        </w:rPr>
      </w:pPr>
    </w:p>
    <w:p>
      <w:pPr>
        <w:pStyle w:val="2"/>
        <w:spacing w:before="2"/>
        <w:rPr>
          <w:rFonts w:ascii="黑体"/>
          <w:sz w:val="49"/>
        </w:rPr>
      </w:pPr>
    </w:p>
    <w:p>
      <w:pPr>
        <w:pStyle w:val="2"/>
        <w:ind w:left="2273" w:right="2175"/>
        <w:jc w:val="center"/>
        <w:rPr>
          <w:rFonts w:ascii="黑体" w:eastAsia="黑体"/>
        </w:rPr>
      </w:pPr>
      <w:r>
        <w:rPr>
          <w:rFonts w:hint="eastAsia" w:ascii="黑体" w:eastAsia="黑体"/>
        </w:rPr>
        <w:t>二〇一八年</w:t>
      </w:r>
      <w:r>
        <w:rPr>
          <w:rFonts w:hint="eastAsia" w:ascii="黑体" w:eastAsia="黑体"/>
          <w:lang w:val="en-US" w:eastAsia="zh-CN"/>
        </w:rPr>
        <w:t>八</w:t>
      </w:r>
      <w:r>
        <w:rPr>
          <w:rFonts w:hint="eastAsia" w:ascii="黑体" w:eastAsia="黑体"/>
        </w:rPr>
        <w:t>月</w:t>
      </w:r>
    </w:p>
    <w:p>
      <w:pPr>
        <w:jc w:val="center"/>
        <w:sectPr>
          <w:footerReference r:id="rId3" w:type="default"/>
          <w:type w:val="continuous"/>
          <w:pgSz w:w="11910" w:h="16840"/>
          <w:pgMar w:top="1600" w:right="570" w:bottom="1180" w:left="1480" w:header="720" w:footer="999" w:gutter="0"/>
          <w:pgNumType w:start="1"/>
          <w:cols w:space="720" w:num="1"/>
        </w:sectPr>
      </w:pPr>
    </w:p>
    <w:p>
      <w:pPr>
        <w:tabs>
          <w:tab w:val="left" w:pos="3420"/>
        </w:tabs>
        <w:spacing w:before="26"/>
        <w:jc w:val="center"/>
        <w:rPr>
          <w:rFonts w:ascii="黑体" w:eastAsia="黑体"/>
          <w:sz w:val="36"/>
        </w:rPr>
      </w:pPr>
      <w:r>
        <w:rPr>
          <w:rFonts w:hint="eastAsia" w:ascii="黑体" w:eastAsia="黑体"/>
          <w:sz w:val="36"/>
        </w:rPr>
        <w:t>目    录</w:t>
      </w:r>
    </w:p>
    <w:p>
      <w:pPr>
        <w:pStyle w:val="2"/>
        <w:keepNext w:val="0"/>
        <w:keepLines w:val="0"/>
        <w:pageBreakBefore w:val="0"/>
        <w:widowControl w:val="0"/>
        <w:tabs>
          <w:tab w:val="left" w:pos="2027"/>
        </w:tabs>
        <w:kinsoku/>
        <w:wordWrap/>
        <w:overflowPunct/>
        <w:topLinePunct w:val="0"/>
        <w:autoSpaceDE w:val="0"/>
        <w:autoSpaceDN w:val="0"/>
        <w:bidi w:val="0"/>
        <w:adjustRightInd/>
        <w:snapToGrid/>
        <w:spacing w:before="198" w:line="800" w:lineRule="exact"/>
        <w:jc w:val="center"/>
        <w:textAlignment w:val="auto"/>
        <w:rPr>
          <w:rFonts w:ascii="黑体" w:eastAsia="黑体"/>
        </w:rPr>
      </w:pPr>
      <w:r>
        <w:rPr>
          <w:rFonts w:hint="eastAsia" w:ascii="黑体" w:eastAsia="黑体"/>
        </w:rPr>
        <w:t>第一部分</w:t>
      </w:r>
      <w:r>
        <w:rPr>
          <w:rFonts w:hint="eastAsia" w:ascii="黑体" w:eastAsia="黑体"/>
          <w:lang w:val="en-US" w:eastAsia="zh-CN"/>
        </w:rPr>
        <w:t xml:space="preserve">     </w:t>
      </w:r>
      <w:r>
        <w:rPr>
          <w:rFonts w:hint="eastAsia" w:ascii="黑体" w:eastAsia="黑体"/>
        </w:rPr>
        <w:t xml:space="preserve"> </w:t>
      </w:r>
      <w:r>
        <w:rPr>
          <w:rFonts w:hint="eastAsia" w:ascii="黑体" w:eastAsia="黑体"/>
          <w:lang w:eastAsia="zh-CN"/>
        </w:rPr>
        <w:t>西华县交通运输局</w:t>
      </w:r>
      <w:r>
        <w:rPr>
          <w:rFonts w:hint="eastAsia" w:ascii="黑体" w:eastAsia="黑体"/>
        </w:rPr>
        <w:t>概况</w:t>
      </w:r>
    </w:p>
    <w:p>
      <w:pPr>
        <w:pStyle w:val="2"/>
        <w:keepNext w:val="0"/>
        <w:keepLines w:val="0"/>
        <w:pageBreakBefore w:val="0"/>
        <w:widowControl w:val="0"/>
        <w:kinsoku/>
        <w:wordWrap/>
        <w:overflowPunct/>
        <w:topLinePunct w:val="0"/>
        <w:autoSpaceDE w:val="0"/>
        <w:autoSpaceDN w:val="0"/>
        <w:bidi w:val="0"/>
        <w:adjustRightInd/>
        <w:snapToGrid/>
        <w:spacing w:line="800" w:lineRule="exact"/>
        <w:ind w:left="0" w:right="0" w:firstLine="640" w:firstLineChars="200"/>
        <w:textAlignment w:val="auto"/>
        <w:rPr>
          <w:rFonts w:hint="eastAsia" w:ascii="宋体" w:eastAsia="宋体"/>
        </w:rPr>
      </w:pPr>
      <w:r>
        <w:rPr>
          <w:rFonts w:hint="eastAsia" w:ascii="宋体" w:eastAsia="宋体"/>
        </w:rPr>
        <w:t>一、部门职责</w:t>
      </w:r>
    </w:p>
    <w:p>
      <w:pPr>
        <w:pStyle w:val="2"/>
        <w:keepNext w:val="0"/>
        <w:keepLines w:val="0"/>
        <w:pageBreakBefore w:val="0"/>
        <w:widowControl w:val="0"/>
        <w:kinsoku/>
        <w:wordWrap/>
        <w:overflowPunct/>
        <w:topLinePunct w:val="0"/>
        <w:autoSpaceDE w:val="0"/>
        <w:autoSpaceDN w:val="0"/>
        <w:bidi w:val="0"/>
        <w:adjustRightInd/>
        <w:snapToGrid/>
        <w:spacing w:line="800" w:lineRule="exact"/>
        <w:ind w:left="0" w:right="0" w:firstLine="640" w:firstLineChars="200"/>
        <w:textAlignment w:val="auto"/>
        <w:rPr>
          <w:rFonts w:ascii="宋体" w:eastAsia="宋体"/>
        </w:rPr>
      </w:pPr>
      <w:r>
        <w:rPr>
          <w:rFonts w:hint="eastAsia" w:ascii="宋体" w:eastAsia="宋体"/>
        </w:rPr>
        <w:t>二、机构设置</w:t>
      </w:r>
    </w:p>
    <w:p>
      <w:pPr>
        <w:pStyle w:val="2"/>
        <w:keepNext w:val="0"/>
        <w:keepLines w:val="0"/>
        <w:pageBreakBefore w:val="0"/>
        <w:widowControl w:val="0"/>
        <w:tabs>
          <w:tab w:val="left" w:pos="2026"/>
        </w:tabs>
        <w:kinsoku/>
        <w:wordWrap/>
        <w:overflowPunct/>
        <w:topLinePunct w:val="0"/>
        <w:autoSpaceDE w:val="0"/>
        <w:autoSpaceDN w:val="0"/>
        <w:bidi w:val="0"/>
        <w:adjustRightInd/>
        <w:snapToGrid/>
        <w:spacing w:line="800" w:lineRule="exact"/>
        <w:jc w:val="center"/>
        <w:textAlignment w:val="auto"/>
        <w:rPr>
          <w:rFonts w:ascii="黑体" w:eastAsia="黑体"/>
        </w:rPr>
      </w:pPr>
      <w:r>
        <w:rPr>
          <w:rFonts w:hint="eastAsia" w:ascii="黑体" w:eastAsia="黑体"/>
        </w:rPr>
        <w:t>第</w:t>
      </w:r>
      <w:r>
        <w:rPr>
          <w:rFonts w:hint="eastAsia" w:ascii="黑体" w:eastAsia="黑体"/>
          <w:lang w:val="en-US" w:eastAsia="zh-CN"/>
        </w:rPr>
        <w:t>二</w:t>
      </w:r>
      <w:r>
        <w:rPr>
          <w:rFonts w:hint="eastAsia" w:ascii="黑体" w:eastAsia="黑体"/>
        </w:rPr>
        <w:t>部分</w:t>
      </w:r>
      <w:r>
        <w:rPr>
          <w:rFonts w:hint="eastAsia" w:ascii="黑体" w:eastAsia="黑体"/>
        </w:rPr>
        <w:tab/>
      </w:r>
      <w:r>
        <w:rPr>
          <w:rFonts w:hint="eastAsia" w:ascii="黑体" w:eastAsia="黑体"/>
        </w:rPr>
        <w:t xml:space="preserve"> 2017</w:t>
      </w:r>
      <w:r>
        <w:rPr>
          <w:rFonts w:hint="eastAsia" w:ascii="黑体" w:eastAsia="黑体"/>
          <w:spacing w:val="-82"/>
        </w:rPr>
        <w:t xml:space="preserve"> </w:t>
      </w:r>
      <w:r>
        <w:rPr>
          <w:rFonts w:hint="eastAsia" w:ascii="黑体" w:eastAsia="黑体"/>
        </w:rPr>
        <w:t>年度部门决算情况说明</w:t>
      </w:r>
    </w:p>
    <w:p>
      <w:pPr>
        <w:pStyle w:val="2"/>
        <w:keepNext w:val="0"/>
        <w:keepLines w:val="0"/>
        <w:pageBreakBefore w:val="0"/>
        <w:widowControl w:val="0"/>
        <w:kinsoku/>
        <w:wordWrap/>
        <w:overflowPunct/>
        <w:topLinePunct w:val="0"/>
        <w:autoSpaceDE w:val="0"/>
        <w:autoSpaceDN w:val="0"/>
        <w:bidi w:val="0"/>
        <w:adjustRightInd/>
        <w:snapToGrid/>
        <w:spacing w:line="800" w:lineRule="exact"/>
        <w:ind w:right="0" w:firstLine="636" w:firstLineChars="200"/>
        <w:textAlignment w:val="auto"/>
        <w:rPr>
          <w:rFonts w:hint="eastAsia" w:ascii="宋体" w:eastAsia="宋体"/>
          <w:spacing w:val="-1"/>
        </w:rPr>
      </w:pPr>
      <w:r>
        <w:rPr>
          <w:rFonts w:hint="eastAsia" w:ascii="宋体" w:eastAsia="宋体"/>
          <w:spacing w:val="-1"/>
        </w:rPr>
        <w:t>一、收入支出决算总体情况说明</w:t>
      </w:r>
    </w:p>
    <w:p>
      <w:pPr>
        <w:pStyle w:val="2"/>
        <w:keepNext w:val="0"/>
        <w:keepLines w:val="0"/>
        <w:pageBreakBefore w:val="0"/>
        <w:widowControl w:val="0"/>
        <w:kinsoku/>
        <w:wordWrap/>
        <w:overflowPunct/>
        <w:topLinePunct w:val="0"/>
        <w:autoSpaceDE w:val="0"/>
        <w:autoSpaceDN w:val="0"/>
        <w:bidi w:val="0"/>
        <w:adjustRightInd/>
        <w:snapToGrid/>
        <w:spacing w:line="800" w:lineRule="exact"/>
        <w:ind w:right="0" w:firstLine="636" w:firstLineChars="200"/>
        <w:textAlignment w:val="auto"/>
        <w:rPr>
          <w:rFonts w:ascii="宋体" w:eastAsia="宋体"/>
        </w:rPr>
      </w:pPr>
      <w:r>
        <w:rPr>
          <w:rFonts w:hint="eastAsia" w:ascii="宋体" w:eastAsia="宋体"/>
          <w:spacing w:val="-1"/>
        </w:rPr>
        <w:t>二、收入决算情况说明</w:t>
      </w:r>
    </w:p>
    <w:p>
      <w:pPr>
        <w:pStyle w:val="2"/>
        <w:keepNext w:val="0"/>
        <w:keepLines w:val="0"/>
        <w:pageBreakBefore w:val="0"/>
        <w:widowControl w:val="0"/>
        <w:kinsoku/>
        <w:wordWrap/>
        <w:overflowPunct/>
        <w:topLinePunct w:val="0"/>
        <w:autoSpaceDE w:val="0"/>
        <w:autoSpaceDN w:val="0"/>
        <w:bidi w:val="0"/>
        <w:adjustRightInd/>
        <w:snapToGrid/>
        <w:spacing w:line="800" w:lineRule="exact"/>
        <w:ind w:firstLine="636" w:firstLineChars="200"/>
        <w:textAlignment w:val="auto"/>
        <w:rPr>
          <w:rFonts w:ascii="宋体" w:eastAsia="宋体"/>
        </w:rPr>
      </w:pPr>
      <w:r>
        <w:rPr>
          <w:rFonts w:hint="eastAsia" w:ascii="宋体" w:eastAsia="宋体"/>
          <w:spacing w:val="-1"/>
        </w:rPr>
        <w:t>三、支出决算情况说明</w:t>
      </w:r>
    </w:p>
    <w:p>
      <w:pPr>
        <w:pStyle w:val="2"/>
        <w:keepNext w:val="0"/>
        <w:keepLines w:val="0"/>
        <w:pageBreakBefore w:val="0"/>
        <w:widowControl w:val="0"/>
        <w:kinsoku/>
        <w:wordWrap/>
        <w:overflowPunct/>
        <w:topLinePunct w:val="0"/>
        <w:autoSpaceDE w:val="0"/>
        <w:autoSpaceDN w:val="0"/>
        <w:bidi w:val="0"/>
        <w:adjustRightInd/>
        <w:snapToGrid/>
        <w:spacing w:line="800" w:lineRule="exact"/>
        <w:ind w:left="0" w:firstLine="640" w:firstLineChars="200"/>
        <w:textAlignment w:val="auto"/>
        <w:rPr>
          <w:rFonts w:ascii="宋体" w:eastAsia="宋体"/>
        </w:rPr>
      </w:pPr>
      <w:r>
        <w:rPr>
          <w:rFonts w:hint="eastAsia" w:ascii="宋体" w:eastAsia="宋体"/>
        </w:rPr>
        <w:t>四、财政拨款收入支出决算总体情况说明</w:t>
      </w:r>
    </w:p>
    <w:p>
      <w:pPr>
        <w:pStyle w:val="2"/>
        <w:keepNext w:val="0"/>
        <w:keepLines w:val="0"/>
        <w:pageBreakBefore w:val="0"/>
        <w:widowControl w:val="0"/>
        <w:kinsoku/>
        <w:wordWrap/>
        <w:overflowPunct/>
        <w:topLinePunct w:val="0"/>
        <w:autoSpaceDE w:val="0"/>
        <w:autoSpaceDN w:val="0"/>
        <w:bidi w:val="0"/>
        <w:adjustRightInd/>
        <w:snapToGrid/>
        <w:spacing w:line="800" w:lineRule="exact"/>
        <w:ind w:left="0" w:firstLine="640" w:firstLineChars="200"/>
        <w:textAlignment w:val="auto"/>
        <w:rPr>
          <w:rFonts w:ascii="宋体" w:eastAsia="宋体"/>
        </w:rPr>
      </w:pPr>
      <w:r>
        <w:rPr>
          <w:rFonts w:hint="eastAsia" w:ascii="宋体" w:eastAsia="宋体"/>
        </w:rPr>
        <w:t>五、一般公共预算财政拨款支出决算情况说明</w:t>
      </w:r>
    </w:p>
    <w:p>
      <w:pPr>
        <w:pStyle w:val="2"/>
        <w:keepNext w:val="0"/>
        <w:keepLines w:val="0"/>
        <w:pageBreakBefore w:val="0"/>
        <w:widowControl w:val="0"/>
        <w:kinsoku/>
        <w:wordWrap/>
        <w:overflowPunct/>
        <w:topLinePunct w:val="0"/>
        <w:autoSpaceDE w:val="0"/>
        <w:autoSpaceDN w:val="0"/>
        <w:bidi w:val="0"/>
        <w:adjustRightInd/>
        <w:snapToGrid/>
        <w:spacing w:line="800" w:lineRule="exact"/>
        <w:ind w:left="0" w:firstLine="640" w:firstLineChars="200"/>
        <w:textAlignment w:val="auto"/>
        <w:rPr>
          <w:rFonts w:ascii="宋体" w:eastAsia="宋体"/>
        </w:rPr>
      </w:pPr>
      <w:r>
        <w:rPr>
          <w:rFonts w:hint="eastAsia" w:ascii="宋体" w:eastAsia="宋体"/>
        </w:rPr>
        <w:t>六、一般公共预算财政拨款基本支出决算情况说明</w:t>
      </w:r>
    </w:p>
    <w:p>
      <w:pPr>
        <w:pStyle w:val="2"/>
        <w:keepNext w:val="0"/>
        <w:keepLines w:val="0"/>
        <w:pageBreakBefore w:val="0"/>
        <w:widowControl w:val="0"/>
        <w:kinsoku/>
        <w:wordWrap/>
        <w:overflowPunct/>
        <w:topLinePunct w:val="0"/>
        <w:autoSpaceDE w:val="0"/>
        <w:autoSpaceDN w:val="0"/>
        <w:bidi w:val="0"/>
        <w:adjustRightInd/>
        <w:snapToGrid/>
        <w:spacing w:line="800" w:lineRule="exact"/>
        <w:ind w:left="0" w:firstLine="560" w:firstLineChars="200"/>
        <w:textAlignment w:val="auto"/>
        <w:rPr>
          <w:rFonts w:hint="eastAsia" w:ascii="宋体" w:hAnsi="宋体" w:eastAsia="宋体"/>
          <w:spacing w:val="-20"/>
          <w:lang w:val="en-US" w:eastAsia="zh-CN"/>
        </w:rPr>
      </w:pPr>
      <w:r>
        <w:rPr>
          <w:rFonts w:hint="eastAsia" w:ascii="宋体" w:hAnsi="宋体" w:eastAsia="宋体"/>
          <w:spacing w:val="-20"/>
        </w:rPr>
        <w:t>七、一般公共预算财政拨款“三公”经费支出决算情况说</w:t>
      </w:r>
      <w:r>
        <w:rPr>
          <w:rFonts w:hint="eastAsia" w:ascii="宋体" w:hAnsi="宋体" w:eastAsia="宋体"/>
          <w:spacing w:val="-20"/>
          <w:lang w:val="en-US" w:eastAsia="zh-CN"/>
        </w:rPr>
        <w:t>明</w:t>
      </w:r>
    </w:p>
    <w:p>
      <w:pPr>
        <w:pStyle w:val="2"/>
        <w:keepNext w:val="0"/>
        <w:keepLines w:val="0"/>
        <w:pageBreakBefore w:val="0"/>
        <w:widowControl w:val="0"/>
        <w:kinsoku/>
        <w:wordWrap/>
        <w:overflowPunct/>
        <w:topLinePunct w:val="0"/>
        <w:autoSpaceDE w:val="0"/>
        <w:autoSpaceDN w:val="0"/>
        <w:bidi w:val="0"/>
        <w:adjustRightInd/>
        <w:snapToGrid/>
        <w:spacing w:line="800" w:lineRule="exact"/>
        <w:ind w:left="0" w:firstLine="560" w:firstLineChars="200"/>
        <w:textAlignment w:val="auto"/>
        <w:rPr>
          <w:rFonts w:hint="eastAsia" w:ascii="宋体" w:hAnsi="宋体" w:eastAsia="宋体"/>
          <w:color w:val="000000" w:themeColor="text1"/>
          <w:spacing w:val="-20"/>
          <w:lang w:val="en-US" w:eastAsia="zh-CN"/>
        </w:rPr>
      </w:pPr>
      <w:r>
        <w:rPr>
          <w:rFonts w:hint="eastAsia" w:ascii="宋体" w:hAnsi="宋体" w:eastAsia="宋体"/>
          <w:color w:val="000000" w:themeColor="text1"/>
          <w:spacing w:val="-20"/>
          <w:lang w:val="en-US" w:eastAsia="zh-CN"/>
        </w:rPr>
        <w:t>八、重点绩效评价结果等预算绩效情况说明</w:t>
      </w:r>
    </w:p>
    <w:p>
      <w:pPr>
        <w:pStyle w:val="2"/>
        <w:keepNext w:val="0"/>
        <w:keepLines w:val="0"/>
        <w:pageBreakBefore w:val="0"/>
        <w:widowControl w:val="0"/>
        <w:kinsoku/>
        <w:wordWrap/>
        <w:overflowPunct/>
        <w:topLinePunct w:val="0"/>
        <w:autoSpaceDE w:val="0"/>
        <w:autoSpaceDN w:val="0"/>
        <w:bidi w:val="0"/>
        <w:adjustRightInd/>
        <w:snapToGrid/>
        <w:spacing w:line="800" w:lineRule="exact"/>
        <w:ind w:right="0" w:firstLine="640" w:firstLineChars="200"/>
        <w:textAlignment w:val="auto"/>
        <w:rPr>
          <w:rFonts w:hint="eastAsia" w:ascii="宋体" w:eastAsia="宋体"/>
        </w:rPr>
      </w:pPr>
      <w:r>
        <w:rPr>
          <w:rFonts w:hint="eastAsia" w:ascii="宋体" w:eastAsia="宋体"/>
        </w:rPr>
        <w:t>九、政府性基金预算财政拨款支出决算情况说明</w:t>
      </w:r>
    </w:p>
    <w:p>
      <w:pPr>
        <w:pStyle w:val="2"/>
        <w:keepNext w:val="0"/>
        <w:keepLines w:val="0"/>
        <w:pageBreakBefore w:val="0"/>
        <w:widowControl w:val="0"/>
        <w:kinsoku/>
        <w:wordWrap/>
        <w:overflowPunct/>
        <w:topLinePunct w:val="0"/>
        <w:autoSpaceDE w:val="0"/>
        <w:autoSpaceDN w:val="0"/>
        <w:bidi w:val="0"/>
        <w:adjustRightInd/>
        <w:snapToGrid/>
        <w:spacing w:line="800" w:lineRule="exact"/>
        <w:ind w:left="0" w:right="0" w:firstLine="640" w:firstLineChars="200"/>
        <w:textAlignment w:val="auto"/>
        <w:rPr>
          <w:rFonts w:hint="eastAsia" w:ascii="宋体" w:eastAsia="宋体"/>
        </w:rPr>
      </w:pPr>
      <w:r>
        <w:rPr>
          <w:rFonts w:hint="eastAsia" w:ascii="宋体" w:eastAsia="宋体"/>
        </w:rPr>
        <w:t>十、机关运行经费支出情况说明</w:t>
      </w:r>
    </w:p>
    <w:p>
      <w:pPr>
        <w:pStyle w:val="2"/>
        <w:keepNext w:val="0"/>
        <w:keepLines w:val="0"/>
        <w:pageBreakBefore w:val="0"/>
        <w:widowControl w:val="0"/>
        <w:kinsoku/>
        <w:wordWrap/>
        <w:overflowPunct/>
        <w:topLinePunct w:val="0"/>
        <w:autoSpaceDE w:val="0"/>
        <w:autoSpaceDN w:val="0"/>
        <w:bidi w:val="0"/>
        <w:adjustRightInd/>
        <w:snapToGrid/>
        <w:spacing w:line="800" w:lineRule="exact"/>
        <w:ind w:left="0" w:right="0" w:firstLine="640" w:firstLineChars="200"/>
        <w:textAlignment w:val="auto"/>
        <w:rPr>
          <w:rFonts w:hint="eastAsia" w:ascii="宋体" w:eastAsia="宋体"/>
        </w:rPr>
      </w:pPr>
      <w:r>
        <w:rPr>
          <w:rFonts w:hint="eastAsia" w:ascii="宋体" w:eastAsia="宋体"/>
        </w:rPr>
        <w:t>十一、政府采购支出情况说明</w:t>
      </w:r>
    </w:p>
    <w:p>
      <w:pPr>
        <w:pStyle w:val="2"/>
        <w:keepNext w:val="0"/>
        <w:keepLines w:val="0"/>
        <w:pageBreakBefore w:val="0"/>
        <w:widowControl w:val="0"/>
        <w:kinsoku/>
        <w:wordWrap/>
        <w:overflowPunct/>
        <w:topLinePunct w:val="0"/>
        <w:autoSpaceDE w:val="0"/>
        <w:autoSpaceDN w:val="0"/>
        <w:bidi w:val="0"/>
        <w:adjustRightInd/>
        <w:snapToGrid/>
        <w:spacing w:line="800" w:lineRule="exact"/>
        <w:ind w:left="0" w:right="0" w:firstLine="640" w:firstLineChars="200"/>
        <w:textAlignment w:val="auto"/>
        <w:rPr>
          <w:rFonts w:hint="eastAsia" w:ascii="宋体" w:hAnsi="宋体" w:eastAsia="宋体"/>
          <w:spacing w:val="-20"/>
          <w:lang w:val="en-US" w:eastAsia="zh-CN"/>
        </w:rPr>
        <w:sectPr>
          <w:pgSz w:w="11910" w:h="16840"/>
          <w:pgMar w:top="1500" w:right="1520" w:bottom="1180" w:left="1480" w:header="0" w:footer="999" w:gutter="0"/>
          <w:cols w:space="720" w:num="1"/>
        </w:sectPr>
      </w:pPr>
      <w:r>
        <w:rPr>
          <w:rFonts w:hint="eastAsia" w:ascii="宋体" w:eastAsia="宋体"/>
        </w:rPr>
        <w:t>十二、国有资产占用情况说明</w:t>
      </w:r>
    </w:p>
    <w:p>
      <w:pPr>
        <w:pStyle w:val="2"/>
        <w:tabs>
          <w:tab w:val="left" w:pos="2027"/>
        </w:tabs>
        <w:spacing w:line="407" w:lineRule="exact"/>
        <w:ind w:left="108" w:leftChars="49" w:firstLine="640" w:firstLineChars="200"/>
        <w:rPr>
          <w:rFonts w:ascii="黑体" w:eastAsia="黑体"/>
        </w:rPr>
      </w:pPr>
      <w:r>
        <w:rPr>
          <w:rFonts w:hint="eastAsia" w:ascii="黑体" w:eastAsia="黑体"/>
        </w:rPr>
        <w:t>第</w:t>
      </w:r>
      <w:r>
        <w:rPr>
          <w:rFonts w:hint="eastAsia" w:ascii="黑体" w:eastAsia="黑体"/>
          <w:lang w:val="en-US" w:eastAsia="zh-CN"/>
        </w:rPr>
        <w:t>三</w:t>
      </w:r>
      <w:r>
        <w:rPr>
          <w:rFonts w:hint="eastAsia" w:ascii="黑体" w:eastAsia="黑体"/>
        </w:rPr>
        <w:t>部分</w:t>
      </w:r>
      <w:r>
        <w:rPr>
          <w:rFonts w:hint="eastAsia" w:ascii="黑体" w:eastAsia="黑体"/>
        </w:rPr>
        <w:tab/>
      </w:r>
      <w:r>
        <w:rPr>
          <w:rFonts w:hint="eastAsia" w:ascii="黑体" w:eastAsia="黑体"/>
        </w:rPr>
        <w:t>名词解释</w:t>
      </w:r>
    </w:p>
    <w:p>
      <w:pPr>
        <w:pStyle w:val="2"/>
        <w:tabs>
          <w:tab w:val="left" w:pos="2027"/>
        </w:tabs>
        <w:spacing w:line="406" w:lineRule="exact"/>
        <w:ind w:left="108" w:leftChars="49" w:firstLine="640" w:firstLineChars="200"/>
        <w:rPr>
          <w:rFonts w:hint="eastAsia" w:eastAsia="黑体"/>
          <w:lang w:val="en-US" w:eastAsia="zh-CN"/>
        </w:rPr>
      </w:pPr>
    </w:p>
    <w:p>
      <w:pPr>
        <w:pStyle w:val="2"/>
        <w:tabs>
          <w:tab w:val="left" w:pos="2027"/>
        </w:tabs>
        <w:spacing w:line="406" w:lineRule="exact"/>
        <w:ind w:left="108" w:leftChars="49" w:firstLine="640" w:firstLineChars="200"/>
        <w:rPr>
          <w:rFonts w:ascii="黑体" w:eastAsia="黑体"/>
        </w:rPr>
      </w:pPr>
      <w:r>
        <w:rPr>
          <w:rFonts w:hint="eastAsia" w:eastAsia="黑体"/>
          <w:lang w:val="en-US" w:eastAsia="zh-CN"/>
        </w:rPr>
        <w:t>附件：</w:t>
      </w:r>
      <w:r>
        <w:rPr>
          <w:rFonts w:hint="eastAsia" w:ascii="黑体" w:eastAsia="黑体"/>
        </w:rPr>
        <w:t>2017</w:t>
      </w:r>
      <w:r>
        <w:rPr>
          <w:rFonts w:hint="eastAsia" w:ascii="黑体" w:eastAsia="黑体"/>
          <w:spacing w:val="-82"/>
        </w:rPr>
        <w:t xml:space="preserve"> </w:t>
      </w:r>
      <w:r>
        <w:rPr>
          <w:rFonts w:hint="eastAsia" w:ascii="黑体" w:eastAsia="黑体"/>
        </w:rPr>
        <w:t>年度部门决算表</w:t>
      </w:r>
    </w:p>
    <w:p>
      <w:pPr>
        <w:pStyle w:val="2"/>
        <w:spacing w:before="225" w:line="372" w:lineRule="auto"/>
        <w:ind w:left="747" w:right="4954"/>
        <w:rPr>
          <w:rFonts w:ascii="宋体" w:eastAsia="宋体"/>
        </w:rPr>
      </w:pPr>
      <w:r>
        <w:rPr>
          <w:rFonts w:hint="eastAsia" w:ascii="宋体" w:eastAsia="宋体"/>
          <w:spacing w:val="-2"/>
        </w:rPr>
        <w:t>一、收入支出决算总表</w:t>
      </w:r>
      <w:r>
        <w:rPr>
          <w:rFonts w:hint="eastAsia" w:ascii="宋体" w:eastAsia="宋体"/>
        </w:rPr>
        <w:t>二、收入决算表</w:t>
      </w:r>
    </w:p>
    <w:p>
      <w:pPr>
        <w:pStyle w:val="2"/>
        <w:spacing w:line="406" w:lineRule="exact"/>
        <w:ind w:left="747"/>
        <w:rPr>
          <w:rFonts w:ascii="宋体" w:eastAsia="宋体"/>
        </w:rPr>
      </w:pPr>
      <w:r>
        <w:rPr>
          <w:rFonts w:hint="eastAsia" w:ascii="宋体" w:eastAsia="宋体"/>
          <w:spacing w:val="-1"/>
        </w:rPr>
        <w:t>三、支出决算表</w:t>
      </w:r>
    </w:p>
    <w:p>
      <w:pPr>
        <w:pStyle w:val="2"/>
        <w:spacing w:before="224"/>
        <w:ind w:left="747"/>
        <w:rPr>
          <w:rFonts w:ascii="宋体" w:eastAsia="宋体"/>
        </w:rPr>
      </w:pPr>
      <w:r>
        <w:rPr>
          <w:rFonts w:hint="eastAsia" w:ascii="宋体" w:eastAsia="宋体"/>
        </w:rPr>
        <w:t>四、财政拨款收入支出决算总表</w:t>
      </w:r>
    </w:p>
    <w:p>
      <w:pPr>
        <w:pStyle w:val="2"/>
        <w:spacing w:before="224"/>
        <w:ind w:left="747"/>
        <w:rPr>
          <w:rFonts w:ascii="宋体" w:eastAsia="宋体"/>
        </w:rPr>
      </w:pPr>
      <w:r>
        <w:rPr>
          <w:rFonts w:hint="eastAsia" w:ascii="宋体" w:eastAsia="宋体"/>
        </w:rPr>
        <w:t>五、一般公共预算财政拨款支出决算表</w:t>
      </w:r>
    </w:p>
    <w:p>
      <w:pPr>
        <w:pStyle w:val="2"/>
        <w:spacing w:before="224"/>
        <w:ind w:left="747"/>
        <w:rPr>
          <w:rFonts w:ascii="宋体" w:eastAsia="宋体"/>
        </w:rPr>
      </w:pPr>
      <w:r>
        <w:rPr>
          <w:rFonts w:hint="eastAsia" w:ascii="宋体" w:eastAsia="宋体"/>
        </w:rPr>
        <w:t>六、一般公共预算财政拨款基本支出决算表</w:t>
      </w:r>
    </w:p>
    <w:p>
      <w:pPr>
        <w:pStyle w:val="2"/>
        <w:spacing w:before="224" w:line="372" w:lineRule="auto"/>
        <w:ind w:left="747" w:right="795"/>
        <w:rPr>
          <w:rFonts w:ascii="宋体" w:hAnsi="宋体" w:eastAsia="宋体"/>
        </w:rPr>
      </w:pPr>
      <w:r>
        <w:rPr>
          <w:rFonts w:hint="eastAsia" w:ascii="宋体" w:hAnsi="宋体" w:eastAsia="宋体"/>
        </w:rPr>
        <w:t>七、一般公共预算财政拨款“三公”经费支出决算表八、政府性基金预算财政拨款收入支出决算表</w:t>
      </w:r>
    </w:p>
    <w:p>
      <w:pPr>
        <w:spacing w:line="407" w:lineRule="exact"/>
        <w:sectPr>
          <w:pgSz w:w="11910" w:h="16840"/>
          <w:pgMar w:top="1520" w:right="1520" w:bottom="1180" w:left="1480" w:header="0" w:footer="999" w:gutter="0"/>
          <w:cols w:space="720" w:num="1"/>
        </w:sectPr>
      </w:pPr>
    </w:p>
    <w:p>
      <w:pPr>
        <w:pStyle w:val="2"/>
        <w:rPr>
          <w:rFonts w:ascii="黑体"/>
          <w:sz w:val="20"/>
        </w:rPr>
      </w:pPr>
    </w:p>
    <w:p>
      <w:pPr>
        <w:pStyle w:val="2"/>
        <w:rPr>
          <w:rFonts w:ascii="黑体"/>
          <w:sz w:val="20"/>
        </w:rPr>
      </w:pPr>
    </w:p>
    <w:p>
      <w:pPr>
        <w:pStyle w:val="2"/>
        <w:rPr>
          <w:rFonts w:ascii="黑体"/>
          <w:sz w:val="20"/>
        </w:rPr>
      </w:pPr>
    </w:p>
    <w:p>
      <w:pPr>
        <w:pStyle w:val="2"/>
        <w:rPr>
          <w:rFonts w:ascii="黑体"/>
          <w:sz w:val="20"/>
        </w:rPr>
      </w:pPr>
    </w:p>
    <w:p>
      <w:pPr>
        <w:pStyle w:val="2"/>
        <w:rPr>
          <w:rFonts w:ascii="黑体"/>
          <w:sz w:val="20"/>
        </w:rPr>
      </w:pPr>
    </w:p>
    <w:p>
      <w:pPr>
        <w:pStyle w:val="2"/>
        <w:rPr>
          <w:rFonts w:ascii="黑体"/>
          <w:sz w:val="20"/>
        </w:rPr>
      </w:pPr>
    </w:p>
    <w:p>
      <w:pPr>
        <w:pStyle w:val="2"/>
        <w:rPr>
          <w:rFonts w:ascii="黑体"/>
          <w:sz w:val="20"/>
        </w:rPr>
      </w:pPr>
    </w:p>
    <w:p>
      <w:pPr>
        <w:pStyle w:val="2"/>
        <w:rPr>
          <w:rFonts w:ascii="黑体"/>
          <w:sz w:val="20"/>
        </w:rPr>
      </w:pPr>
    </w:p>
    <w:p>
      <w:pPr>
        <w:pStyle w:val="2"/>
        <w:rPr>
          <w:rFonts w:ascii="黑体"/>
          <w:sz w:val="20"/>
        </w:rPr>
      </w:pPr>
    </w:p>
    <w:p>
      <w:pPr>
        <w:pStyle w:val="2"/>
        <w:rPr>
          <w:rFonts w:ascii="黑体"/>
          <w:sz w:val="20"/>
        </w:rPr>
      </w:pPr>
    </w:p>
    <w:p>
      <w:pPr>
        <w:pStyle w:val="2"/>
        <w:rPr>
          <w:rFonts w:ascii="黑体"/>
          <w:sz w:val="20"/>
        </w:rPr>
      </w:pPr>
    </w:p>
    <w:p>
      <w:pPr>
        <w:pStyle w:val="2"/>
        <w:rPr>
          <w:rFonts w:ascii="黑体"/>
          <w:sz w:val="20"/>
        </w:rPr>
      </w:pPr>
    </w:p>
    <w:p>
      <w:pPr>
        <w:pStyle w:val="2"/>
        <w:rPr>
          <w:rFonts w:ascii="黑体"/>
          <w:sz w:val="20"/>
        </w:rPr>
      </w:pPr>
    </w:p>
    <w:p>
      <w:pPr>
        <w:pStyle w:val="2"/>
        <w:rPr>
          <w:rFonts w:ascii="黑体"/>
          <w:sz w:val="20"/>
        </w:rPr>
      </w:pPr>
    </w:p>
    <w:p>
      <w:pPr>
        <w:pStyle w:val="2"/>
        <w:rPr>
          <w:rFonts w:ascii="黑体"/>
          <w:sz w:val="20"/>
        </w:rPr>
      </w:pPr>
    </w:p>
    <w:p>
      <w:pPr>
        <w:pStyle w:val="2"/>
        <w:spacing w:before="2"/>
        <w:rPr>
          <w:rFonts w:ascii="黑体"/>
          <w:sz w:val="26"/>
        </w:rPr>
      </w:pPr>
    </w:p>
    <w:p>
      <w:pPr>
        <w:tabs>
          <w:tab w:val="left" w:pos="3993"/>
        </w:tabs>
        <w:spacing w:before="32"/>
        <w:jc w:val="center"/>
        <w:rPr>
          <w:rFonts w:ascii="黑体" w:eastAsia="黑体"/>
          <w:sz w:val="48"/>
        </w:rPr>
      </w:pPr>
      <w:r>
        <w:rPr>
          <w:rFonts w:hint="eastAsia" w:ascii="黑体" w:eastAsia="黑体"/>
          <w:sz w:val="48"/>
        </w:rPr>
        <w:t>第一部分</w:t>
      </w:r>
    </w:p>
    <w:p>
      <w:pPr>
        <w:tabs>
          <w:tab w:val="left" w:pos="3993"/>
        </w:tabs>
        <w:spacing w:before="32"/>
        <w:jc w:val="center"/>
        <w:rPr>
          <w:rFonts w:ascii="黑体" w:eastAsia="黑体"/>
          <w:sz w:val="48"/>
        </w:rPr>
      </w:pPr>
      <w:r>
        <w:rPr>
          <w:rFonts w:hint="eastAsia" w:ascii="黑体" w:eastAsia="黑体"/>
          <w:sz w:val="48"/>
          <w:lang w:eastAsia="zh-CN"/>
        </w:rPr>
        <w:t>西华县交通运输</w:t>
      </w:r>
      <w:r>
        <w:rPr>
          <w:rFonts w:hint="eastAsia" w:ascii="黑体" w:eastAsia="黑体"/>
          <w:sz w:val="48"/>
        </w:rPr>
        <w:t>局概况</w:t>
      </w:r>
    </w:p>
    <w:p>
      <w:pPr>
        <w:sectPr>
          <w:footerReference r:id="rId4" w:type="default"/>
          <w:pgSz w:w="11910" w:h="16840"/>
          <w:pgMar w:top="1600" w:right="1520" w:bottom="920" w:left="1480" w:header="0" w:footer="726" w:gutter="0"/>
          <w:pgNumType w:start="1"/>
          <w:cols w:space="720" w:num="1"/>
        </w:sectPr>
      </w:pPr>
    </w:p>
    <w:p>
      <w:pPr>
        <w:pStyle w:val="2"/>
        <w:numPr>
          <w:ilvl w:val="0"/>
          <w:numId w:val="1"/>
        </w:numPr>
        <w:spacing w:before="26"/>
        <w:ind w:left="957"/>
        <w:rPr>
          <w:rFonts w:hint="eastAsia" w:ascii="黑体" w:eastAsia="黑体"/>
          <w:u w:val="none"/>
        </w:rPr>
      </w:pPr>
      <w:r>
        <w:rPr>
          <w:rFonts w:hint="eastAsia" w:ascii="黑体" w:eastAsia="黑体"/>
          <w:u w:val="none"/>
        </w:rPr>
        <w:t>部门职责</w:t>
      </w:r>
    </w:p>
    <w:p>
      <w:pPr>
        <w:adjustRightInd w:val="0"/>
        <w:snapToGrid w:val="0"/>
        <w:spacing w:line="520" w:lineRule="exact"/>
        <w:ind w:firstLine="640"/>
        <w:rPr>
          <w:rFonts w:hint="eastAsia" w:ascii="仿宋" w:hAnsi="仿宋" w:eastAsia="仿宋" w:cs="仿宋_GB2312"/>
          <w:kern w:val="0"/>
          <w:sz w:val="32"/>
          <w:szCs w:val="32"/>
        </w:rPr>
      </w:pPr>
      <w:r>
        <w:rPr>
          <w:rFonts w:hint="eastAsia" w:ascii="仿宋" w:hAnsi="仿宋" w:eastAsia="仿宋" w:cs="仿宋_GB2312"/>
          <w:kern w:val="0"/>
          <w:sz w:val="32"/>
          <w:szCs w:val="32"/>
        </w:rPr>
        <w:t>（一）贯彻执行国家和省、市有关交通运输工作的法律、法规、规章和方针政策。承担涉及全县综合运输体系的协调工作，会同有关部门组织制定综合运输体系规划，指导全县交通运输枢纽规划和管理。</w:t>
      </w:r>
    </w:p>
    <w:p>
      <w:pPr>
        <w:adjustRightInd w:val="0"/>
        <w:snapToGrid w:val="0"/>
        <w:spacing w:line="520" w:lineRule="exact"/>
        <w:ind w:firstLine="640"/>
        <w:rPr>
          <w:rFonts w:hint="eastAsia" w:ascii="仿宋" w:hAnsi="仿宋" w:eastAsia="仿宋" w:cs="仿宋_GB2312"/>
          <w:kern w:val="0"/>
          <w:sz w:val="32"/>
          <w:szCs w:val="32"/>
        </w:rPr>
      </w:pPr>
      <w:r>
        <w:rPr>
          <w:rFonts w:hint="eastAsia" w:ascii="仿宋" w:hAnsi="仿宋" w:eastAsia="仿宋" w:cs="仿宋_GB2312"/>
          <w:kern w:val="0"/>
          <w:sz w:val="32"/>
          <w:szCs w:val="32"/>
        </w:rPr>
        <w:t>（二）组织全县公路、内河航运、道路运输行业规划并监督实施，参与拟订全县物流业发展规划并监督实施，参与起草全县规范性文件，指导全县公路行业体制改革工作。</w:t>
      </w:r>
    </w:p>
    <w:p>
      <w:pPr>
        <w:adjustRightInd w:val="0"/>
        <w:snapToGrid w:val="0"/>
        <w:spacing w:line="520" w:lineRule="exact"/>
        <w:ind w:firstLine="640"/>
        <w:rPr>
          <w:rFonts w:hint="eastAsia" w:ascii="仿宋" w:hAnsi="仿宋" w:eastAsia="仿宋" w:cs="仿宋_GB2312"/>
          <w:kern w:val="0"/>
          <w:sz w:val="32"/>
          <w:szCs w:val="32"/>
        </w:rPr>
      </w:pPr>
      <w:r>
        <w:rPr>
          <w:rFonts w:hint="eastAsia" w:ascii="仿宋" w:hAnsi="仿宋" w:eastAsia="仿宋" w:cs="仿宋_GB2312"/>
          <w:kern w:val="0"/>
          <w:sz w:val="32"/>
          <w:szCs w:val="32"/>
        </w:rPr>
        <w:t>（三）指导全县道路客、货运，机动车维修等有关设施规划和管理工作，指导全县城乡客运、城市公共交通、出租车行业管理工作，指导道路运输相关业务行业管理工作；承担全县交通运输行业行政许可工作。</w:t>
      </w:r>
    </w:p>
    <w:p>
      <w:pPr>
        <w:adjustRightInd w:val="0"/>
        <w:snapToGrid w:val="0"/>
        <w:spacing w:line="480" w:lineRule="exact"/>
        <w:ind w:firstLine="640"/>
        <w:rPr>
          <w:rFonts w:hint="eastAsia" w:ascii="仿宋" w:hAnsi="仿宋" w:eastAsia="仿宋" w:cs="仿宋_GB2312"/>
          <w:kern w:val="0"/>
          <w:sz w:val="32"/>
          <w:szCs w:val="32"/>
        </w:rPr>
      </w:pPr>
      <w:r>
        <w:rPr>
          <w:rFonts w:hint="eastAsia" w:ascii="仿宋" w:hAnsi="仿宋" w:eastAsia="仿宋" w:cs="仿宋_GB2312"/>
          <w:kern w:val="0"/>
          <w:sz w:val="32"/>
          <w:szCs w:val="32"/>
        </w:rPr>
        <w:t>（四）承担全县路政管理工作。维护路产路权，负责超限超载运输治理工作。</w:t>
      </w:r>
    </w:p>
    <w:p>
      <w:pPr>
        <w:adjustRightInd w:val="0"/>
        <w:snapToGrid w:val="0"/>
        <w:spacing w:line="480" w:lineRule="exact"/>
        <w:ind w:firstLine="640"/>
        <w:rPr>
          <w:rFonts w:hint="eastAsia" w:ascii="仿宋" w:hAnsi="仿宋" w:eastAsia="仿宋" w:cs="仿宋_GB2312"/>
          <w:kern w:val="0"/>
          <w:sz w:val="32"/>
          <w:szCs w:val="32"/>
        </w:rPr>
      </w:pPr>
      <w:r>
        <w:rPr>
          <w:rFonts w:hint="eastAsia" w:ascii="仿宋" w:hAnsi="仿宋" w:eastAsia="仿宋" w:cs="仿宋_GB2312"/>
          <w:kern w:val="0"/>
          <w:sz w:val="32"/>
          <w:szCs w:val="32"/>
        </w:rPr>
        <w:t>（五）负责提出全县公路、水路固定资产投资规模和方向，执行省、市、县财政性资金和省交通运输厅下拨资金的安排意见，安排县财政性资金的使用意见。按照省、市、县政府规定权限审批、核准国家和省市规划内及年度计划规模内固定资产投资项目，执行公路、水路相关规费政策并监督实施。</w:t>
      </w:r>
    </w:p>
    <w:p>
      <w:pPr>
        <w:adjustRightInd w:val="0"/>
        <w:snapToGrid w:val="0"/>
        <w:spacing w:line="480" w:lineRule="exact"/>
        <w:ind w:firstLine="640"/>
        <w:rPr>
          <w:rFonts w:hint="eastAsia" w:ascii="仿宋" w:hAnsi="仿宋" w:eastAsia="仿宋" w:cs="仿宋_GB2312"/>
          <w:kern w:val="0"/>
          <w:sz w:val="32"/>
          <w:szCs w:val="32"/>
        </w:rPr>
      </w:pPr>
      <w:r>
        <w:rPr>
          <w:rFonts w:hint="eastAsia" w:ascii="仿宋" w:hAnsi="仿宋" w:eastAsia="仿宋" w:cs="仿宋_GB2312"/>
          <w:kern w:val="0"/>
          <w:sz w:val="32"/>
          <w:szCs w:val="32"/>
        </w:rPr>
        <w:t>（六）承担全县公路、水路建设及养护市场监管责任，组织协调全县公路、水路有关重点工程建设和工程质量、安全生产监督管理工作。指导全县交通运输基础设施管理和维护。</w:t>
      </w:r>
    </w:p>
    <w:p>
      <w:pPr>
        <w:adjustRightInd w:val="0"/>
        <w:snapToGrid w:val="0"/>
        <w:spacing w:line="480" w:lineRule="exact"/>
        <w:ind w:firstLine="640"/>
        <w:rPr>
          <w:rFonts w:hint="eastAsia" w:ascii="仿宋" w:hAnsi="仿宋" w:eastAsia="仿宋" w:cs="仿宋_GB2312"/>
          <w:spacing w:val="-20"/>
          <w:kern w:val="0"/>
          <w:sz w:val="32"/>
          <w:szCs w:val="32"/>
        </w:rPr>
      </w:pPr>
      <w:r>
        <w:rPr>
          <w:rFonts w:hint="eastAsia" w:ascii="仿宋" w:hAnsi="仿宋" w:eastAsia="仿宋" w:cs="仿宋_GB2312"/>
          <w:kern w:val="0"/>
          <w:sz w:val="32"/>
          <w:szCs w:val="32"/>
        </w:rPr>
        <w:t>（七）</w:t>
      </w:r>
      <w:r>
        <w:rPr>
          <w:rFonts w:hint="eastAsia" w:ascii="仿宋" w:hAnsi="仿宋" w:eastAsia="仿宋" w:cs="仿宋_GB2312"/>
          <w:spacing w:val="-20"/>
          <w:kern w:val="0"/>
          <w:sz w:val="32"/>
          <w:szCs w:val="32"/>
        </w:rPr>
        <w:t>指导全县交通运输行业安全生产和应急管理工作，负责组织协调经过本县境内国家和省、市、县重点物质和紧急客货运输安全保障及协调工作，负责全县公路路网运行监测和协调工作；组织协调全县地方交通战备工作，承担国防动员有关工作。</w:t>
      </w:r>
    </w:p>
    <w:p>
      <w:pPr>
        <w:adjustRightInd w:val="0"/>
        <w:snapToGrid w:val="0"/>
        <w:spacing w:line="480" w:lineRule="exact"/>
        <w:ind w:firstLine="640"/>
        <w:rPr>
          <w:rFonts w:hint="eastAsia" w:ascii="仿宋" w:hAnsi="仿宋" w:eastAsia="仿宋" w:cs="仿宋_GB2312"/>
          <w:kern w:val="0"/>
          <w:sz w:val="32"/>
          <w:szCs w:val="32"/>
        </w:rPr>
      </w:pPr>
      <w:r>
        <w:rPr>
          <w:rFonts w:hint="eastAsia" w:ascii="仿宋" w:hAnsi="仿宋" w:eastAsia="仿宋" w:cs="仿宋_GB2312"/>
          <w:kern w:val="0"/>
          <w:sz w:val="32"/>
          <w:szCs w:val="32"/>
        </w:rPr>
        <w:t>（八）指导全县交通运输信息化建设，监测分析运行情况，开展相关统计工作发布有关信息，指导全县交通运输行业环境保护和节能减排工作。</w:t>
      </w:r>
    </w:p>
    <w:p>
      <w:pPr>
        <w:adjustRightInd w:val="0"/>
        <w:snapToGrid w:val="0"/>
        <w:spacing w:line="480" w:lineRule="exact"/>
        <w:ind w:firstLine="640"/>
        <w:rPr>
          <w:rFonts w:hint="eastAsia" w:ascii="仿宋" w:hAnsi="仿宋" w:eastAsia="仿宋" w:cs="仿宋_GB2312"/>
          <w:kern w:val="0"/>
          <w:sz w:val="32"/>
          <w:szCs w:val="32"/>
        </w:rPr>
      </w:pPr>
      <w:r>
        <w:rPr>
          <w:rFonts w:hint="eastAsia" w:ascii="仿宋" w:hAnsi="仿宋" w:eastAsia="仿宋" w:cs="仿宋_GB2312"/>
          <w:kern w:val="0"/>
          <w:sz w:val="32"/>
          <w:szCs w:val="32"/>
        </w:rPr>
        <w:t>（九）制定全县交通运输行业科技政策和行业执法培训规划并监督实施，组织科技开发推动行业技术进步，开展行业执法培训促进依法治交。</w:t>
      </w:r>
    </w:p>
    <w:p>
      <w:pPr>
        <w:adjustRightInd w:val="0"/>
        <w:snapToGrid w:val="0"/>
        <w:spacing w:line="480" w:lineRule="exact"/>
        <w:ind w:firstLine="640"/>
        <w:rPr>
          <w:rFonts w:hint="eastAsia" w:ascii="仿宋" w:hAnsi="仿宋" w:eastAsia="仿宋" w:cs="仿宋_GB2312"/>
          <w:kern w:val="0"/>
          <w:sz w:val="32"/>
          <w:szCs w:val="32"/>
        </w:rPr>
      </w:pPr>
      <w:r>
        <w:rPr>
          <w:rFonts w:hint="eastAsia" w:ascii="仿宋" w:hAnsi="仿宋" w:eastAsia="仿宋" w:cs="仿宋_GB2312"/>
          <w:kern w:val="0"/>
          <w:sz w:val="32"/>
          <w:szCs w:val="32"/>
        </w:rPr>
        <w:t>（十）负责全县交通运输行业对外经济技术合作，引进利用资金开展对外交流与合作。</w:t>
      </w:r>
    </w:p>
    <w:p>
      <w:pPr>
        <w:adjustRightInd w:val="0"/>
        <w:snapToGrid w:val="0"/>
        <w:spacing w:line="480" w:lineRule="exact"/>
        <w:ind w:firstLine="640"/>
        <w:rPr>
          <w:rFonts w:hint="eastAsia" w:ascii="仿宋" w:hAnsi="仿宋" w:eastAsia="仿宋" w:cs="仿宋_GB2312"/>
          <w:sz w:val="32"/>
          <w:szCs w:val="32"/>
        </w:rPr>
      </w:pPr>
      <w:r>
        <w:rPr>
          <w:rFonts w:hint="eastAsia" w:ascii="仿宋" w:hAnsi="仿宋" w:eastAsia="仿宋" w:cs="仿宋_GB2312"/>
          <w:kern w:val="0"/>
          <w:sz w:val="32"/>
          <w:szCs w:val="32"/>
        </w:rPr>
        <w:t>（十一）承办县政府交办的其他事项。</w:t>
      </w:r>
    </w:p>
    <w:p>
      <w:pPr>
        <w:pStyle w:val="2"/>
        <w:spacing w:before="2" w:line="364" w:lineRule="auto"/>
        <w:ind w:right="270" w:firstLine="851"/>
        <w:jc w:val="both"/>
        <w:rPr>
          <w:rFonts w:hint="eastAsia" w:ascii="黑体" w:hAnsi="黑体" w:eastAsia="黑体"/>
        </w:rPr>
      </w:pPr>
    </w:p>
    <w:p>
      <w:pPr>
        <w:pStyle w:val="2"/>
        <w:spacing w:before="2" w:line="364" w:lineRule="auto"/>
        <w:ind w:right="270" w:firstLine="851"/>
        <w:jc w:val="both"/>
        <w:rPr>
          <w:rFonts w:ascii="黑体" w:hAnsi="黑体" w:eastAsia="黑体"/>
        </w:rPr>
      </w:pPr>
      <w:r>
        <w:rPr>
          <w:rFonts w:hint="eastAsia" w:ascii="黑体" w:hAnsi="黑体" w:eastAsia="黑体"/>
        </w:rPr>
        <w:t>二、机构设置</w:t>
      </w:r>
      <w:r>
        <w:rPr>
          <w:rFonts w:ascii="黑体" w:hAnsi="黑体" w:eastAsia="黑体"/>
        </w:rPr>
        <w:t xml:space="preserve"> </w:t>
      </w:r>
    </w:p>
    <w:p>
      <w:pPr>
        <w:pStyle w:val="2"/>
        <w:spacing w:before="2" w:line="364" w:lineRule="auto"/>
        <w:ind w:right="270" w:firstLine="709"/>
        <w:jc w:val="both"/>
      </w:pPr>
      <w:r>
        <w:rPr>
          <w:rFonts w:hint="eastAsia"/>
          <w:lang w:eastAsia="zh-CN"/>
        </w:rPr>
        <w:t>西华县交通运输局</w:t>
      </w:r>
      <w:r>
        <w:rPr>
          <w:rFonts w:hint="eastAsia"/>
        </w:rPr>
        <w:t>参与编制决算的单位有局机关本级和</w:t>
      </w:r>
      <w:r>
        <w:rPr>
          <w:rFonts w:hint="eastAsia"/>
          <w:lang w:val="en-US" w:eastAsia="zh-CN"/>
        </w:rPr>
        <w:t>3</w:t>
      </w:r>
      <w:r>
        <w:rPr>
          <w:rFonts w:hint="eastAsia"/>
        </w:rPr>
        <w:t>个局属二级预算单位。本决算为汇总决算，纳入本部门</w:t>
      </w:r>
      <w:r>
        <w:t xml:space="preserve"> 2017 年度部门决算编报范</w:t>
      </w:r>
      <w:r>
        <w:rPr>
          <w:rFonts w:hint="eastAsia"/>
        </w:rPr>
        <w:t>围的预算单位名单如下：</w:t>
      </w:r>
      <w:r>
        <w:t xml:space="preserve"> </w:t>
      </w:r>
    </w:p>
    <w:p>
      <w:pPr>
        <w:pStyle w:val="2"/>
        <w:spacing w:before="2" w:line="364" w:lineRule="auto"/>
        <w:ind w:left="142" w:right="270" w:firstLine="468"/>
        <w:jc w:val="both"/>
      </w:pPr>
      <w:r>
        <w:t>1.</w:t>
      </w:r>
      <w:r>
        <w:rPr>
          <w:rFonts w:hint="eastAsia"/>
          <w:lang w:eastAsia="zh-CN"/>
        </w:rPr>
        <w:t>西华县交通运输局</w:t>
      </w:r>
      <w:r>
        <w:t xml:space="preserve">本级； </w:t>
      </w:r>
    </w:p>
    <w:p>
      <w:pPr>
        <w:pStyle w:val="2"/>
        <w:spacing w:before="2" w:line="364" w:lineRule="auto"/>
        <w:ind w:left="142" w:right="270" w:firstLine="468"/>
        <w:jc w:val="both"/>
        <w:rPr>
          <w:rFonts w:hint="eastAsia" w:eastAsia="仿宋_GB2312"/>
          <w:lang w:eastAsia="zh-CN"/>
        </w:rPr>
      </w:pPr>
      <w:r>
        <w:rPr>
          <w:rFonts w:hint="eastAsia"/>
        </w:rPr>
        <w:t>2.</w:t>
      </w:r>
      <w:r>
        <w:rPr>
          <w:rFonts w:hint="eastAsia"/>
          <w:lang w:eastAsia="zh-CN"/>
        </w:rPr>
        <w:t>西华县道路运输管理局；</w:t>
      </w:r>
    </w:p>
    <w:p>
      <w:pPr>
        <w:pStyle w:val="2"/>
        <w:spacing w:before="2" w:line="364" w:lineRule="auto"/>
        <w:ind w:left="142" w:right="270" w:firstLine="468"/>
        <w:jc w:val="both"/>
        <w:rPr>
          <w:rFonts w:hint="eastAsia"/>
          <w:lang w:eastAsia="zh-CN"/>
        </w:rPr>
      </w:pPr>
      <w:r>
        <w:rPr>
          <w:rFonts w:hint="eastAsia"/>
        </w:rPr>
        <w:t>3.</w:t>
      </w:r>
      <w:r>
        <w:rPr>
          <w:rFonts w:hint="eastAsia"/>
          <w:lang w:eastAsia="zh-CN"/>
        </w:rPr>
        <w:t>西华县农村公路管理所</w:t>
      </w:r>
    </w:p>
    <w:p>
      <w:pPr>
        <w:pStyle w:val="2"/>
        <w:spacing w:before="2" w:line="364" w:lineRule="auto"/>
        <w:ind w:left="142" w:right="270" w:firstLine="468"/>
        <w:jc w:val="both"/>
        <w:rPr>
          <w:rFonts w:hint="eastAsia"/>
          <w:lang w:eastAsia="zh-CN"/>
        </w:rPr>
      </w:pPr>
      <w:r>
        <w:rPr>
          <w:rFonts w:hint="eastAsia"/>
        </w:rPr>
        <w:t>4</w:t>
      </w:r>
      <w:r>
        <w:rPr>
          <w:rFonts w:hint="eastAsia"/>
          <w:lang w:eastAsia="zh-CN"/>
        </w:rPr>
        <w:t>.西华县交通运输局执法所</w:t>
      </w:r>
    </w:p>
    <w:p>
      <w:pPr>
        <w:pStyle w:val="2"/>
        <w:spacing w:before="2" w:line="364" w:lineRule="auto"/>
        <w:ind w:right="270"/>
        <w:jc w:val="both"/>
        <w:rPr>
          <w:lang w:val="en-US"/>
        </w:rPr>
      </w:pPr>
    </w:p>
    <w:p>
      <w:pPr>
        <w:pStyle w:val="2"/>
        <w:spacing w:before="2" w:line="364" w:lineRule="auto"/>
        <w:ind w:right="270"/>
        <w:jc w:val="both"/>
        <w:rPr>
          <w:lang w:val="en-US"/>
        </w:rPr>
      </w:pPr>
    </w:p>
    <w:p>
      <w:pPr>
        <w:pStyle w:val="2"/>
        <w:spacing w:before="2" w:line="364" w:lineRule="auto"/>
        <w:ind w:right="270"/>
        <w:jc w:val="both"/>
        <w:rPr>
          <w:lang w:val="en-US"/>
        </w:rPr>
      </w:pPr>
    </w:p>
    <w:p>
      <w:pPr>
        <w:pStyle w:val="2"/>
        <w:spacing w:before="2" w:line="364" w:lineRule="auto"/>
        <w:ind w:right="270"/>
        <w:jc w:val="both"/>
        <w:rPr>
          <w:lang w:val="en-US"/>
        </w:rPr>
      </w:pPr>
    </w:p>
    <w:p>
      <w:pPr>
        <w:pStyle w:val="2"/>
        <w:spacing w:before="2" w:line="364" w:lineRule="auto"/>
        <w:ind w:right="270"/>
        <w:jc w:val="both"/>
        <w:rPr>
          <w:lang w:val="en-US"/>
        </w:rPr>
      </w:pPr>
    </w:p>
    <w:p>
      <w:pPr>
        <w:pStyle w:val="2"/>
        <w:spacing w:before="2" w:line="364" w:lineRule="auto"/>
        <w:ind w:right="270"/>
        <w:jc w:val="both"/>
        <w:rPr>
          <w:lang w:val="en-US"/>
        </w:rPr>
      </w:pPr>
    </w:p>
    <w:p>
      <w:pPr>
        <w:pStyle w:val="2"/>
        <w:spacing w:before="2" w:line="364" w:lineRule="auto"/>
        <w:ind w:right="270"/>
        <w:jc w:val="both"/>
        <w:rPr>
          <w:lang w:val="en-US"/>
        </w:rPr>
      </w:pPr>
    </w:p>
    <w:p>
      <w:pPr>
        <w:pStyle w:val="2"/>
        <w:spacing w:before="2" w:line="364" w:lineRule="auto"/>
        <w:ind w:left="317" w:right="270" w:firstLine="468"/>
        <w:jc w:val="both"/>
        <w:rPr>
          <w:lang w:val="en-US"/>
        </w:rPr>
      </w:pPr>
    </w:p>
    <w:p>
      <w:pPr>
        <w:tabs>
          <w:tab w:val="left" w:pos="3993"/>
        </w:tabs>
        <w:spacing w:before="32"/>
        <w:jc w:val="center"/>
        <w:rPr>
          <w:rFonts w:ascii="黑体" w:eastAsia="黑体"/>
          <w:sz w:val="48"/>
        </w:rPr>
      </w:pPr>
      <w:r>
        <w:rPr>
          <w:rFonts w:hint="eastAsia" w:ascii="黑体" w:eastAsia="黑体"/>
          <w:sz w:val="48"/>
        </w:rPr>
        <w:t>第</w:t>
      </w:r>
      <w:r>
        <w:rPr>
          <w:rFonts w:hint="eastAsia" w:ascii="黑体" w:eastAsia="黑体"/>
          <w:sz w:val="48"/>
          <w:lang w:val="en-US" w:eastAsia="zh-CN"/>
        </w:rPr>
        <w:t>二</w:t>
      </w:r>
      <w:r>
        <w:rPr>
          <w:rFonts w:hint="eastAsia" w:ascii="黑体" w:eastAsia="黑体"/>
          <w:sz w:val="48"/>
        </w:rPr>
        <w:t>部分</w:t>
      </w:r>
    </w:p>
    <w:p>
      <w:pPr>
        <w:tabs>
          <w:tab w:val="left" w:pos="3993"/>
        </w:tabs>
        <w:spacing w:before="32"/>
        <w:jc w:val="center"/>
        <w:rPr>
          <w:rFonts w:ascii="黑体" w:eastAsia="黑体"/>
          <w:sz w:val="48"/>
        </w:rPr>
      </w:pPr>
      <w:r>
        <w:rPr>
          <w:rFonts w:ascii="黑体" w:eastAsia="黑体"/>
          <w:sz w:val="48"/>
        </w:rPr>
        <w:t>2017 年度部门决算情况说明</w:t>
      </w:r>
    </w:p>
    <w:p>
      <w:pPr>
        <w:pStyle w:val="2"/>
        <w:spacing w:before="214" w:line="520" w:lineRule="exact"/>
        <w:ind w:right="112" w:firstLine="693" w:firstLineChars="225"/>
        <w:rPr>
          <w:rFonts w:ascii="黑体" w:hAnsi="黑体" w:eastAsia="黑体"/>
          <w:spacing w:val="-6"/>
        </w:rPr>
      </w:pPr>
      <w:r>
        <w:rPr>
          <w:rFonts w:hint="eastAsia" w:ascii="黑体" w:hAnsi="黑体" w:eastAsia="黑体"/>
          <w:spacing w:val="-6"/>
        </w:rPr>
        <w:t>一、收入支出决算总体情况说明</w:t>
      </w:r>
      <w:r>
        <w:rPr>
          <w:rFonts w:ascii="黑体" w:hAnsi="黑体" w:eastAsia="黑体"/>
          <w:spacing w:val="-6"/>
        </w:rPr>
        <w:t xml:space="preserve"> </w:t>
      </w:r>
    </w:p>
    <w:p>
      <w:pPr>
        <w:pStyle w:val="2"/>
        <w:spacing w:before="214" w:line="520" w:lineRule="exact"/>
        <w:ind w:right="113" w:firstLine="616" w:firstLineChars="200"/>
        <w:jc w:val="both"/>
        <w:rPr>
          <w:spacing w:val="-6"/>
        </w:rPr>
      </w:pPr>
      <w:r>
        <w:rPr>
          <w:spacing w:val="-6"/>
        </w:rPr>
        <w:t>2017 年度收、支总计均为</w:t>
      </w:r>
      <w:r>
        <w:rPr>
          <w:rFonts w:hint="eastAsia"/>
          <w:spacing w:val="-6"/>
          <w:lang w:val="en-US" w:eastAsia="zh-CN"/>
        </w:rPr>
        <w:t>2263.49</w:t>
      </w:r>
      <w:r>
        <w:rPr>
          <w:spacing w:val="-6"/>
        </w:rPr>
        <w:t>万元。与 2016 年相比，</w:t>
      </w:r>
      <w:r>
        <w:rPr>
          <w:rFonts w:hint="eastAsia"/>
          <w:spacing w:val="-6"/>
        </w:rPr>
        <w:t>收、支总计各</w:t>
      </w:r>
      <w:r>
        <w:rPr>
          <w:rFonts w:hint="eastAsia"/>
          <w:spacing w:val="-6"/>
          <w:lang w:eastAsia="zh-CN"/>
        </w:rPr>
        <w:t>减少</w:t>
      </w:r>
      <w:r>
        <w:rPr>
          <w:rFonts w:hint="eastAsia"/>
          <w:spacing w:val="-6"/>
          <w:lang w:val="en-US" w:eastAsia="zh-CN"/>
        </w:rPr>
        <w:t>253.16</w:t>
      </w:r>
      <w:r>
        <w:rPr>
          <w:spacing w:val="-6"/>
        </w:rPr>
        <w:t>万元，</w:t>
      </w:r>
      <w:r>
        <w:rPr>
          <w:rFonts w:hint="eastAsia"/>
          <w:spacing w:val="-6"/>
          <w:lang w:eastAsia="zh-CN"/>
        </w:rPr>
        <w:t>减少</w:t>
      </w:r>
      <w:r>
        <w:rPr>
          <w:spacing w:val="-6"/>
        </w:rPr>
        <w:t xml:space="preserve"> </w:t>
      </w:r>
      <w:r>
        <w:rPr>
          <w:rFonts w:hint="eastAsia"/>
          <w:spacing w:val="-6"/>
          <w:lang w:val="en-US" w:eastAsia="zh-CN"/>
        </w:rPr>
        <w:t>10.06</w:t>
      </w:r>
      <w:r>
        <w:rPr>
          <w:spacing w:val="-6"/>
        </w:rPr>
        <w:t>%。主要原因一是</w:t>
      </w:r>
      <w:r>
        <w:rPr>
          <w:rFonts w:hint="eastAsia"/>
          <w:spacing w:val="-6"/>
          <w:lang w:eastAsia="zh-CN"/>
        </w:rPr>
        <w:t>项目建设支出减少</w:t>
      </w:r>
      <w:r>
        <w:rPr>
          <w:rFonts w:hint="eastAsia"/>
          <w:spacing w:val="-6"/>
        </w:rPr>
        <w:t>；二</w:t>
      </w:r>
      <w:r>
        <w:rPr>
          <w:spacing w:val="-6"/>
        </w:rPr>
        <w:t>是</w:t>
      </w:r>
      <w:r>
        <w:rPr>
          <w:rFonts w:hint="eastAsia"/>
          <w:spacing w:val="-6"/>
          <w:lang w:eastAsia="zh-CN"/>
        </w:rPr>
        <w:t>人员经费和日常办公经费增加。</w:t>
      </w:r>
    </w:p>
    <w:p>
      <w:pPr>
        <w:pStyle w:val="2"/>
        <w:spacing w:before="2" w:line="520" w:lineRule="exact"/>
        <w:ind w:right="270" w:firstLine="720" w:firstLineChars="225"/>
        <w:jc w:val="both"/>
        <w:rPr>
          <w:rFonts w:ascii="黑体" w:hAnsi="黑体" w:eastAsia="黑体"/>
          <w:lang w:val="en-US"/>
        </w:rPr>
      </w:pPr>
      <w:r>
        <w:rPr>
          <w:rFonts w:hint="eastAsia" w:ascii="黑体" w:hAnsi="黑体" w:eastAsia="黑体"/>
          <w:lang w:val="en-US"/>
        </w:rPr>
        <w:t>二、收入决算情况说明</w:t>
      </w:r>
      <w:r>
        <w:rPr>
          <w:rFonts w:ascii="黑体" w:hAnsi="黑体" w:eastAsia="黑体"/>
          <w:lang w:val="en-US"/>
        </w:rPr>
        <w:t xml:space="preserve"> </w:t>
      </w:r>
    </w:p>
    <w:p>
      <w:pPr>
        <w:pStyle w:val="2"/>
        <w:spacing w:before="2" w:line="520" w:lineRule="exact"/>
        <w:ind w:right="270" w:firstLine="693" w:firstLineChars="225"/>
        <w:jc w:val="both"/>
        <w:rPr>
          <w:spacing w:val="-6"/>
        </w:rPr>
      </w:pPr>
      <w:r>
        <w:rPr>
          <w:spacing w:val="-6"/>
        </w:rPr>
        <w:t>2017 年度收入合计</w:t>
      </w:r>
      <w:r>
        <w:rPr>
          <w:rFonts w:hint="eastAsia"/>
          <w:spacing w:val="-6"/>
          <w:lang w:val="en-US" w:eastAsia="zh-CN"/>
        </w:rPr>
        <w:t>2263.49</w:t>
      </w:r>
      <w:r>
        <w:rPr>
          <w:spacing w:val="-6"/>
        </w:rPr>
        <w:t>万元，其中：财政拨款收入</w:t>
      </w:r>
      <w:r>
        <w:rPr>
          <w:rFonts w:hint="eastAsia"/>
          <w:spacing w:val="-6"/>
          <w:lang w:val="en-US" w:eastAsia="zh-CN"/>
        </w:rPr>
        <w:t>2263.49</w:t>
      </w:r>
      <w:r>
        <w:rPr>
          <w:spacing w:val="-6"/>
        </w:rPr>
        <w:t>万元，占</w:t>
      </w:r>
      <w:r>
        <w:rPr>
          <w:rFonts w:hint="eastAsia"/>
          <w:spacing w:val="-6"/>
          <w:lang w:val="en-US" w:eastAsia="zh-CN"/>
        </w:rPr>
        <w:t>100</w:t>
      </w:r>
      <w:r>
        <w:rPr>
          <w:spacing w:val="-6"/>
        </w:rPr>
        <w:t>%；事业收入</w:t>
      </w:r>
      <w:r>
        <w:rPr>
          <w:rFonts w:hint="eastAsia"/>
          <w:spacing w:val="-6"/>
          <w:lang w:val="en-US" w:eastAsia="zh-CN"/>
        </w:rPr>
        <w:t>0</w:t>
      </w:r>
      <w:r>
        <w:rPr>
          <w:spacing w:val="-6"/>
        </w:rPr>
        <w:t>万元；</w:t>
      </w:r>
      <w:r>
        <w:rPr>
          <w:rFonts w:hint="eastAsia"/>
          <w:spacing w:val="-6"/>
        </w:rPr>
        <w:t>其他收入</w:t>
      </w:r>
      <w:r>
        <w:rPr>
          <w:rFonts w:hint="eastAsia"/>
          <w:spacing w:val="-6"/>
          <w:lang w:val="en-US" w:eastAsia="zh-CN"/>
        </w:rPr>
        <w:t>0</w:t>
      </w:r>
      <w:r>
        <w:rPr>
          <w:spacing w:val="-6"/>
        </w:rPr>
        <w:t xml:space="preserve"> 万元。</w:t>
      </w:r>
    </w:p>
    <w:p>
      <w:pPr>
        <w:pStyle w:val="2"/>
        <w:spacing w:before="2" w:line="520" w:lineRule="exact"/>
        <w:ind w:right="270" w:firstLine="720" w:firstLineChars="225"/>
        <w:jc w:val="both"/>
        <w:rPr>
          <w:rFonts w:ascii="黑体" w:hAnsi="黑体" w:eastAsia="黑体"/>
          <w:lang w:val="en-US"/>
        </w:rPr>
      </w:pPr>
      <w:r>
        <w:rPr>
          <w:rFonts w:hint="eastAsia" w:ascii="黑体" w:hAnsi="黑体" w:eastAsia="黑体"/>
          <w:lang w:val="en-US"/>
        </w:rPr>
        <w:t>三、支出决算情况说明</w:t>
      </w:r>
      <w:r>
        <w:rPr>
          <w:rFonts w:ascii="黑体" w:hAnsi="黑体" w:eastAsia="黑体"/>
          <w:lang w:val="en-US"/>
        </w:rPr>
        <w:t xml:space="preserve"> </w:t>
      </w:r>
    </w:p>
    <w:p>
      <w:pPr>
        <w:pStyle w:val="2"/>
        <w:spacing w:before="2" w:line="520" w:lineRule="exact"/>
        <w:ind w:right="270" w:firstLine="693" w:firstLineChars="225"/>
        <w:jc w:val="both"/>
        <w:rPr>
          <w:spacing w:val="-6"/>
        </w:rPr>
      </w:pPr>
      <w:r>
        <w:rPr>
          <w:spacing w:val="-6"/>
        </w:rPr>
        <w:t>2017 年度支出合计</w:t>
      </w:r>
      <w:r>
        <w:rPr>
          <w:rFonts w:hint="eastAsia"/>
          <w:spacing w:val="-6"/>
          <w:lang w:val="en-US" w:eastAsia="zh-CN"/>
        </w:rPr>
        <w:t>2263.49</w:t>
      </w:r>
      <w:r>
        <w:rPr>
          <w:spacing w:val="-6"/>
        </w:rPr>
        <w:t>万元，其中：基本支</w:t>
      </w:r>
      <w:r>
        <w:rPr>
          <w:rFonts w:hint="eastAsia"/>
          <w:spacing w:val="-6"/>
        </w:rPr>
        <w:t>出</w:t>
      </w:r>
      <w:r>
        <w:rPr>
          <w:rFonts w:hint="eastAsia"/>
          <w:spacing w:val="-6"/>
          <w:lang w:val="en-US" w:eastAsia="zh-CN"/>
        </w:rPr>
        <w:t>1978.75</w:t>
      </w:r>
      <w:r>
        <w:rPr>
          <w:spacing w:val="-6"/>
        </w:rPr>
        <w:t>万元，占</w:t>
      </w:r>
      <w:r>
        <w:rPr>
          <w:rFonts w:hint="eastAsia"/>
          <w:spacing w:val="-6"/>
          <w:lang w:val="en-US" w:eastAsia="zh-CN"/>
        </w:rPr>
        <w:t>87.4</w:t>
      </w:r>
      <w:r>
        <w:rPr>
          <w:spacing w:val="-6"/>
        </w:rPr>
        <w:t>%；项目支出</w:t>
      </w:r>
      <w:r>
        <w:rPr>
          <w:rFonts w:hint="eastAsia"/>
          <w:spacing w:val="-6"/>
          <w:lang w:val="en-US" w:eastAsia="zh-CN"/>
        </w:rPr>
        <w:t>284.73</w:t>
      </w:r>
      <w:r>
        <w:rPr>
          <w:spacing w:val="-6"/>
        </w:rPr>
        <w:t xml:space="preserve"> 万元，占</w:t>
      </w:r>
      <w:r>
        <w:rPr>
          <w:rFonts w:hint="eastAsia"/>
          <w:spacing w:val="-6"/>
          <w:lang w:val="en-US" w:eastAsia="zh-CN"/>
        </w:rPr>
        <w:t>12.6</w:t>
      </w:r>
      <w:r>
        <w:rPr>
          <w:spacing w:val="-6"/>
        </w:rPr>
        <w:t>%</w:t>
      </w:r>
      <w:r>
        <w:rPr>
          <w:rFonts w:hint="eastAsia"/>
          <w:spacing w:val="-6"/>
        </w:rPr>
        <w:t>。</w:t>
      </w:r>
    </w:p>
    <w:p>
      <w:pPr>
        <w:pStyle w:val="2"/>
        <w:spacing w:before="2" w:line="520" w:lineRule="exact"/>
        <w:ind w:right="270" w:firstLine="720" w:firstLineChars="225"/>
        <w:jc w:val="both"/>
        <w:rPr>
          <w:rFonts w:ascii="黑体" w:hAnsi="黑体" w:eastAsia="黑体"/>
          <w:lang w:val="en-US"/>
        </w:rPr>
      </w:pPr>
      <w:r>
        <w:rPr>
          <w:rFonts w:hint="eastAsia" w:ascii="黑体" w:hAnsi="黑体" w:eastAsia="黑体"/>
          <w:lang w:val="en-US"/>
        </w:rPr>
        <w:t>四、财政拨款收入支出决算总体情况说明</w:t>
      </w:r>
      <w:r>
        <w:rPr>
          <w:rFonts w:ascii="黑体" w:hAnsi="黑体" w:eastAsia="黑体"/>
          <w:lang w:val="en-US"/>
        </w:rPr>
        <w:t xml:space="preserve"> </w:t>
      </w:r>
    </w:p>
    <w:p>
      <w:pPr>
        <w:pStyle w:val="2"/>
        <w:spacing w:before="2" w:line="520" w:lineRule="exact"/>
        <w:ind w:right="270" w:firstLine="693" w:firstLineChars="225"/>
        <w:jc w:val="both"/>
        <w:rPr>
          <w:spacing w:val="-6"/>
        </w:rPr>
      </w:pPr>
      <w:r>
        <w:rPr>
          <w:spacing w:val="-6"/>
        </w:rPr>
        <w:t>2017年财政拨款收</w:t>
      </w:r>
      <w:r>
        <w:rPr>
          <w:rFonts w:hint="eastAsia"/>
          <w:spacing w:val="-6"/>
        </w:rPr>
        <w:t>入</w:t>
      </w:r>
      <w:r>
        <w:rPr>
          <w:spacing w:val="-6"/>
        </w:rPr>
        <w:t>为</w:t>
      </w:r>
      <w:r>
        <w:rPr>
          <w:rFonts w:hint="eastAsia"/>
          <w:spacing w:val="-6"/>
          <w:lang w:val="en-US" w:eastAsia="zh-CN"/>
        </w:rPr>
        <w:t>2263.49</w:t>
      </w:r>
      <w:r>
        <w:rPr>
          <w:spacing w:val="-6"/>
        </w:rPr>
        <w:t>万元。与2016</w:t>
      </w:r>
      <w:r>
        <w:rPr>
          <w:rFonts w:hint="eastAsia"/>
          <w:spacing w:val="-6"/>
        </w:rPr>
        <w:t>年相比，财政拨款收入</w:t>
      </w:r>
      <w:r>
        <w:rPr>
          <w:rFonts w:hint="eastAsia"/>
          <w:spacing w:val="-6"/>
          <w:lang w:eastAsia="zh-CN"/>
        </w:rPr>
        <w:t>减少</w:t>
      </w:r>
      <w:r>
        <w:rPr>
          <w:rFonts w:hint="eastAsia"/>
          <w:spacing w:val="-6"/>
          <w:lang w:val="en-US" w:eastAsia="zh-CN"/>
        </w:rPr>
        <w:t>253.16</w:t>
      </w:r>
      <w:r>
        <w:rPr>
          <w:spacing w:val="-6"/>
        </w:rPr>
        <w:t>万元，</w:t>
      </w:r>
      <w:r>
        <w:rPr>
          <w:rFonts w:hint="eastAsia"/>
          <w:spacing w:val="-6"/>
          <w:lang w:eastAsia="zh-CN"/>
        </w:rPr>
        <w:t>减少</w:t>
      </w:r>
      <w:r>
        <w:rPr>
          <w:rFonts w:hint="eastAsia"/>
          <w:spacing w:val="-6"/>
          <w:lang w:val="en-US" w:eastAsia="zh-CN"/>
        </w:rPr>
        <w:t>10.06</w:t>
      </w:r>
      <w:r>
        <w:rPr>
          <w:spacing w:val="-6"/>
        </w:rPr>
        <w:t>%。2017年财政拨款</w:t>
      </w:r>
      <w:r>
        <w:rPr>
          <w:rFonts w:hint="eastAsia"/>
          <w:spacing w:val="-6"/>
        </w:rPr>
        <w:t>支出</w:t>
      </w:r>
      <w:r>
        <w:rPr>
          <w:spacing w:val="-6"/>
        </w:rPr>
        <w:t>为</w:t>
      </w:r>
      <w:r>
        <w:rPr>
          <w:rFonts w:hint="eastAsia"/>
          <w:spacing w:val="-6"/>
          <w:lang w:val="en-US" w:eastAsia="zh-CN"/>
        </w:rPr>
        <w:t>2263.49</w:t>
      </w:r>
      <w:r>
        <w:rPr>
          <w:spacing w:val="-6"/>
        </w:rPr>
        <w:t>万元。与 2016</w:t>
      </w:r>
      <w:r>
        <w:rPr>
          <w:rFonts w:hint="eastAsia"/>
          <w:spacing w:val="-6"/>
        </w:rPr>
        <w:t>年相比，财政拨款支出</w:t>
      </w:r>
      <w:r>
        <w:rPr>
          <w:rFonts w:hint="eastAsia"/>
          <w:spacing w:val="-6"/>
          <w:lang w:eastAsia="zh-CN"/>
        </w:rPr>
        <w:t>减少</w:t>
      </w:r>
      <w:r>
        <w:rPr>
          <w:rFonts w:hint="eastAsia"/>
          <w:spacing w:val="-6"/>
          <w:lang w:val="en-US" w:eastAsia="zh-CN"/>
        </w:rPr>
        <w:t>253.16</w:t>
      </w:r>
      <w:r>
        <w:rPr>
          <w:spacing w:val="-6"/>
        </w:rPr>
        <w:t>万元，</w:t>
      </w:r>
      <w:r>
        <w:rPr>
          <w:rFonts w:hint="eastAsia"/>
          <w:spacing w:val="-6"/>
          <w:lang w:eastAsia="zh-CN"/>
        </w:rPr>
        <w:t>减少</w:t>
      </w:r>
      <w:r>
        <w:rPr>
          <w:rFonts w:hint="eastAsia"/>
          <w:spacing w:val="-6"/>
          <w:lang w:val="en-US" w:eastAsia="zh-CN"/>
        </w:rPr>
        <w:t>10.06</w:t>
      </w:r>
      <w:r>
        <w:rPr>
          <w:spacing w:val="-6"/>
        </w:rPr>
        <w:t>%</w:t>
      </w:r>
      <w:r>
        <w:rPr>
          <w:rFonts w:hint="eastAsia"/>
          <w:spacing w:val="-6"/>
        </w:rPr>
        <w:t>。</w:t>
      </w:r>
      <w:r>
        <w:rPr>
          <w:spacing w:val="-6"/>
        </w:rPr>
        <w:t>主要原因一是</w:t>
      </w:r>
      <w:r>
        <w:rPr>
          <w:rFonts w:hint="eastAsia"/>
          <w:spacing w:val="-6"/>
          <w:lang w:eastAsia="zh-CN"/>
        </w:rPr>
        <w:t>项目建设支出减少</w:t>
      </w:r>
      <w:r>
        <w:rPr>
          <w:rFonts w:hint="eastAsia"/>
          <w:spacing w:val="-6"/>
        </w:rPr>
        <w:t>；二</w:t>
      </w:r>
      <w:r>
        <w:rPr>
          <w:spacing w:val="-6"/>
        </w:rPr>
        <w:t>是</w:t>
      </w:r>
      <w:r>
        <w:rPr>
          <w:rFonts w:hint="eastAsia"/>
          <w:spacing w:val="-6"/>
          <w:lang w:eastAsia="zh-CN"/>
        </w:rPr>
        <w:t>人员经费和日常办公经费增加。</w:t>
      </w:r>
    </w:p>
    <w:p>
      <w:pPr>
        <w:pStyle w:val="2"/>
        <w:spacing w:before="2" w:line="520" w:lineRule="exact"/>
        <w:ind w:right="270" w:firstLine="720" w:firstLineChars="225"/>
        <w:jc w:val="both"/>
        <w:rPr>
          <w:rFonts w:ascii="黑体" w:hAnsi="黑体" w:eastAsia="黑体"/>
          <w:lang w:val="en-US"/>
        </w:rPr>
      </w:pPr>
      <w:r>
        <w:rPr>
          <w:rFonts w:hint="eastAsia" w:ascii="黑体" w:hAnsi="黑体" w:eastAsia="黑体"/>
          <w:lang w:val="en-US"/>
        </w:rPr>
        <w:t>五、一般公共预算财政拨款支出决算情况说明</w:t>
      </w:r>
      <w:r>
        <w:rPr>
          <w:rFonts w:ascii="黑体" w:hAnsi="黑体" w:eastAsia="黑体"/>
          <w:lang w:val="en-US"/>
        </w:rPr>
        <w:t xml:space="preserve"> </w:t>
      </w:r>
    </w:p>
    <w:p>
      <w:pPr>
        <w:pStyle w:val="2"/>
        <w:spacing w:before="2" w:line="520" w:lineRule="exact"/>
        <w:ind w:right="270" w:firstLine="696" w:firstLineChars="225"/>
        <w:jc w:val="both"/>
        <w:rPr>
          <w:b/>
          <w:spacing w:val="-6"/>
        </w:rPr>
      </w:pPr>
      <w:r>
        <w:rPr>
          <w:rFonts w:hint="eastAsia"/>
          <w:b/>
          <w:spacing w:val="-6"/>
        </w:rPr>
        <w:t>（一）总体情况</w:t>
      </w:r>
    </w:p>
    <w:p>
      <w:pPr>
        <w:pStyle w:val="2"/>
        <w:spacing w:before="2" w:line="520" w:lineRule="exact"/>
        <w:ind w:right="270" w:firstLine="693" w:firstLineChars="225"/>
        <w:jc w:val="both"/>
        <w:rPr>
          <w:spacing w:val="-6"/>
        </w:rPr>
      </w:pPr>
      <w:r>
        <w:rPr>
          <w:spacing w:val="-6"/>
        </w:rPr>
        <w:t>2017年一般公共预算财政拨款支出</w:t>
      </w:r>
      <w:r>
        <w:rPr>
          <w:rFonts w:hint="eastAsia"/>
          <w:spacing w:val="-6"/>
          <w:lang w:val="en-US" w:eastAsia="zh-CN"/>
        </w:rPr>
        <w:t>2263.49</w:t>
      </w:r>
      <w:r>
        <w:rPr>
          <w:spacing w:val="-6"/>
        </w:rPr>
        <w:t>万元，占支</w:t>
      </w:r>
      <w:r>
        <w:rPr>
          <w:rFonts w:hint="eastAsia"/>
          <w:spacing w:val="-6"/>
        </w:rPr>
        <w:t>出合计的</w:t>
      </w:r>
      <w:r>
        <w:rPr>
          <w:rFonts w:hint="eastAsia"/>
          <w:spacing w:val="-6"/>
          <w:lang w:val="en-US" w:eastAsia="zh-CN"/>
        </w:rPr>
        <w:t>100</w:t>
      </w:r>
      <w:r>
        <w:rPr>
          <w:spacing w:val="-6"/>
        </w:rPr>
        <w:t>%。与2016年相比，一般公共预算财政拨款支出</w:t>
      </w:r>
      <w:r>
        <w:rPr>
          <w:rFonts w:hint="eastAsia"/>
          <w:spacing w:val="-6"/>
          <w:lang w:eastAsia="zh-CN"/>
        </w:rPr>
        <w:t>减少</w:t>
      </w:r>
      <w:r>
        <w:rPr>
          <w:rFonts w:hint="eastAsia"/>
          <w:spacing w:val="-6"/>
          <w:lang w:val="en-US" w:eastAsia="zh-CN"/>
        </w:rPr>
        <w:t>253.16</w:t>
      </w:r>
      <w:r>
        <w:rPr>
          <w:spacing w:val="-6"/>
        </w:rPr>
        <w:t>万元，</w:t>
      </w:r>
      <w:r>
        <w:rPr>
          <w:rFonts w:hint="eastAsia"/>
          <w:spacing w:val="-6"/>
          <w:lang w:eastAsia="zh-CN"/>
        </w:rPr>
        <w:t>减少</w:t>
      </w:r>
      <w:r>
        <w:rPr>
          <w:rFonts w:hint="eastAsia"/>
          <w:spacing w:val="-6"/>
          <w:lang w:val="en-US" w:eastAsia="zh-CN"/>
        </w:rPr>
        <w:t>10.06</w:t>
      </w:r>
      <w:r>
        <w:rPr>
          <w:spacing w:val="-6"/>
        </w:rPr>
        <w:t>%。主要原因一是</w:t>
      </w:r>
      <w:r>
        <w:rPr>
          <w:rFonts w:hint="eastAsia"/>
          <w:spacing w:val="-6"/>
          <w:lang w:eastAsia="zh-CN"/>
        </w:rPr>
        <w:t>项目建设支出减少</w:t>
      </w:r>
      <w:r>
        <w:rPr>
          <w:rFonts w:hint="eastAsia"/>
          <w:spacing w:val="-6"/>
        </w:rPr>
        <w:t>；二</w:t>
      </w:r>
      <w:r>
        <w:rPr>
          <w:spacing w:val="-6"/>
        </w:rPr>
        <w:t>是</w:t>
      </w:r>
      <w:r>
        <w:rPr>
          <w:rFonts w:hint="eastAsia"/>
          <w:spacing w:val="-6"/>
          <w:lang w:eastAsia="zh-CN"/>
        </w:rPr>
        <w:t>人员经费和日常办公经费增加。</w:t>
      </w:r>
    </w:p>
    <w:p>
      <w:pPr>
        <w:pStyle w:val="2"/>
        <w:spacing w:before="2" w:line="520" w:lineRule="exact"/>
        <w:ind w:right="270" w:firstLine="696" w:firstLineChars="225"/>
        <w:jc w:val="both"/>
        <w:rPr>
          <w:b/>
          <w:spacing w:val="-6"/>
        </w:rPr>
      </w:pPr>
      <w:r>
        <w:rPr>
          <w:rFonts w:hint="eastAsia"/>
          <w:b/>
          <w:spacing w:val="-6"/>
        </w:rPr>
        <w:t>（二）结构情况</w:t>
      </w:r>
    </w:p>
    <w:p>
      <w:pPr>
        <w:pStyle w:val="2"/>
        <w:spacing w:before="2" w:line="520" w:lineRule="exact"/>
        <w:ind w:right="270" w:firstLine="693" w:firstLineChars="225"/>
        <w:jc w:val="both"/>
        <w:rPr>
          <w:rFonts w:hint="eastAsia"/>
          <w:spacing w:val="-6"/>
          <w:lang w:val="en-US" w:eastAsia="zh-CN"/>
        </w:rPr>
      </w:pPr>
      <w:r>
        <w:rPr>
          <w:spacing w:val="-6"/>
        </w:rPr>
        <w:t>2017 年度一般公共预算财政拨款支出</w:t>
      </w:r>
      <w:r>
        <w:rPr>
          <w:rFonts w:hint="eastAsia"/>
          <w:spacing w:val="-6"/>
          <w:lang w:val="en-US" w:eastAsia="zh-CN"/>
        </w:rPr>
        <w:t>2263.49</w:t>
      </w:r>
      <w:r>
        <w:rPr>
          <w:spacing w:val="-6"/>
        </w:rPr>
        <w:t>万元，主</w:t>
      </w:r>
      <w:r>
        <w:rPr>
          <w:rFonts w:hint="eastAsia"/>
          <w:spacing w:val="-6"/>
        </w:rPr>
        <w:t>要用于以下方面：社会保障和就业支出</w:t>
      </w:r>
      <w:r>
        <w:rPr>
          <w:rFonts w:hint="eastAsia"/>
          <w:spacing w:val="-6"/>
          <w:lang w:val="en-US" w:eastAsia="zh-CN"/>
        </w:rPr>
        <w:t>183.96</w:t>
      </w:r>
      <w:r>
        <w:rPr>
          <w:rFonts w:hint="eastAsia"/>
          <w:spacing w:val="-6"/>
        </w:rPr>
        <w:t>万元，占总支出的</w:t>
      </w:r>
      <w:r>
        <w:rPr>
          <w:rFonts w:hint="eastAsia"/>
          <w:spacing w:val="-6"/>
          <w:lang w:val="en-US" w:eastAsia="zh-CN"/>
        </w:rPr>
        <w:t>8.1</w:t>
      </w:r>
      <w:r>
        <w:rPr>
          <w:rFonts w:hint="eastAsia"/>
          <w:spacing w:val="-6"/>
        </w:rPr>
        <w:t>%；</w:t>
      </w:r>
      <w:r>
        <w:rPr>
          <w:rFonts w:hint="eastAsia"/>
          <w:spacing w:val="-6"/>
          <w:lang w:eastAsia="zh-CN"/>
        </w:rPr>
        <w:t>医疗卫生与计划生育支出</w:t>
      </w:r>
      <w:r>
        <w:rPr>
          <w:rFonts w:hint="eastAsia"/>
          <w:spacing w:val="-6"/>
          <w:lang w:val="en-US" w:eastAsia="zh-CN"/>
        </w:rPr>
        <w:t>74.07万元,占总支出的3.3%;交通运输支出2005.45万元,占总支出的88.6%.。</w:t>
      </w:r>
    </w:p>
    <w:p>
      <w:pPr>
        <w:pStyle w:val="2"/>
        <w:spacing w:before="2" w:line="520" w:lineRule="exact"/>
        <w:ind w:right="270" w:firstLine="696" w:firstLineChars="225"/>
        <w:jc w:val="both"/>
        <w:rPr>
          <w:b/>
          <w:spacing w:val="-6"/>
        </w:rPr>
      </w:pPr>
      <w:r>
        <w:rPr>
          <w:rFonts w:hint="eastAsia"/>
          <w:b/>
          <w:spacing w:val="-6"/>
        </w:rPr>
        <w:t>（三）具体情况</w:t>
      </w:r>
    </w:p>
    <w:p>
      <w:pPr>
        <w:pStyle w:val="2"/>
        <w:spacing w:before="2" w:line="520" w:lineRule="exact"/>
        <w:ind w:right="270" w:firstLine="693" w:firstLineChars="225"/>
        <w:jc w:val="both"/>
        <w:rPr>
          <w:spacing w:val="-6"/>
        </w:rPr>
      </w:pPr>
      <w:r>
        <w:rPr>
          <w:spacing w:val="-6"/>
        </w:rPr>
        <w:t>2017 年度一般公共预算财政拨款支出年初预算为</w:t>
      </w:r>
      <w:r>
        <w:rPr>
          <w:rFonts w:hint="eastAsia"/>
          <w:spacing w:val="-6"/>
          <w:lang w:val="en-US" w:eastAsia="zh-CN"/>
        </w:rPr>
        <w:t>2263.51</w:t>
      </w:r>
      <w:r>
        <w:rPr>
          <w:rFonts w:hint="eastAsia"/>
          <w:spacing w:val="-6"/>
        </w:rPr>
        <w:t>万元，支出决算为</w:t>
      </w:r>
      <w:r>
        <w:rPr>
          <w:rFonts w:hint="eastAsia"/>
          <w:spacing w:val="-6"/>
          <w:lang w:val="en-US" w:eastAsia="zh-CN"/>
        </w:rPr>
        <w:t>2263.49</w:t>
      </w:r>
      <w:r>
        <w:rPr>
          <w:spacing w:val="-6"/>
        </w:rPr>
        <w:t>万元，完成年初预算的</w:t>
      </w:r>
      <w:r>
        <w:rPr>
          <w:rFonts w:hint="eastAsia"/>
          <w:spacing w:val="-6"/>
          <w:lang w:val="en-US" w:eastAsia="zh-CN"/>
        </w:rPr>
        <w:t>99.9</w:t>
      </w:r>
      <w:r>
        <w:rPr>
          <w:spacing w:val="-6"/>
        </w:rPr>
        <w:t xml:space="preserve">%。 </w:t>
      </w:r>
    </w:p>
    <w:p>
      <w:pPr>
        <w:pStyle w:val="2"/>
        <w:numPr>
          <w:ilvl w:val="0"/>
          <w:numId w:val="2"/>
        </w:numPr>
        <w:spacing w:before="2" w:line="520" w:lineRule="exact"/>
        <w:ind w:right="270" w:firstLine="696" w:firstLineChars="225"/>
        <w:jc w:val="both"/>
        <w:rPr>
          <w:rFonts w:hint="eastAsia"/>
          <w:spacing w:val="-6"/>
          <w:lang w:val="en-US" w:eastAsia="zh-CN"/>
        </w:rPr>
      </w:pPr>
      <w:r>
        <w:rPr>
          <w:rFonts w:hint="eastAsia"/>
          <w:b/>
          <w:spacing w:val="-6"/>
          <w:lang w:eastAsia="zh-CN"/>
        </w:rPr>
        <w:t>社会保障和就业支出</w:t>
      </w:r>
      <w:r>
        <w:rPr>
          <w:spacing w:val="-6"/>
        </w:rPr>
        <w:t>。</w:t>
      </w:r>
      <w:r>
        <w:rPr>
          <w:rFonts w:hint="eastAsia"/>
          <w:spacing w:val="-6"/>
        </w:rPr>
        <w:t>年初预算为</w:t>
      </w:r>
      <w:r>
        <w:rPr>
          <w:rFonts w:hint="eastAsia"/>
          <w:spacing w:val="-6"/>
          <w:lang w:val="en-US" w:eastAsia="zh-CN"/>
        </w:rPr>
        <w:t>183.96</w:t>
      </w:r>
      <w:r>
        <w:rPr>
          <w:spacing w:val="-6"/>
        </w:rPr>
        <w:t>万元，支出决算为</w:t>
      </w:r>
      <w:r>
        <w:rPr>
          <w:rFonts w:hint="eastAsia"/>
          <w:spacing w:val="-6"/>
          <w:lang w:val="en-US" w:eastAsia="zh-CN"/>
        </w:rPr>
        <w:t>183.96</w:t>
      </w:r>
      <w:r>
        <w:rPr>
          <w:spacing w:val="-6"/>
        </w:rPr>
        <w:t>万元。</w:t>
      </w:r>
      <w:r>
        <w:rPr>
          <w:rFonts w:hint="eastAsia"/>
          <w:spacing w:val="-6"/>
          <w:lang w:eastAsia="zh-CN"/>
        </w:rPr>
        <w:t>完成年初预算的</w:t>
      </w:r>
      <w:r>
        <w:rPr>
          <w:rFonts w:hint="eastAsia"/>
          <w:spacing w:val="-6"/>
          <w:lang w:val="en-US" w:eastAsia="zh-CN"/>
        </w:rPr>
        <w:t>100%。</w:t>
      </w:r>
    </w:p>
    <w:p>
      <w:pPr>
        <w:pStyle w:val="2"/>
        <w:numPr>
          <w:ilvl w:val="0"/>
          <w:numId w:val="0"/>
        </w:numPr>
        <w:spacing w:before="2" w:line="520" w:lineRule="exact"/>
        <w:ind w:right="270" w:rightChars="0" w:firstLine="619" w:firstLineChars="200"/>
        <w:jc w:val="both"/>
        <w:rPr>
          <w:spacing w:val="-6"/>
        </w:rPr>
      </w:pPr>
      <w:r>
        <w:rPr>
          <w:b/>
          <w:bCs/>
          <w:spacing w:val="-6"/>
        </w:rPr>
        <w:t>2</w:t>
      </w:r>
      <w:r>
        <w:rPr>
          <w:spacing w:val="-6"/>
        </w:rPr>
        <w:t>．</w:t>
      </w:r>
      <w:r>
        <w:rPr>
          <w:rFonts w:hint="eastAsia"/>
          <w:b/>
          <w:spacing w:val="-6"/>
          <w:lang w:eastAsia="zh-CN"/>
        </w:rPr>
        <w:t>医疗卫生与计划生育支出。</w:t>
      </w:r>
      <w:r>
        <w:rPr>
          <w:rFonts w:hint="eastAsia"/>
          <w:spacing w:val="-6"/>
        </w:rPr>
        <w:t>年初预算为</w:t>
      </w:r>
      <w:r>
        <w:rPr>
          <w:rFonts w:hint="eastAsia"/>
          <w:spacing w:val="-6"/>
          <w:lang w:val="en-US" w:eastAsia="zh-CN"/>
        </w:rPr>
        <w:t>74.07</w:t>
      </w:r>
      <w:r>
        <w:rPr>
          <w:spacing w:val="-6"/>
        </w:rPr>
        <w:t>元，支出决算为</w:t>
      </w:r>
      <w:r>
        <w:rPr>
          <w:rFonts w:hint="eastAsia"/>
          <w:spacing w:val="-6"/>
          <w:highlight w:val="none"/>
          <w:lang w:val="en-US" w:eastAsia="zh-CN"/>
        </w:rPr>
        <w:t>74.07</w:t>
      </w:r>
      <w:r>
        <w:rPr>
          <w:spacing w:val="-6"/>
        </w:rPr>
        <w:t>万元，完</w:t>
      </w:r>
      <w:r>
        <w:rPr>
          <w:rFonts w:hint="eastAsia"/>
          <w:spacing w:val="-6"/>
        </w:rPr>
        <w:t>成年初预算的</w:t>
      </w:r>
      <w:r>
        <w:rPr>
          <w:rFonts w:hint="eastAsia"/>
          <w:spacing w:val="-6"/>
          <w:lang w:val="en-US" w:eastAsia="zh-CN"/>
        </w:rPr>
        <w:t>100</w:t>
      </w:r>
      <w:r>
        <w:rPr>
          <w:spacing w:val="-6"/>
        </w:rPr>
        <w:t xml:space="preserve">%。 </w:t>
      </w:r>
    </w:p>
    <w:p>
      <w:pPr>
        <w:pStyle w:val="2"/>
        <w:spacing w:before="2" w:line="520" w:lineRule="exact"/>
        <w:ind w:right="270" w:firstLine="696" w:firstLineChars="225"/>
        <w:jc w:val="both"/>
        <w:rPr>
          <w:spacing w:val="-6"/>
        </w:rPr>
      </w:pPr>
      <w:r>
        <w:rPr>
          <w:b/>
          <w:bCs/>
          <w:spacing w:val="-6"/>
        </w:rPr>
        <w:t>3</w:t>
      </w:r>
      <w:r>
        <w:rPr>
          <w:spacing w:val="-6"/>
        </w:rPr>
        <w:t>．</w:t>
      </w:r>
      <w:r>
        <w:rPr>
          <w:rFonts w:hint="eastAsia"/>
          <w:b/>
          <w:spacing w:val="-6"/>
          <w:lang w:eastAsia="zh-CN"/>
        </w:rPr>
        <w:t>交通运输支出</w:t>
      </w:r>
      <w:r>
        <w:rPr>
          <w:rFonts w:hint="eastAsia"/>
          <w:b/>
          <w:spacing w:val="-6"/>
        </w:rPr>
        <w:t>。</w:t>
      </w:r>
      <w:r>
        <w:rPr>
          <w:rFonts w:hint="eastAsia"/>
          <w:spacing w:val="-6"/>
        </w:rPr>
        <w:t>年初预算为</w:t>
      </w:r>
      <w:r>
        <w:rPr>
          <w:rFonts w:hint="eastAsia"/>
          <w:spacing w:val="-6"/>
          <w:lang w:val="en-US" w:eastAsia="zh-CN"/>
        </w:rPr>
        <w:t>2005.47</w:t>
      </w:r>
      <w:r>
        <w:rPr>
          <w:spacing w:val="-6"/>
        </w:rPr>
        <w:t>万元，支出决算为</w:t>
      </w:r>
      <w:r>
        <w:rPr>
          <w:rFonts w:hint="eastAsia"/>
          <w:spacing w:val="-6"/>
          <w:lang w:val="en-US" w:eastAsia="zh-CN"/>
        </w:rPr>
        <w:t>2005.45</w:t>
      </w:r>
      <w:r>
        <w:rPr>
          <w:spacing w:val="-6"/>
        </w:rPr>
        <w:t>万元，完成年初预算</w:t>
      </w:r>
      <w:r>
        <w:rPr>
          <w:rFonts w:hint="eastAsia"/>
          <w:spacing w:val="-6"/>
        </w:rPr>
        <w:t>的</w:t>
      </w:r>
      <w:r>
        <w:rPr>
          <w:rFonts w:hint="eastAsia"/>
          <w:spacing w:val="-6"/>
          <w:lang w:val="en-US" w:eastAsia="zh-CN"/>
        </w:rPr>
        <w:t>99.9</w:t>
      </w:r>
      <w:r>
        <w:rPr>
          <w:spacing w:val="-6"/>
        </w:rPr>
        <w:t>%。</w:t>
      </w:r>
    </w:p>
    <w:p>
      <w:pPr>
        <w:pStyle w:val="2"/>
        <w:spacing w:before="2" w:line="520" w:lineRule="exact"/>
        <w:ind w:right="270" w:firstLine="720" w:firstLineChars="225"/>
        <w:jc w:val="both"/>
        <w:rPr>
          <w:rFonts w:ascii="黑体" w:hAnsi="黑体" w:eastAsia="黑体"/>
          <w:lang w:val="en-US"/>
        </w:rPr>
      </w:pPr>
      <w:r>
        <w:rPr>
          <w:rFonts w:hint="eastAsia" w:ascii="黑体" w:hAnsi="黑体" w:eastAsia="黑体"/>
          <w:lang w:val="en-US"/>
        </w:rPr>
        <w:t>六、一般公共预算财政拨款基本支出决算情况说明</w:t>
      </w:r>
      <w:r>
        <w:rPr>
          <w:rFonts w:ascii="黑体" w:hAnsi="黑体" w:eastAsia="黑体"/>
          <w:lang w:val="en-US"/>
        </w:rPr>
        <w:t xml:space="preserve"> </w:t>
      </w:r>
    </w:p>
    <w:p>
      <w:pPr>
        <w:pStyle w:val="2"/>
        <w:spacing w:before="2" w:line="520" w:lineRule="exact"/>
        <w:ind w:right="270" w:firstLine="720" w:firstLineChars="225"/>
        <w:jc w:val="both"/>
        <w:rPr>
          <w:lang w:val="en-US"/>
        </w:rPr>
      </w:pPr>
      <w:r>
        <w:rPr>
          <w:lang w:val="en-US"/>
        </w:rPr>
        <w:t>2017年一般公共预算财政拨款基本支出</w:t>
      </w:r>
      <w:r>
        <w:rPr>
          <w:rFonts w:hint="eastAsia"/>
          <w:lang w:val="en-US" w:eastAsia="zh-CN"/>
        </w:rPr>
        <w:t>2263.49</w:t>
      </w:r>
      <w:r>
        <w:rPr>
          <w:lang w:val="en-US"/>
        </w:rPr>
        <w:t>万元。</w:t>
      </w:r>
      <w:r>
        <w:rPr>
          <w:rFonts w:hint="eastAsia"/>
          <w:lang w:val="en-US"/>
        </w:rPr>
        <w:t>与</w:t>
      </w:r>
      <w:r>
        <w:rPr>
          <w:lang w:val="en-US"/>
        </w:rPr>
        <w:t xml:space="preserve"> 2016年相比，</w:t>
      </w:r>
      <w:r>
        <w:rPr>
          <w:rFonts w:hint="eastAsia"/>
          <w:lang w:val="en-US" w:eastAsia="zh-CN"/>
        </w:rPr>
        <w:t>减少253.16</w:t>
      </w:r>
      <w:r>
        <w:rPr>
          <w:lang w:val="en-US"/>
        </w:rPr>
        <w:t>万元，</w:t>
      </w:r>
      <w:r>
        <w:rPr>
          <w:rFonts w:hint="eastAsia"/>
          <w:lang w:val="en-US" w:eastAsia="zh-CN"/>
        </w:rPr>
        <w:t>减少10.06</w:t>
      </w:r>
      <w:r>
        <w:rPr>
          <w:lang w:val="en-US"/>
        </w:rPr>
        <w:t>%。变动的主</w:t>
      </w:r>
      <w:r>
        <w:rPr>
          <w:rFonts w:hint="eastAsia"/>
          <w:lang w:val="en-US"/>
        </w:rPr>
        <w:t>要原因：一是</w:t>
      </w:r>
      <w:r>
        <w:rPr>
          <w:lang w:val="en-US"/>
        </w:rPr>
        <w:t xml:space="preserve"> 2017年落实正常增人增资、晋级晋档</w:t>
      </w:r>
      <w:r>
        <w:rPr>
          <w:rFonts w:hint="eastAsia"/>
          <w:lang w:val="en-US"/>
        </w:rPr>
        <w:t>；</w:t>
      </w:r>
      <w:r>
        <w:rPr>
          <w:rFonts w:hint="eastAsia"/>
          <w:lang w:val="en-US" w:eastAsia="zh-CN"/>
        </w:rPr>
        <w:t>二</w:t>
      </w:r>
      <w:r>
        <w:rPr>
          <w:rFonts w:hint="eastAsia"/>
          <w:lang w:val="en-US"/>
        </w:rPr>
        <w:t>是养老保险改革，单位和个人开始正常缴纳养老保险、职业年金。其中：人员经费</w:t>
      </w:r>
      <w:r>
        <w:rPr>
          <w:rFonts w:hint="eastAsia"/>
          <w:lang w:val="en-US" w:eastAsia="zh-CN"/>
        </w:rPr>
        <w:t>1705.18</w:t>
      </w:r>
      <w:r>
        <w:rPr>
          <w:rFonts w:hint="eastAsia"/>
          <w:lang w:val="en-US"/>
        </w:rPr>
        <w:t>万元，主要包括：基本工资、津贴补贴、奖金、其他社保保障缴费、绩效工资、机关事业单位基本养老保险缴费、职业年金缴费、其他工资福利支出、离退休费、抚恤金、生活补助、医疗费、住房公积金、其他对个人和家庭的补助支出等；公用经费</w:t>
      </w:r>
      <w:r>
        <w:rPr>
          <w:rFonts w:hint="eastAsia"/>
          <w:lang w:val="en-US" w:eastAsia="zh-CN"/>
        </w:rPr>
        <w:t>273.58</w:t>
      </w:r>
      <w:r>
        <w:rPr>
          <w:lang w:val="en-US"/>
        </w:rPr>
        <w:t>万元，主要包括：</w:t>
      </w:r>
      <w:r>
        <w:rPr>
          <w:rFonts w:hint="eastAsia"/>
          <w:lang w:val="en-US"/>
        </w:rPr>
        <w:t>办公费、印刷费、咨询费、水费、电费、邮电费、物业管理费、差旅费、维修（护）费、租赁费、会议费、培训费、公务接待费、劳务费、工会经费、福利费、公务用车运行维护费、其他交通费用、其他商品服务支出、办公设备购置、专用设备购置等。</w:t>
      </w:r>
      <w:r>
        <w:rPr>
          <w:lang w:val="en-US"/>
        </w:rPr>
        <w:t xml:space="preserve"> </w:t>
      </w:r>
    </w:p>
    <w:p>
      <w:pPr>
        <w:pStyle w:val="2"/>
        <w:spacing w:before="2" w:line="520" w:lineRule="exact"/>
        <w:ind w:right="270" w:firstLine="630" w:firstLineChars="225"/>
        <w:jc w:val="both"/>
        <w:rPr>
          <w:lang w:val="en-US"/>
        </w:rPr>
      </w:pPr>
      <w:r>
        <w:rPr>
          <w:rFonts w:hint="eastAsia" w:ascii="黑体" w:hAnsi="黑体" w:eastAsia="黑体"/>
          <w:spacing w:val="-20"/>
          <w:lang w:val="en-US"/>
        </w:rPr>
        <w:t>七、一般公共预算财政拨款“三公”经费支出决算情况说明</w:t>
      </w:r>
      <w:r>
        <w:rPr>
          <w:lang w:val="en-US"/>
        </w:rPr>
        <w:t xml:space="preserve"> </w:t>
      </w:r>
    </w:p>
    <w:p>
      <w:pPr>
        <w:pStyle w:val="2"/>
        <w:spacing w:before="2" w:line="520" w:lineRule="exact"/>
        <w:ind w:right="270" w:firstLine="723" w:firstLineChars="225"/>
        <w:jc w:val="both"/>
        <w:rPr>
          <w:b/>
          <w:lang w:val="en-US"/>
        </w:rPr>
      </w:pPr>
      <w:r>
        <w:rPr>
          <w:rFonts w:hint="eastAsia"/>
          <w:b/>
          <w:lang w:val="en-US"/>
        </w:rPr>
        <w:t>（一）“三公”经费财政拨款支出决算总体情况说明。</w:t>
      </w:r>
      <w:r>
        <w:rPr>
          <w:b/>
          <w:lang w:val="en-US"/>
        </w:rPr>
        <w:t xml:space="preserve"> </w:t>
      </w:r>
    </w:p>
    <w:p>
      <w:pPr>
        <w:pStyle w:val="2"/>
        <w:spacing w:before="2" w:line="520" w:lineRule="exact"/>
        <w:ind w:right="270" w:firstLine="720" w:firstLineChars="225"/>
        <w:jc w:val="both"/>
        <w:rPr>
          <w:lang w:val="en-US"/>
        </w:rPr>
      </w:pPr>
      <w:r>
        <w:rPr>
          <w:lang w:val="en-US"/>
        </w:rPr>
        <w:t>2017 年度“三公”经费财政拨款支出预算为</w:t>
      </w:r>
      <w:r>
        <w:rPr>
          <w:rFonts w:hint="eastAsia"/>
          <w:lang w:val="en-US" w:eastAsia="zh-CN"/>
        </w:rPr>
        <w:t>6.3</w:t>
      </w:r>
      <w:r>
        <w:rPr>
          <w:lang w:val="en-US"/>
        </w:rPr>
        <w:t>万元</w:t>
      </w:r>
      <w:r>
        <w:rPr>
          <w:rFonts w:hint="eastAsia"/>
          <w:lang w:val="en-US"/>
        </w:rPr>
        <w:t>，支出决算为</w:t>
      </w:r>
      <w:r>
        <w:rPr>
          <w:rFonts w:hint="eastAsia"/>
          <w:lang w:val="en-US" w:eastAsia="zh-CN"/>
        </w:rPr>
        <w:t>3.16</w:t>
      </w:r>
      <w:r>
        <w:rPr>
          <w:lang w:val="en-US"/>
        </w:rPr>
        <w:t>万元，完成预算的</w:t>
      </w:r>
      <w:r>
        <w:rPr>
          <w:rFonts w:hint="eastAsia"/>
          <w:lang w:val="en-US" w:eastAsia="zh-CN"/>
        </w:rPr>
        <w:t>50.2</w:t>
      </w:r>
      <w:r>
        <w:rPr>
          <w:lang w:val="en-US"/>
        </w:rPr>
        <w:t>%。2017 年度“三</w:t>
      </w:r>
      <w:r>
        <w:rPr>
          <w:rFonts w:hint="eastAsia"/>
          <w:lang w:val="en-US"/>
        </w:rPr>
        <w:t>公”经费支出决算数与预算数存在差异的主要原因是</w:t>
      </w:r>
      <w:r>
        <w:rPr>
          <w:rFonts w:hint="eastAsia"/>
          <w:lang w:val="en-US" w:eastAsia="zh-CN"/>
        </w:rPr>
        <w:t>西华县交通运输局</w:t>
      </w:r>
      <w:r>
        <w:rPr>
          <w:rFonts w:hint="eastAsia"/>
          <w:lang w:val="en-US"/>
        </w:rPr>
        <w:t>认真贯彻落实中央八项规定精神，坚持厉行节约，进一步规范公务接待，强化公务用车管理，严格控制“三公”经费支出。</w:t>
      </w:r>
      <w:r>
        <w:rPr>
          <w:lang w:val="en-US"/>
        </w:rPr>
        <w:t xml:space="preserve"> </w:t>
      </w:r>
    </w:p>
    <w:p>
      <w:pPr>
        <w:pStyle w:val="2"/>
        <w:spacing w:before="2" w:line="520" w:lineRule="exact"/>
        <w:ind w:right="270" w:firstLine="723" w:firstLineChars="225"/>
        <w:jc w:val="both"/>
        <w:rPr>
          <w:b/>
          <w:lang w:val="en-US"/>
        </w:rPr>
      </w:pPr>
      <w:r>
        <w:rPr>
          <w:rFonts w:hint="eastAsia"/>
          <w:b/>
          <w:lang w:val="en-US"/>
        </w:rPr>
        <w:t>（二）“三公”经费财政拨款支出决算具体情况说明。</w:t>
      </w:r>
      <w:r>
        <w:rPr>
          <w:b/>
          <w:lang w:val="en-US"/>
        </w:rPr>
        <w:t xml:space="preserve"> </w:t>
      </w:r>
    </w:p>
    <w:p>
      <w:pPr>
        <w:pStyle w:val="2"/>
        <w:spacing w:before="2" w:line="520" w:lineRule="exact"/>
        <w:ind w:right="270" w:firstLine="720" w:firstLineChars="225"/>
        <w:jc w:val="both"/>
        <w:rPr>
          <w:lang w:val="en-US"/>
        </w:rPr>
      </w:pPr>
      <w:r>
        <w:rPr>
          <w:lang w:val="en-US"/>
        </w:rPr>
        <w:t>2017 年度“三公”经费财政拨款支出决算中，因公出国（境）</w:t>
      </w:r>
      <w:r>
        <w:rPr>
          <w:rFonts w:hint="eastAsia"/>
          <w:lang w:val="en-US"/>
        </w:rPr>
        <w:t>费支出决算</w:t>
      </w:r>
      <w:r>
        <w:rPr>
          <w:rFonts w:hint="eastAsia"/>
          <w:lang w:val="en-US" w:eastAsia="zh-CN"/>
        </w:rPr>
        <w:t>0</w:t>
      </w:r>
      <w:r>
        <w:rPr>
          <w:lang w:val="en-US"/>
        </w:rPr>
        <w:t>万元；公务</w:t>
      </w:r>
      <w:r>
        <w:rPr>
          <w:rFonts w:hint="eastAsia"/>
          <w:lang w:val="en-US"/>
        </w:rPr>
        <w:t>用车购置及运行费支出决算</w:t>
      </w:r>
      <w:r>
        <w:rPr>
          <w:rFonts w:hint="eastAsia"/>
          <w:lang w:val="en-US" w:eastAsia="zh-CN"/>
        </w:rPr>
        <w:t>1.8</w:t>
      </w:r>
      <w:r>
        <w:rPr>
          <w:lang w:val="en-US"/>
        </w:rPr>
        <w:t>万元，</w:t>
      </w:r>
      <w:r>
        <w:rPr>
          <w:rFonts w:hint="eastAsia"/>
          <w:lang w:val="en-US" w:eastAsia="zh-CN"/>
        </w:rPr>
        <w:t>占56.96%，完成预算的100%；</w:t>
      </w:r>
      <w:r>
        <w:rPr>
          <w:lang w:val="en-US"/>
        </w:rPr>
        <w:t>公务接待费支出决算</w:t>
      </w:r>
      <w:r>
        <w:rPr>
          <w:rFonts w:hint="eastAsia"/>
          <w:lang w:val="en-US" w:eastAsia="zh-CN"/>
        </w:rPr>
        <w:t>1.36</w:t>
      </w:r>
      <w:r>
        <w:rPr>
          <w:lang w:val="en-US"/>
        </w:rPr>
        <w:t>万元，占</w:t>
      </w:r>
      <w:r>
        <w:rPr>
          <w:rFonts w:hint="eastAsia"/>
          <w:lang w:val="en-US" w:eastAsia="zh-CN"/>
        </w:rPr>
        <w:t>43.04</w:t>
      </w:r>
      <w:r>
        <w:rPr>
          <w:lang w:val="en-US"/>
        </w:rPr>
        <w:t>%，完成</w:t>
      </w:r>
      <w:r>
        <w:rPr>
          <w:rFonts w:hint="eastAsia"/>
          <w:lang w:val="en-US"/>
        </w:rPr>
        <w:t>预算的</w:t>
      </w:r>
      <w:r>
        <w:rPr>
          <w:rFonts w:hint="eastAsia"/>
          <w:lang w:val="en-US" w:eastAsia="zh-CN"/>
        </w:rPr>
        <w:t>30.2</w:t>
      </w:r>
      <w:r>
        <w:rPr>
          <w:lang w:val="en-US"/>
        </w:rPr>
        <w:t xml:space="preserve">%。具体情况如下： </w:t>
      </w:r>
    </w:p>
    <w:p>
      <w:pPr>
        <w:pStyle w:val="2"/>
        <w:numPr>
          <w:numId w:val="0"/>
        </w:numPr>
        <w:spacing w:before="2" w:line="520" w:lineRule="exact"/>
        <w:ind w:right="270" w:rightChars="0" w:firstLine="643" w:firstLineChars="200"/>
        <w:jc w:val="both"/>
        <w:rPr>
          <w:lang w:val="en-US"/>
        </w:rPr>
      </w:pPr>
      <w:r>
        <w:rPr>
          <w:rFonts w:hint="eastAsia"/>
          <w:b/>
          <w:lang w:val="en-US" w:eastAsia="zh-CN"/>
        </w:rPr>
        <w:t>1.</w:t>
      </w:r>
      <w:r>
        <w:rPr>
          <w:b/>
          <w:lang w:val="en-US"/>
        </w:rPr>
        <w:t>因公出国（境）费</w:t>
      </w:r>
      <w:r>
        <w:rPr>
          <w:lang w:val="en-US"/>
        </w:rPr>
        <w:t xml:space="preserve">支出 </w:t>
      </w:r>
      <w:r>
        <w:rPr>
          <w:rFonts w:hint="eastAsia"/>
          <w:lang w:val="en-US" w:eastAsia="zh-CN"/>
        </w:rPr>
        <w:t>0</w:t>
      </w:r>
      <w:r>
        <w:rPr>
          <w:lang w:val="en-US"/>
        </w:rPr>
        <w:t>万元。</w:t>
      </w:r>
    </w:p>
    <w:p>
      <w:pPr>
        <w:pStyle w:val="2"/>
        <w:spacing w:before="2" w:line="520" w:lineRule="exact"/>
        <w:ind w:right="270" w:firstLine="723" w:firstLineChars="225"/>
        <w:jc w:val="both"/>
        <w:rPr>
          <w:rFonts w:hint="eastAsia"/>
          <w:lang w:val="en-US" w:eastAsia="zh-CN"/>
        </w:rPr>
      </w:pPr>
      <w:r>
        <w:rPr>
          <w:b/>
          <w:bCs/>
          <w:lang w:val="en-US"/>
        </w:rPr>
        <w:t>2</w:t>
      </w:r>
      <w:r>
        <w:rPr>
          <w:lang w:val="en-US"/>
        </w:rPr>
        <w:t>.</w:t>
      </w:r>
      <w:r>
        <w:rPr>
          <w:b/>
          <w:lang w:val="en-US"/>
        </w:rPr>
        <w:t>公务用车购置及运行费</w:t>
      </w:r>
      <w:r>
        <w:rPr>
          <w:rFonts w:hint="eastAsia"/>
          <w:lang w:val="en-US" w:eastAsia="zh-CN"/>
        </w:rPr>
        <w:t>1.8</w:t>
      </w:r>
      <w:r>
        <w:rPr>
          <w:lang w:val="en-US"/>
        </w:rPr>
        <w:t>万元。其中</w:t>
      </w:r>
      <w:r>
        <w:rPr>
          <w:rFonts w:hint="eastAsia"/>
          <w:lang w:val="en-US"/>
        </w:rPr>
        <w:t>：公务用车购置支出为</w:t>
      </w:r>
      <w:r>
        <w:rPr>
          <w:lang w:val="en-US"/>
        </w:rPr>
        <w:t>0万元</w:t>
      </w:r>
      <w:r>
        <w:rPr>
          <w:rFonts w:hint="eastAsia"/>
          <w:lang w:val="en-US"/>
        </w:rPr>
        <w:t>。公务用车运行支出</w:t>
      </w:r>
      <w:r>
        <w:rPr>
          <w:rFonts w:hint="eastAsia"/>
          <w:lang w:val="en-US" w:eastAsia="zh-CN"/>
        </w:rPr>
        <w:t>1.8</w:t>
      </w:r>
      <w:r>
        <w:rPr>
          <w:lang w:val="en-US"/>
        </w:rPr>
        <w:t>万元。</w:t>
      </w:r>
      <w:r>
        <w:rPr>
          <w:rFonts w:hint="eastAsia"/>
          <w:lang w:val="en-US"/>
        </w:rPr>
        <w:t>主要用于燃料费、维修费、过路过桥费、保险费等支出</w:t>
      </w:r>
      <w:r>
        <w:rPr>
          <w:rFonts w:hint="eastAsia"/>
          <w:lang w:val="en-US" w:eastAsia="zh-CN"/>
        </w:rPr>
        <w:t>。</w:t>
      </w:r>
    </w:p>
    <w:p>
      <w:pPr>
        <w:pStyle w:val="2"/>
        <w:spacing w:before="2" w:line="520" w:lineRule="exact"/>
        <w:ind w:right="270" w:firstLine="723" w:firstLineChars="225"/>
        <w:jc w:val="both"/>
        <w:rPr>
          <w:lang w:val="en-US"/>
        </w:rPr>
      </w:pPr>
      <w:r>
        <w:rPr>
          <w:b/>
          <w:bCs/>
          <w:lang w:val="en-US"/>
        </w:rPr>
        <w:t>3</w:t>
      </w:r>
      <w:r>
        <w:rPr>
          <w:lang w:val="en-US"/>
        </w:rPr>
        <w:t>.</w:t>
      </w:r>
      <w:r>
        <w:rPr>
          <w:b/>
          <w:bCs w:val="0"/>
          <w:lang w:val="en-US"/>
        </w:rPr>
        <w:t>公务接待费</w:t>
      </w:r>
      <w:r>
        <w:rPr>
          <w:rFonts w:hint="eastAsia"/>
          <w:b w:val="0"/>
          <w:bCs/>
          <w:lang w:val="en-US" w:eastAsia="zh-CN"/>
        </w:rPr>
        <w:t>1.36</w:t>
      </w:r>
      <w:r>
        <w:rPr>
          <w:b w:val="0"/>
          <w:bCs/>
          <w:lang w:val="en-US"/>
        </w:rPr>
        <w:t>万元</w:t>
      </w:r>
      <w:r>
        <w:rPr>
          <w:rFonts w:hint="eastAsia"/>
          <w:lang w:val="en-US" w:eastAsia="zh-CN"/>
        </w:rPr>
        <w:t>。</w:t>
      </w:r>
      <w:r>
        <w:rPr>
          <w:lang w:val="en-US"/>
        </w:rPr>
        <w:t>主要用于机关</w:t>
      </w:r>
      <w:r>
        <w:rPr>
          <w:rFonts w:hint="eastAsia"/>
          <w:lang w:val="en-US" w:eastAsia="zh-CN"/>
        </w:rPr>
        <w:t>单位</w:t>
      </w:r>
      <w:r>
        <w:rPr>
          <w:lang w:val="en-US"/>
        </w:rPr>
        <w:t>与</w:t>
      </w:r>
      <w:r>
        <w:rPr>
          <w:rFonts w:hint="eastAsia"/>
          <w:lang w:val="en-US" w:eastAsia="zh-CN"/>
        </w:rPr>
        <w:t>市</w:t>
      </w:r>
      <w:r>
        <w:rPr>
          <w:rFonts w:hint="eastAsia"/>
          <w:lang w:val="en-US"/>
        </w:rPr>
        <w:t>、县</w:t>
      </w:r>
      <w:r>
        <w:rPr>
          <w:lang w:val="en-US"/>
        </w:rPr>
        <w:t>相关</w:t>
      </w:r>
      <w:r>
        <w:rPr>
          <w:rFonts w:hint="eastAsia"/>
          <w:lang w:val="en-US"/>
        </w:rPr>
        <w:t>单位交流工作情况及接受相关部门检查指导工作发生的接待支出。公务接待费支出决算比</w:t>
      </w:r>
      <w:r>
        <w:rPr>
          <w:lang w:val="en-US"/>
        </w:rPr>
        <w:t>2016年度减少</w:t>
      </w:r>
      <w:r>
        <w:rPr>
          <w:rFonts w:hint="eastAsia"/>
          <w:lang w:val="en-US" w:eastAsia="zh-CN"/>
        </w:rPr>
        <w:t>3.02</w:t>
      </w:r>
      <w:r>
        <w:rPr>
          <w:lang w:val="en-US"/>
        </w:rPr>
        <w:t>万元，下降</w:t>
      </w:r>
      <w:r>
        <w:rPr>
          <w:rFonts w:hint="eastAsia"/>
          <w:lang w:val="en-US" w:eastAsia="zh-CN"/>
        </w:rPr>
        <w:t>68.91</w:t>
      </w:r>
      <w:r>
        <w:rPr>
          <w:lang w:val="en-US"/>
        </w:rPr>
        <w:t>%，主要原因是坚持厉行节约，严格执行接待费管理办法</w:t>
      </w:r>
      <w:r>
        <w:rPr>
          <w:rFonts w:hint="eastAsia"/>
          <w:lang w:val="en-US"/>
        </w:rPr>
        <w:t>进一步规范公务接待。</w:t>
      </w:r>
      <w:r>
        <w:rPr>
          <w:rFonts w:hint="eastAsia"/>
          <w:lang w:val="en-US" w:eastAsia="zh-CN"/>
        </w:rPr>
        <w:t>西华县交通运输局</w:t>
      </w:r>
      <w:r>
        <w:rPr>
          <w:lang w:val="en-US"/>
        </w:rPr>
        <w:t>2017年度共接待</w:t>
      </w:r>
      <w:r>
        <w:rPr>
          <w:rFonts w:hint="eastAsia"/>
          <w:lang w:val="en-US" w:eastAsia="zh-CN"/>
        </w:rPr>
        <w:t>来访56批次</w:t>
      </w:r>
      <w:r>
        <w:rPr>
          <w:lang w:val="en-US"/>
        </w:rPr>
        <w:t>、来访</w:t>
      </w:r>
      <w:r>
        <w:rPr>
          <w:rFonts w:hint="eastAsia"/>
          <w:lang w:val="en-US"/>
        </w:rPr>
        <w:t>人员</w:t>
      </w:r>
      <w:r>
        <w:rPr>
          <w:rFonts w:hint="eastAsia"/>
          <w:lang w:val="en-US" w:eastAsia="zh-CN"/>
        </w:rPr>
        <w:t>388</w:t>
      </w:r>
      <w:r>
        <w:rPr>
          <w:lang w:val="en-US"/>
        </w:rPr>
        <w:t xml:space="preserve">人次。 </w:t>
      </w:r>
    </w:p>
    <w:p>
      <w:pPr>
        <w:pStyle w:val="2"/>
        <w:keepNext w:val="0"/>
        <w:keepLines w:val="0"/>
        <w:pageBreakBefore w:val="0"/>
        <w:widowControl w:val="0"/>
        <w:kinsoku/>
        <w:wordWrap/>
        <w:overflowPunct/>
        <w:topLinePunct w:val="0"/>
        <w:autoSpaceDE w:val="0"/>
        <w:autoSpaceDN w:val="0"/>
        <w:bidi w:val="0"/>
        <w:adjustRightInd/>
        <w:snapToGrid/>
        <w:spacing w:before="2" w:line="600" w:lineRule="exact"/>
        <w:ind w:right="270" w:firstLine="720" w:firstLineChars="225"/>
        <w:jc w:val="both"/>
        <w:textAlignment w:val="auto"/>
        <w:rPr>
          <w:rFonts w:ascii="黑体" w:hAnsi="黑体" w:eastAsia="黑体"/>
          <w:color w:val="000000" w:themeColor="text1"/>
          <w:lang w:val="en-US"/>
        </w:rPr>
      </w:pPr>
      <w:r>
        <w:rPr>
          <w:rFonts w:hint="eastAsia" w:ascii="黑体" w:hAnsi="黑体" w:eastAsia="黑体"/>
          <w:color w:val="000000" w:themeColor="text1"/>
          <w:lang w:val="en-US"/>
        </w:rPr>
        <w:t>八、</w:t>
      </w:r>
      <w:r>
        <w:rPr>
          <w:rFonts w:hint="eastAsia" w:ascii="黑体" w:hAnsi="黑体" w:eastAsia="黑体"/>
          <w:color w:val="000000" w:themeColor="text1"/>
          <w:lang w:val="en-US" w:eastAsia="zh-CN"/>
        </w:rPr>
        <w:t>重点绩效评价结果等</w:t>
      </w:r>
      <w:r>
        <w:rPr>
          <w:rFonts w:hint="eastAsia" w:ascii="黑体" w:hAnsi="黑体" w:eastAsia="黑体"/>
          <w:color w:val="000000" w:themeColor="text1"/>
          <w:lang w:val="en-US"/>
        </w:rPr>
        <w:t>预算绩效情况说明</w:t>
      </w:r>
      <w:r>
        <w:rPr>
          <w:rFonts w:ascii="黑体" w:hAnsi="黑体" w:eastAsia="黑体"/>
          <w:color w:val="000000" w:themeColor="text1"/>
          <w:lang w:val="en-US"/>
        </w:rPr>
        <w:t xml:space="preserve"> </w:t>
      </w:r>
    </w:p>
    <w:p>
      <w:pPr>
        <w:keepNext w:val="0"/>
        <w:keepLines w:val="0"/>
        <w:pageBreakBefore w:val="0"/>
        <w:widowControl w:val="0"/>
        <w:kinsoku/>
        <w:wordWrap/>
        <w:overflowPunct/>
        <w:topLinePunct w:val="0"/>
        <w:autoSpaceDE w:val="0"/>
        <w:autoSpaceDN w:val="0"/>
        <w:bidi w:val="0"/>
        <w:adjustRightInd/>
        <w:snapToGrid/>
        <w:spacing w:line="60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西华县交通运输局没有主要民生项目和重点项目支出</w:t>
      </w:r>
      <w:r>
        <w:rPr>
          <w:rFonts w:hint="eastAsia" w:ascii="仿宋_GB2312" w:hAnsi="仿宋_GB2312" w:eastAsia="仿宋_GB2312" w:cs="仿宋_GB2312"/>
          <w:sz w:val="32"/>
          <w:szCs w:val="32"/>
          <w:lang w:val="en-US" w:eastAsia="zh-CN"/>
        </w:rPr>
        <w:t>.</w:t>
      </w:r>
    </w:p>
    <w:p>
      <w:pPr>
        <w:pStyle w:val="2"/>
        <w:keepNext w:val="0"/>
        <w:keepLines w:val="0"/>
        <w:pageBreakBefore w:val="0"/>
        <w:widowControl w:val="0"/>
        <w:kinsoku/>
        <w:wordWrap/>
        <w:overflowPunct/>
        <w:topLinePunct w:val="0"/>
        <w:autoSpaceDE w:val="0"/>
        <w:autoSpaceDN w:val="0"/>
        <w:bidi w:val="0"/>
        <w:adjustRightInd/>
        <w:snapToGrid/>
        <w:spacing w:before="2" w:line="600" w:lineRule="exact"/>
        <w:ind w:right="270" w:firstLine="720" w:firstLineChars="225"/>
        <w:jc w:val="both"/>
        <w:textAlignment w:val="auto"/>
        <w:rPr>
          <w:rFonts w:ascii="黑体" w:hAnsi="黑体" w:eastAsia="黑体"/>
          <w:lang w:val="en-US"/>
        </w:rPr>
      </w:pPr>
      <w:r>
        <w:rPr>
          <w:rFonts w:hint="eastAsia" w:ascii="黑体" w:hAnsi="黑体" w:eastAsia="黑体"/>
          <w:lang w:val="en-US"/>
        </w:rPr>
        <w:t>九、政府性基金预算财政拨款支出决算情况说明</w:t>
      </w:r>
      <w:r>
        <w:rPr>
          <w:rFonts w:ascii="黑体" w:hAnsi="黑体" w:eastAsia="黑体"/>
          <w:lang w:val="en-US"/>
        </w:rPr>
        <w:t xml:space="preserve"> </w:t>
      </w:r>
    </w:p>
    <w:p>
      <w:pPr>
        <w:keepNext w:val="0"/>
        <w:keepLines w:val="0"/>
        <w:pageBreakBefore w:val="0"/>
        <w:widowControl w:val="0"/>
        <w:kinsoku/>
        <w:wordWrap/>
        <w:overflowPunct/>
        <w:topLinePunct w:val="0"/>
        <w:autoSpaceDE w:val="0"/>
        <w:autoSpaceDN w:val="0"/>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西华县交通运输局</w:t>
      </w:r>
      <w:r>
        <w:rPr>
          <w:rFonts w:hint="eastAsia" w:ascii="仿宋_GB2312" w:hAnsi="仿宋_GB2312" w:eastAsia="仿宋_GB2312" w:cs="仿宋_GB2312"/>
          <w:sz w:val="32"/>
          <w:szCs w:val="32"/>
        </w:rPr>
        <w:t>2017年</w:t>
      </w:r>
      <w:r>
        <w:rPr>
          <w:rFonts w:hint="eastAsia" w:ascii="仿宋_GB2312" w:hAnsi="仿宋_GB2312" w:eastAsia="仿宋_GB2312" w:cs="仿宋_GB2312"/>
          <w:sz w:val="32"/>
          <w:szCs w:val="32"/>
          <w:lang w:eastAsia="zh-CN"/>
        </w:rPr>
        <w:t>无</w:t>
      </w:r>
      <w:r>
        <w:rPr>
          <w:rFonts w:hint="eastAsia" w:ascii="仿宋_GB2312" w:hAnsi="仿宋_GB2312" w:eastAsia="仿宋_GB2312" w:cs="仿宋_GB2312"/>
          <w:sz w:val="32"/>
          <w:szCs w:val="32"/>
        </w:rPr>
        <w:t>政府性基金预算财政拨款。</w:t>
      </w:r>
    </w:p>
    <w:p>
      <w:pPr>
        <w:pStyle w:val="2"/>
        <w:keepNext w:val="0"/>
        <w:keepLines w:val="0"/>
        <w:pageBreakBefore w:val="0"/>
        <w:widowControl w:val="0"/>
        <w:kinsoku/>
        <w:wordWrap/>
        <w:overflowPunct/>
        <w:topLinePunct w:val="0"/>
        <w:autoSpaceDE w:val="0"/>
        <w:autoSpaceDN w:val="0"/>
        <w:bidi w:val="0"/>
        <w:adjustRightInd/>
        <w:snapToGrid/>
        <w:spacing w:before="2" w:line="600" w:lineRule="exact"/>
        <w:ind w:right="270" w:firstLine="720" w:firstLineChars="225"/>
        <w:jc w:val="both"/>
        <w:textAlignment w:val="auto"/>
        <w:rPr>
          <w:rFonts w:ascii="黑体" w:hAnsi="黑体" w:eastAsia="黑体"/>
          <w:lang w:val="en-US"/>
        </w:rPr>
      </w:pPr>
      <w:r>
        <w:rPr>
          <w:rFonts w:hint="eastAsia" w:ascii="黑体" w:hAnsi="黑体" w:eastAsia="黑体"/>
          <w:lang w:val="en-US"/>
        </w:rPr>
        <w:t>十、机关运行经费支出情况说明</w:t>
      </w:r>
      <w:r>
        <w:rPr>
          <w:rFonts w:ascii="黑体" w:hAnsi="黑体" w:eastAsia="黑体"/>
          <w:lang w:val="en-US"/>
        </w:rPr>
        <w:t xml:space="preserve"> </w:t>
      </w:r>
    </w:p>
    <w:p>
      <w:pPr>
        <w:pStyle w:val="2"/>
        <w:keepNext w:val="0"/>
        <w:keepLines w:val="0"/>
        <w:pageBreakBefore w:val="0"/>
        <w:widowControl w:val="0"/>
        <w:kinsoku/>
        <w:wordWrap/>
        <w:overflowPunct/>
        <w:topLinePunct w:val="0"/>
        <w:autoSpaceDE w:val="0"/>
        <w:autoSpaceDN w:val="0"/>
        <w:bidi w:val="0"/>
        <w:adjustRightInd/>
        <w:snapToGrid/>
        <w:spacing w:before="2" w:line="600" w:lineRule="exact"/>
        <w:ind w:right="270" w:firstLine="720" w:firstLineChars="225"/>
        <w:jc w:val="both"/>
        <w:textAlignment w:val="auto"/>
        <w:rPr>
          <w:rFonts w:hint="eastAsia"/>
          <w:lang w:val="en-US"/>
        </w:rPr>
      </w:pPr>
      <w:r>
        <w:rPr>
          <w:rFonts w:hint="eastAsia"/>
          <w:lang w:val="en-US"/>
        </w:rPr>
        <w:t>西华县交通运输局2017年机关</w:t>
      </w:r>
      <w:r>
        <w:rPr>
          <w:rFonts w:hint="eastAsia"/>
          <w:lang w:val="en-US" w:eastAsia="zh-CN"/>
        </w:rPr>
        <w:t>、事业</w:t>
      </w:r>
      <w:r>
        <w:rPr>
          <w:rFonts w:hint="eastAsia"/>
          <w:lang w:val="en-US"/>
        </w:rPr>
        <w:t>运行经费支出273.58万元，比2016年增加9.65万元，增长3.65 %，原因是办公用品、水费、电费等基本办公费用价格上涨。</w:t>
      </w:r>
    </w:p>
    <w:p>
      <w:pPr>
        <w:pStyle w:val="2"/>
        <w:keepNext w:val="0"/>
        <w:keepLines w:val="0"/>
        <w:pageBreakBefore w:val="0"/>
        <w:widowControl w:val="0"/>
        <w:kinsoku/>
        <w:wordWrap/>
        <w:overflowPunct/>
        <w:topLinePunct w:val="0"/>
        <w:autoSpaceDE w:val="0"/>
        <w:autoSpaceDN w:val="0"/>
        <w:bidi w:val="0"/>
        <w:adjustRightInd/>
        <w:snapToGrid/>
        <w:spacing w:before="2" w:line="600" w:lineRule="exact"/>
        <w:ind w:right="270" w:firstLine="720" w:firstLineChars="225"/>
        <w:jc w:val="both"/>
        <w:textAlignment w:val="auto"/>
        <w:rPr>
          <w:rFonts w:ascii="黑体" w:hAnsi="黑体" w:eastAsia="黑体"/>
          <w:lang w:val="en-US"/>
        </w:rPr>
      </w:pPr>
      <w:r>
        <w:rPr>
          <w:rFonts w:hint="eastAsia" w:ascii="黑体" w:hAnsi="黑体" w:eastAsia="黑体"/>
          <w:lang w:val="en-US"/>
        </w:rPr>
        <w:t>十一、政府采购支出情况说明</w:t>
      </w:r>
      <w:r>
        <w:rPr>
          <w:rFonts w:ascii="黑体" w:hAnsi="黑体" w:eastAsia="黑体"/>
          <w:lang w:val="en-US"/>
        </w:rPr>
        <w:t xml:space="preserve"> </w:t>
      </w:r>
    </w:p>
    <w:p>
      <w:pPr>
        <w:keepNext w:val="0"/>
        <w:keepLines w:val="0"/>
        <w:pageBreakBefore w:val="0"/>
        <w:widowControl w:val="0"/>
        <w:kinsoku/>
        <w:wordWrap/>
        <w:overflowPunct/>
        <w:topLinePunct w:val="0"/>
        <w:autoSpaceDE w:val="0"/>
        <w:autoSpaceDN w:val="0"/>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西华县交通运输局</w:t>
      </w:r>
      <w:r>
        <w:rPr>
          <w:rFonts w:hint="eastAsia" w:ascii="仿宋_GB2312" w:hAnsi="仿宋_GB2312" w:eastAsia="仿宋_GB2312" w:cs="仿宋_GB2312"/>
          <w:sz w:val="32"/>
          <w:szCs w:val="32"/>
        </w:rPr>
        <w:t>2017年</w:t>
      </w:r>
      <w:r>
        <w:rPr>
          <w:rFonts w:hint="eastAsia" w:ascii="仿宋_GB2312" w:hAnsi="仿宋_GB2312" w:eastAsia="仿宋_GB2312" w:cs="仿宋_GB2312"/>
          <w:sz w:val="32"/>
          <w:szCs w:val="32"/>
          <w:lang w:eastAsia="zh-CN"/>
        </w:rPr>
        <w:t>无</w:t>
      </w:r>
      <w:r>
        <w:rPr>
          <w:rFonts w:hint="eastAsia" w:ascii="仿宋_GB2312" w:hAnsi="仿宋_GB2312" w:eastAsia="仿宋_GB2312" w:cs="仿宋_GB2312"/>
          <w:sz w:val="32"/>
          <w:szCs w:val="32"/>
        </w:rPr>
        <w:t>政府采购支出</w:t>
      </w:r>
    </w:p>
    <w:p>
      <w:pPr>
        <w:pStyle w:val="2"/>
        <w:keepNext w:val="0"/>
        <w:keepLines w:val="0"/>
        <w:pageBreakBefore w:val="0"/>
        <w:widowControl w:val="0"/>
        <w:kinsoku/>
        <w:wordWrap/>
        <w:overflowPunct/>
        <w:topLinePunct w:val="0"/>
        <w:autoSpaceDE w:val="0"/>
        <w:autoSpaceDN w:val="0"/>
        <w:bidi w:val="0"/>
        <w:adjustRightInd/>
        <w:snapToGrid/>
        <w:spacing w:before="2" w:line="600" w:lineRule="exact"/>
        <w:ind w:right="270" w:firstLine="720" w:firstLineChars="225"/>
        <w:jc w:val="both"/>
        <w:textAlignment w:val="auto"/>
        <w:rPr>
          <w:rFonts w:ascii="黑体" w:hAnsi="黑体" w:eastAsia="黑体"/>
          <w:lang w:val="en-US"/>
        </w:rPr>
      </w:pPr>
      <w:r>
        <w:rPr>
          <w:rFonts w:hint="eastAsia" w:ascii="黑体" w:hAnsi="黑体" w:eastAsia="黑体"/>
          <w:lang w:val="en-US"/>
        </w:rPr>
        <w:t>十二、国有资产占用情况说明</w:t>
      </w:r>
      <w:r>
        <w:rPr>
          <w:rFonts w:ascii="黑体" w:hAnsi="黑体" w:eastAsia="黑体"/>
          <w:lang w:val="en-US"/>
        </w:rPr>
        <w:t xml:space="preserve"> </w:t>
      </w:r>
    </w:p>
    <w:p>
      <w:pPr>
        <w:pStyle w:val="2"/>
        <w:keepNext w:val="0"/>
        <w:keepLines w:val="0"/>
        <w:pageBreakBefore w:val="0"/>
        <w:widowControl w:val="0"/>
        <w:kinsoku/>
        <w:wordWrap/>
        <w:overflowPunct/>
        <w:topLinePunct w:val="0"/>
        <w:autoSpaceDE w:val="0"/>
        <w:autoSpaceDN w:val="0"/>
        <w:bidi w:val="0"/>
        <w:adjustRightInd/>
        <w:snapToGrid/>
        <w:spacing w:before="2" w:line="600" w:lineRule="exact"/>
        <w:ind w:right="270" w:firstLine="720" w:firstLineChars="225"/>
        <w:jc w:val="both"/>
        <w:textAlignment w:val="auto"/>
        <w:rPr>
          <w:lang w:val="en-US"/>
        </w:rPr>
      </w:pPr>
      <w:r>
        <w:rPr>
          <w:lang w:val="en-US"/>
        </w:rPr>
        <w:t>2017年期末，</w:t>
      </w:r>
      <w:r>
        <w:rPr>
          <w:rFonts w:hint="eastAsia" w:ascii="仿宋_GB2312" w:hAnsi="仿宋_GB2312" w:eastAsia="仿宋_GB2312" w:cs="仿宋_GB2312"/>
          <w:sz w:val="32"/>
          <w:szCs w:val="32"/>
          <w:lang w:eastAsia="zh-CN"/>
        </w:rPr>
        <w:t>西华县交通运输局</w:t>
      </w:r>
      <w:r>
        <w:rPr>
          <w:lang w:val="en-US"/>
        </w:rPr>
        <w:t>共有车辆</w:t>
      </w:r>
      <w:r>
        <w:rPr>
          <w:rFonts w:hint="eastAsia"/>
          <w:lang w:val="en-US"/>
        </w:rPr>
        <w:t>1</w:t>
      </w:r>
      <w:r>
        <w:rPr>
          <w:rFonts w:hint="eastAsia"/>
          <w:lang w:val="en-US" w:eastAsia="zh-CN"/>
        </w:rPr>
        <w:t>5</w:t>
      </w:r>
      <w:r>
        <w:rPr>
          <w:lang w:val="en-US"/>
        </w:rPr>
        <w:t xml:space="preserve"> 辆，其中：一般公</w:t>
      </w:r>
      <w:r>
        <w:rPr>
          <w:rFonts w:hint="eastAsia"/>
          <w:lang w:val="en-US"/>
        </w:rPr>
        <w:t>务用车</w:t>
      </w:r>
      <w:r>
        <w:rPr>
          <w:rFonts w:hint="eastAsia"/>
          <w:lang w:val="en-US" w:eastAsia="zh-CN"/>
        </w:rPr>
        <w:t>1</w:t>
      </w:r>
      <w:r>
        <w:rPr>
          <w:lang w:val="en-US"/>
        </w:rPr>
        <w:t>辆、</w:t>
      </w:r>
      <w:r>
        <w:rPr>
          <w:rFonts w:hint="eastAsia"/>
          <w:lang w:val="en-US" w:eastAsia="zh-CN"/>
        </w:rPr>
        <w:t>执法执勤车13辆、</w:t>
      </w:r>
      <w:r>
        <w:rPr>
          <w:rFonts w:hint="eastAsia"/>
          <w:lang w:val="en-US"/>
        </w:rPr>
        <w:t>其他车辆1</w:t>
      </w:r>
      <w:r>
        <w:rPr>
          <w:lang w:val="en-US"/>
        </w:rPr>
        <w:t>辆</w:t>
      </w:r>
      <w:r>
        <w:rPr>
          <w:rFonts w:hint="eastAsia"/>
          <w:lang w:val="en-US"/>
        </w:rPr>
        <w:t>。</w:t>
      </w:r>
      <w:r>
        <w:rPr>
          <w:lang w:val="en-US"/>
        </w:rPr>
        <w:t xml:space="preserve"> </w:t>
      </w:r>
    </w:p>
    <w:p>
      <w:pPr>
        <w:keepNext w:val="0"/>
        <w:keepLines w:val="0"/>
        <w:pageBreakBefore w:val="0"/>
        <w:widowControl w:val="0"/>
        <w:tabs>
          <w:tab w:val="left" w:pos="3993"/>
        </w:tabs>
        <w:kinsoku/>
        <w:wordWrap/>
        <w:overflowPunct/>
        <w:topLinePunct w:val="0"/>
        <w:autoSpaceDE w:val="0"/>
        <w:autoSpaceDN w:val="0"/>
        <w:bidi w:val="0"/>
        <w:adjustRightInd/>
        <w:snapToGrid/>
        <w:spacing w:before="32" w:line="600" w:lineRule="exact"/>
        <w:ind w:firstLine="1080" w:firstLineChars="225"/>
        <w:jc w:val="center"/>
        <w:textAlignment w:val="auto"/>
        <w:rPr>
          <w:rFonts w:ascii="黑体" w:eastAsia="黑体"/>
          <w:sz w:val="48"/>
        </w:rPr>
      </w:pPr>
    </w:p>
    <w:p>
      <w:pPr>
        <w:tabs>
          <w:tab w:val="left" w:pos="3993"/>
        </w:tabs>
        <w:spacing w:before="32" w:line="520" w:lineRule="exact"/>
        <w:ind w:firstLine="1080" w:firstLineChars="225"/>
        <w:jc w:val="center"/>
        <w:rPr>
          <w:rFonts w:ascii="黑体" w:eastAsia="黑体"/>
          <w:sz w:val="48"/>
        </w:rPr>
      </w:pPr>
    </w:p>
    <w:p>
      <w:pPr>
        <w:tabs>
          <w:tab w:val="left" w:pos="3993"/>
        </w:tabs>
        <w:spacing w:before="32" w:line="520" w:lineRule="exact"/>
        <w:ind w:firstLine="1080" w:firstLineChars="225"/>
        <w:jc w:val="center"/>
        <w:rPr>
          <w:rFonts w:ascii="黑体" w:eastAsia="黑体"/>
          <w:sz w:val="48"/>
        </w:rPr>
      </w:pPr>
    </w:p>
    <w:p>
      <w:pPr>
        <w:tabs>
          <w:tab w:val="left" w:pos="3993"/>
        </w:tabs>
        <w:spacing w:before="32" w:line="520" w:lineRule="exact"/>
        <w:ind w:firstLine="1080" w:firstLineChars="225"/>
        <w:jc w:val="center"/>
        <w:rPr>
          <w:rFonts w:ascii="黑体" w:eastAsia="黑体"/>
          <w:sz w:val="48"/>
        </w:rPr>
      </w:pPr>
    </w:p>
    <w:p>
      <w:pPr>
        <w:tabs>
          <w:tab w:val="left" w:pos="3993"/>
        </w:tabs>
        <w:spacing w:before="32" w:line="520" w:lineRule="exact"/>
        <w:ind w:firstLine="1080" w:firstLineChars="225"/>
        <w:jc w:val="center"/>
        <w:rPr>
          <w:rFonts w:ascii="黑体" w:eastAsia="黑体"/>
          <w:sz w:val="48"/>
        </w:rPr>
      </w:pPr>
    </w:p>
    <w:p>
      <w:pPr>
        <w:tabs>
          <w:tab w:val="left" w:pos="3993"/>
        </w:tabs>
        <w:spacing w:before="32" w:line="520" w:lineRule="exact"/>
        <w:ind w:firstLine="1080" w:firstLineChars="225"/>
        <w:jc w:val="center"/>
        <w:rPr>
          <w:rFonts w:ascii="黑体" w:eastAsia="黑体"/>
          <w:sz w:val="48"/>
        </w:rPr>
      </w:pPr>
    </w:p>
    <w:p>
      <w:pPr>
        <w:tabs>
          <w:tab w:val="left" w:pos="3993"/>
        </w:tabs>
        <w:spacing w:before="32" w:line="520" w:lineRule="exact"/>
        <w:ind w:firstLine="1080" w:firstLineChars="225"/>
        <w:jc w:val="center"/>
        <w:rPr>
          <w:rFonts w:ascii="黑体" w:eastAsia="黑体"/>
          <w:sz w:val="48"/>
        </w:rPr>
      </w:pPr>
    </w:p>
    <w:p>
      <w:pPr>
        <w:tabs>
          <w:tab w:val="left" w:pos="3993"/>
        </w:tabs>
        <w:spacing w:before="32" w:line="520" w:lineRule="exact"/>
        <w:ind w:firstLine="1080" w:firstLineChars="225"/>
        <w:jc w:val="center"/>
        <w:rPr>
          <w:rFonts w:ascii="黑体" w:eastAsia="黑体"/>
          <w:sz w:val="48"/>
        </w:rPr>
      </w:pPr>
    </w:p>
    <w:p>
      <w:pPr>
        <w:tabs>
          <w:tab w:val="left" w:pos="3993"/>
        </w:tabs>
        <w:spacing w:before="32" w:line="520" w:lineRule="exact"/>
        <w:ind w:firstLine="1080" w:firstLineChars="225"/>
        <w:jc w:val="center"/>
        <w:rPr>
          <w:rFonts w:ascii="黑体" w:eastAsia="黑体"/>
          <w:sz w:val="48"/>
        </w:rPr>
      </w:pPr>
    </w:p>
    <w:p>
      <w:pPr>
        <w:tabs>
          <w:tab w:val="left" w:pos="3993"/>
        </w:tabs>
        <w:spacing w:before="32" w:line="520" w:lineRule="exact"/>
        <w:ind w:firstLine="1080" w:firstLineChars="225"/>
        <w:jc w:val="center"/>
        <w:rPr>
          <w:rFonts w:ascii="黑体" w:eastAsia="黑体"/>
          <w:sz w:val="48"/>
        </w:rPr>
      </w:pPr>
    </w:p>
    <w:p>
      <w:pPr>
        <w:tabs>
          <w:tab w:val="left" w:pos="3993"/>
        </w:tabs>
        <w:spacing w:before="32" w:line="520" w:lineRule="exact"/>
        <w:ind w:firstLine="1080" w:firstLineChars="225"/>
        <w:jc w:val="center"/>
        <w:rPr>
          <w:rFonts w:ascii="黑体" w:eastAsia="黑体"/>
          <w:sz w:val="48"/>
        </w:rPr>
      </w:pPr>
    </w:p>
    <w:p>
      <w:pPr>
        <w:tabs>
          <w:tab w:val="left" w:pos="3993"/>
        </w:tabs>
        <w:spacing w:before="32" w:line="520" w:lineRule="exact"/>
        <w:ind w:firstLine="1080" w:firstLineChars="225"/>
        <w:jc w:val="center"/>
        <w:rPr>
          <w:rFonts w:ascii="黑体" w:eastAsia="黑体"/>
          <w:sz w:val="48"/>
        </w:rPr>
      </w:pPr>
    </w:p>
    <w:p>
      <w:pPr>
        <w:tabs>
          <w:tab w:val="left" w:pos="3993"/>
        </w:tabs>
        <w:spacing w:before="32" w:line="520" w:lineRule="exact"/>
        <w:ind w:firstLine="1080" w:firstLineChars="225"/>
        <w:jc w:val="center"/>
        <w:rPr>
          <w:rFonts w:ascii="黑体" w:eastAsia="黑体"/>
          <w:sz w:val="48"/>
        </w:rPr>
      </w:pPr>
    </w:p>
    <w:p>
      <w:pPr>
        <w:tabs>
          <w:tab w:val="left" w:pos="3993"/>
        </w:tabs>
        <w:spacing w:before="32" w:line="520" w:lineRule="exact"/>
        <w:ind w:firstLine="1080" w:firstLineChars="225"/>
        <w:jc w:val="center"/>
        <w:rPr>
          <w:rFonts w:ascii="黑体" w:eastAsia="黑体"/>
          <w:sz w:val="48"/>
        </w:rPr>
      </w:pPr>
    </w:p>
    <w:p>
      <w:pPr>
        <w:tabs>
          <w:tab w:val="left" w:pos="3993"/>
        </w:tabs>
        <w:spacing w:before="32" w:line="520" w:lineRule="exact"/>
        <w:ind w:firstLine="1080" w:firstLineChars="225"/>
        <w:jc w:val="center"/>
        <w:rPr>
          <w:rFonts w:ascii="黑体" w:eastAsia="黑体"/>
          <w:sz w:val="48"/>
        </w:rPr>
      </w:pPr>
    </w:p>
    <w:p>
      <w:pPr>
        <w:tabs>
          <w:tab w:val="left" w:pos="3993"/>
        </w:tabs>
        <w:spacing w:before="32" w:line="520" w:lineRule="exact"/>
        <w:jc w:val="center"/>
        <w:rPr>
          <w:rFonts w:ascii="黑体" w:eastAsia="黑体"/>
          <w:sz w:val="48"/>
        </w:rPr>
      </w:pPr>
      <w:r>
        <w:rPr>
          <w:rFonts w:hint="eastAsia" w:ascii="黑体" w:eastAsia="黑体"/>
          <w:sz w:val="48"/>
        </w:rPr>
        <w:t>第</w:t>
      </w:r>
      <w:r>
        <w:rPr>
          <w:rFonts w:hint="eastAsia" w:ascii="黑体" w:eastAsia="黑体"/>
          <w:sz w:val="48"/>
          <w:lang w:val="en-US" w:eastAsia="zh-CN"/>
        </w:rPr>
        <w:t>三</w:t>
      </w:r>
      <w:r>
        <w:rPr>
          <w:rFonts w:hint="eastAsia" w:ascii="黑体" w:eastAsia="黑体"/>
          <w:sz w:val="48"/>
        </w:rPr>
        <w:t>部分</w:t>
      </w:r>
      <w:r>
        <w:rPr>
          <w:rFonts w:ascii="黑体" w:eastAsia="黑体"/>
          <w:sz w:val="48"/>
        </w:rPr>
        <w:t xml:space="preserve"> 名词解释</w:t>
      </w:r>
    </w:p>
    <w:p>
      <w:pPr>
        <w:pStyle w:val="2"/>
        <w:spacing w:before="2" w:line="520" w:lineRule="exact"/>
        <w:ind w:right="270" w:firstLine="723" w:firstLineChars="225"/>
        <w:jc w:val="both"/>
        <w:rPr>
          <w:lang w:val="en-US"/>
        </w:rPr>
      </w:pPr>
      <w:r>
        <w:rPr>
          <w:rFonts w:hint="eastAsia"/>
          <w:b/>
          <w:lang w:val="en-US"/>
        </w:rPr>
        <w:t>一、财政拨款收入</w:t>
      </w:r>
      <w:r>
        <w:rPr>
          <w:rFonts w:hint="eastAsia"/>
          <w:lang w:val="en-US"/>
        </w:rPr>
        <w:t>：指</w:t>
      </w:r>
      <w:r>
        <w:rPr>
          <w:rFonts w:hint="eastAsia"/>
          <w:lang w:val="en-US" w:eastAsia="zh-CN"/>
        </w:rPr>
        <w:t>县</w:t>
      </w:r>
      <w:r>
        <w:rPr>
          <w:rFonts w:hint="eastAsia"/>
          <w:lang w:val="en-US"/>
        </w:rPr>
        <w:t>级财政当年拨付的资金。</w:t>
      </w:r>
      <w:r>
        <w:rPr>
          <w:lang w:val="en-US"/>
        </w:rPr>
        <w:t xml:space="preserve"> </w:t>
      </w:r>
    </w:p>
    <w:p>
      <w:pPr>
        <w:pStyle w:val="2"/>
        <w:spacing w:before="2" w:line="520" w:lineRule="exact"/>
        <w:ind w:right="270" w:firstLine="723" w:firstLineChars="225"/>
        <w:jc w:val="both"/>
        <w:rPr>
          <w:lang w:val="en-US"/>
        </w:rPr>
      </w:pPr>
      <w:r>
        <w:rPr>
          <w:rFonts w:hint="eastAsia"/>
          <w:b/>
          <w:lang w:val="en-US"/>
        </w:rPr>
        <w:t>二、事业收入</w:t>
      </w:r>
      <w:r>
        <w:rPr>
          <w:rFonts w:hint="eastAsia"/>
          <w:lang w:val="en-US"/>
        </w:rPr>
        <w:t>：指事业单位开展专业活动及辅助活动所取得的收入。</w:t>
      </w:r>
      <w:r>
        <w:rPr>
          <w:lang w:val="en-US"/>
        </w:rPr>
        <w:t xml:space="preserve"> </w:t>
      </w:r>
    </w:p>
    <w:p>
      <w:pPr>
        <w:pStyle w:val="2"/>
        <w:spacing w:before="2" w:line="520" w:lineRule="exact"/>
        <w:ind w:right="270" w:firstLine="723" w:firstLineChars="225"/>
        <w:jc w:val="both"/>
        <w:rPr>
          <w:lang w:val="en-US"/>
        </w:rPr>
      </w:pPr>
      <w:r>
        <w:rPr>
          <w:rFonts w:hint="eastAsia"/>
          <w:b/>
          <w:lang w:val="en-US"/>
        </w:rPr>
        <w:t>三、其他收入</w:t>
      </w:r>
      <w:r>
        <w:rPr>
          <w:rFonts w:hint="eastAsia"/>
          <w:lang w:val="en-US"/>
        </w:rPr>
        <w:t>：指部门取得的除“财政拨款”、“事业收入”、“事业单位经营收入”等以外的收入。</w:t>
      </w:r>
      <w:r>
        <w:rPr>
          <w:lang w:val="en-US"/>
        </w:rPr>
        <w:t xml:space="preserve"> </w:t>
      </w:r>
    </w:p>
    <w:p>
      <w:pPr>
        <w:pStyle w:val="2"/>
        <w:spacing w:before="2" w:line="520" w:lineRule="exact"/>
        <w:ind w:right="270" w:firstLine="723" w:firstLineChars="225"/>
        <w:jc w:val="both"/>
        <w:rPr>
          <w:lang w:val="en-US"/>
        </w:rPr>
      </w:pPr>
      <w:r>
        <w:rPr>
          <w:rFonts w:hint="eastAsia"/>
          <w:b/>
          <w:lang w:val="en-US"/>
        </w:rPr>
        <w:t>四、年初结转和结余</w:t>
      </w:r>
      <w:r>
        <w:rPr>
          <w:rFonts w:hint="eastAsia"/>
          <w:lang w:val="en-US"/>
        </w:rPr>
        <w:t>：指以前年度尚未完成、结转到本年</w:t>
      </w:r>
    </w:p>
    <w:p>
      <w:pPr>
        <w:pStyle w:val="2"/>
        <w:spacing w:before="2" w:line="520" w:lineRule="exact"/>
        <w:ind w:right="270" w:firstLine="720" w:firstLineChars="225"/>
        <w:jc w:val="both"/>
        <w:rPr>
          <w:lang w:val="en-US"/>
        </w:rPr>
      </w:pPr>
      <w:r>
        <w:rPr>
          <w:rFonts w:hint="eastAsia"/>
          <w:lang w:val="en-US"/>
        </w:rPr>
        <w:t>按有关规定继续使用的资金。</w:t>
      </w:r>
      <w:r>
        <w:rPr>
          <w:lang w:val="en-US"/>
        </w:rPr>
        <w:t xml:space="preserve"> </w:t>
      </w:r>
    </w:p>
    <w:p>
      <w:pPr>
        <w:pStyle w:val="2"/>
        <w:spacing w:before="2" w:line="520" w:lineRule="exact"/>
        <w:ind w:right="270" w:firstLine="723" w:firstLineChars="225"/>
        <w:jc w:val="both"/>
        <w:rPr>
          <w:rFonts w:hint="eastAsia" w:eastAsia="仿宋_GB2312"/>
          <w:b/>
          <w:lang w:val="en-US" w:eastAsia="zh-CN"/>
        </w:rPr>
      </w:pPr>
      <w:r>
        <w:rPr>
          <w:rFonts w:hint="eastAsia"/>
          <w:b/>
          <w:lang w:val="en-US" w:eastAsia="zh-CN"/>
        </w:rPr>
        <w:t>五</w:t>
      </w:r>
      <w:r>
        <w:rPr>
          <w:rFonts w:hint="eastAsia"/>
          <w:b/>
          <w:lang w:val="en-US"/>
        </w:rPr>
        <w:t>、社会保障和就业</w:t>
      </w:r>
      <w:r>
        <w:rPr>
          <w:rFonts w:hint="eastAsia"/>
          <w:b/>
          <w:lang w:val="en-US" w:eastAsia="zh-CN"/>
        </w:rPr>
        <w:t>支出</w:t>
      </w:r>
    </w:p>
    <w:p>
      <w:pPr>
        <w:pStyle w:val="2"/>
        <w:spacing w:before="2" w:line="520" w:lineRule="exact"/>
        <w:ind w:right="270" w:firstLine="720" w:firstLineChars="225"/>
        <w:jc w:val="both"/>
        <w:rPr>
          <w:lang w:val="en-US"/>
        </w:rPr>
      </w:pPr>
      <w:r>
        <w:rPr>
          <w:rFonts w:hint="eastAsia"/>
          <w:lang w:val="en-US"/>
        </w:rPr>
        <w:t>机关事业单位基本养老保险缴费支出（项）：反映机关事业单位实施养老保险制度由单位缴纳的基本养老保险费支出。</w:t>
      </w:r>
      <w:r>
        <w:rPr>
          <w:lang w:val="en-US"/>
        </w:rPr>
        <w:t xml:space="preserve"> </w:t>
      </w:r>
    </w:p>
    <w:p>
      <w:pPr>
        <w:pStyle w:val="2"/>
        <w:numPr>
          <w:ilvl w:val="0"/>
          <w:numId w:val="0"/>
        </w:numPr>
        <w:spacing w:before="2" w:line="520" w:lineRule="exact"/>
        <w:ind w:right="270" w:rightChars="0" w:firstLine="643" w:firstLineChars="200"/>
        <w:jc w:val="both"/>
        <w:rPr>
          <w:b/>
          <w:lang w:val="en-US"/>
        </w:rPr>
      </w:pPr>
      <w:r>
        <w:rPr>
          <w:rFonts w:hint="eastAsia"/>
          <w:b/>
          <w:lang w:val="en-US" w:eastAsia="zh-CN"/>
        </w:rPr>
        <w:t>六、</w:t>
      </w:r>
      <w:r>
        <w:rPr>
          <w:rFonts w:hint="eastAsia"/>
          <w:b/>
          <w:lang w:val="en-US"/>
        </w:rPr>
        <w:t>医疗卫生与计划生育</w:t>
      </w:r>
      <w:r>
        <w:rPr>
          <w:rFonts w:hint="eastAsia"/>
          <w:b/>
          <w:lang w:val="en-US" w:eastAsia="zh-CN"/>
        </w:rPr>
        <w:t>支出</w:t>
      </w:r>
    </w:p>
    <w:p>
      <w:pPr>
        <w:pStyle w:val="2"/>
        <w:numPr>
          <w:ilvl w:val="0"/>
          <w:numId w:val="0"/>
        </w:numPr>
        <w:spacing w:before="2" w:line="520" w:lineRule="exact"/>
        <w:ind w:right="270" w:rightChars="0" w:firstLine="640" w:firstLineChars="200"/>
        <w:jc w:val="both"/>
        <w:rPr>
          <w:rFonts w:hint="eastAsia" w:eastAsia="仿宋_GB2312"/>
          <w:b/>
          <w:lang w:val="en-US" w:eastAsia="zh-CN"/>
        </w:rPr>
      </w:pPr>
      <w:r>
        <w:rPr>
          <w:rFonts w:hint="eastAsia"/>
          <w:lang w:val="en-US"/>
        </w:rPr>
        <w:t>反映财政部门集中安排的基本医疗保险缴费经费</w:t>
      </w:r>
      <w:r>
        <w:rPr>
          <w:rFonts w:hint="eastAsia"/>
          <w:lang w:val="en-US" w:eastAsia="zh-CN"/>
        </w:rPr>
        <w:t>。</w:t>
      </w:r>
    </w:p>
    <w:p>
      <w:pPr>
        <w:pStyle w:val="2"/>
        <w:numPr>
          <w:ilvl w:val="0"/>
          <w:numId w:val="0"/>
        </w:numPr>
        <w:spacing w:before="2" w:line="520" w:lineRule="exact"/>
        <w:ind w:right="270" w:rightChars="0" w:firstLine="643" w:firstLineChars="200"/>
        <w:jc w:val="both"/>
        <w:rPr>
          <w:rFonts w:hint="eastAsia"/>
          <w:b/>
          <w:lang w:val="en-US" w:eastAsia="zh-CN"/>
        </w:rPr>
      </w:pPr>
      <w:r>
        <w:rPr>
          <w:rFonts w:hint="eastAsia"/>
          <w:b/>
          <w:lang w:val="en-US" w:eastAsia="zh-CN"/>
        </w:rPr>
        <w:t>七、交通运输支出</w:t>
      </w:r>
    </w:p>
    <w:p>
      <w:pPr>
        <w:pStyle w:val="2"/>
        <w:numPr>
          <w:ilvl w:val="0"/>
          <w:numId w:val="0"/>
        </w:numPr>
        <w:spacing w:before="2" w:line="520" w:lineRule="exact"/>
        <w:ind w:right="270" w:rightChars="0" w:firstLine="640" w:firstLineChars="200"/>
        <w:jc w:val="both"/>
        <w:rPr>
          <w:rFonts w:hint="eastAsia" w:eastAsia="仿宋_GB2312"/>
          <w:lang w:val="en-US" w:eastAsia="zh-CN"/>
        </w:rPr>
      </w:pPr>
      <w:r>
        <w:rPr>
          <w:rFonts w:hint="eastAsia"/>
          <w:lang w:val="en-US"/>
        </w:rPr>
        <w:t>反映财政部门集中安排的</w:t>
      </w:r>
      <w:r>
        <w:rPr>
          <w:rFonts w:hint="eastAsia"/>
          <w:lang w:val="en-US" w:eastAsia="zh-CN"/>
        </w:rPr>
        <w:t>用于交通部门行业发展的各项支出</w:t>
      </w:r>
      <w:r>
        <w:rPr>
          <w:lang w:val="en-US"/>
        </w:rPr>
        <w:t xml:space="preserve"> </w:t>
      </w:r>
      <w:r>
        <w:rPr>
          <w:rFonts w:hint="eastAsia"/>
          <w:lang w:val="en-US" w:eastAsia="zh-CN"/>
        </w:rPr>
        <w:t>。</w:t>
      </w:r>
    </w:p>
    <w:p>
      <w:pPr>
        <w:pStyle w:val="2"/>
        <w:spacing w:before="2" w:line="520" w:lineRule="exact"/>
        <w:ind w:right="270" w:firstLine="723" w:firstLineChars="225"/>
        <w:jc w:val="both"/>
        <w:rPr>
          <w:lang w:val="en-US"/>
        </w:rPr>
      </w:pPr>
      <w:r>
        <w:rPr>
          <w:rFonts w:hint="eastAsia"/>
          <w:b/>
          <w:lang w:val="en-US" w:eastAsia="zh-CN"/>
        </w:rPr>
        <w:t>八、</w:t>
      </w:r>
      <w:r>
        <w:rPr>
          <w:rFonts w:hint="eastAsia"/>
          <w:b/>
          <w:lang w:val="en-US"/>
        </w:rPr>
        <w:t>年末结转和结余：</w:t>
      </w:r>
      <w:r>
        <w:rPr>
          <w:rFonts w:hint="eastAsia"/>
          <w:lang w:val="en-US"/>
        </w:rPr>
        <w:t>指本年度或以前年度预算安排、因客观条件发生变化无法按原计划实施，需要延迟到以后年度按有关规定继续使用的资金。</w:t>
      </w:r>
      <w:r>
        <w:rPr>
          <w:lang w:val="en-US"/>
        </w:rPr>
        <w:t xml:space="preserve"> </w:t>
      </w:r>
    </w:p>
    <w:p>
      <w:pPr>
        <w:pStyle w:val="2"/>
        <w:spacing w:before="2" w:line="520" w:lineRule="exact"/>
        <w:ind w:right="270" w:firstLine="723" w:firstLineChars="225"/>
        <w:jc w:val="both"/>
        <w:rPr>
          <w:lang w:val="en-US"/>
        </w:rPr>
      </w:pPr>
      <w:r>
        <w:rPr>
          <w:rFonts w:hint="eastAsia"/>
          <w:b/>
          <w:lang w:val="en-US" w:eastAsia="zh-CN"/>
        </w:rPr>
        <w:t>九、</w:t>
      </w:r>
      <w:r>
        <w:rPr>
          <w:rFonts w:hint="eastAsia"/>
          <w:b/>
          <w:lang w:val="en-US"/>
        </w:rPr>
        <w:t>基本支出</w:t>
      </w:r>
      <w:r>
        <w:rPr>
          <w:rFonts w:hint="eastAsia"/>
          <w:lang w:val="en-US"/>
        </w:rPr>
        <w:t>：指为保障机构正常运转、完成日常工作任务而发生的人员支出和公用支出。</w:t>
      </w:r>
      <w:r>
        <w:rPr>
          <w:lang w:val="en-US"/>
        </w:rPr>
        <w:t xml:space="preserve"> </w:t>
      </w:r>
    </w:p>
    <w:p>
      <w:pPr>
        <w:pStyle w:val="2"/>
        <w:spacing w:before="2" w:line="520" w:lineRule="exact"/>
        <w:ind w:right="270" w:firstLine="723" w:firstLineChars="225"/>
        <w:jc w:val="both"/>
        <w:rPr>
          <w:lang w:val="en-US"/>
        </w:rPr>
      </w:pPr>
      <w:r>
        <w:rPr>
          <w:rFonts w:hint="eastAsia"/>
          <w:b/>
          <w:lang w:val="en-US"/>
        </w:rPr>
        <w:t>十</w:t>
      </w:r>
      <w:r>
        <w:rPr>
          <w:rFonts w:hint="eastAsia"/>
          <w:b/>
          <w:lang w:val="en-US" w:eastAsia="zh-CN"/>
        </w:rPr>
        <w:t>、</w:t>
      </w:r>
      <w:r>
        <w:rPr>
          <w:rFonts w:hint="eastAsia"/>
          <w:b/>
          <w:lang w:val="en-US"/>
        </w:rPr>
        <w:t>项目支出：</w:t>
      </w:r>
      <w:r>
        <w:rPr>
          <w:rFonts w:hint="eastAsia"/>
          <w:lang w:val="en-US"/>
        </w:rPr>
        <w:t>指在基本支出之外为完成特定行政任务和事业发展目标所发生的支出。</w:t>
      </w:r>
      <w:r>
        <w:rPr>
          <w:lang w:val="en-US"/>
        </w:rPr>
        <w:t xml:space="preserve"> </w:t>
      </w:r>
    </w:p>
    <w:p>
      <w:pPr>
        <w:pStyle w:val="2"/>
        <w:spacing w:before="2" w:line="520" w:lineRule="exact"/>
        <w:ind w:right="270" w:firstLine="723" w:firstLineChars="225"/>
        <w:jc w:val="both"/>
        <w:rPr>
          <w:lang w:val="en-US"/>
        </w:rPr>
      </w:pPr>
      <w:r>
        <w:rPr>
          <w:rFonts w:hint="eastAsia"/>
          <w:b/>
          <w:lang w:val="en-US"/>
        </w:rPr>
        <w:t>十</w:t>
      </w:r>
      <w:r>
        <w:rPr>
          <w:rFonts w:hint="eastAsia"/>
          <w:b/>
          <w:lang w:val="en-US" w:eastAsia="zh-CN"/>
        </w:rPr>
        <w:t>一</w:t>
      </w:r>
      <w:r>
        <w:rPr>
          <w:rFonts w:hint="eastAsia"/>
          <w:b/>
          <w:lang w:val="en-US"/>
        </w:rPr>
        <w:t>、“三公”经费</w:t>
      </w:r>
      <w:r>
        <w:rPr>
          <w:rFonts w:hint="eastAsia"/>
          <w:lang w:val="en-US"/>
        </w:rPr>
        <w:t>：指纳入</w:t>
      </w:r>
      <w:r>
        <w:rPr>
          <w:rFonts w:hint="eastAsia"/>
          <w:lang w:val="en-US" w:eastAsia="zh-CN"/>
        </w:rPr>
        <w:t>县</w:t>
      </w:r>
      <w:r>
        <w:rPr>
          <w:rFonts w:hint="eastAsia"/>
          <w:lang w:val="en-US"/>
        </w:rPr>
        <w:t>级财政预算管理，部门使用财政拨款安排的因公出国（境）费、公务用车购置及运行费和公务接待费。其中，因公出国（境）费反映单位公务出国（境）的住宿费、</w:t>
      </w:r>
      <w:r>
        <w:rPr>
          <w:rFonts w:hint="eastAsia"/>
          <w:lang w:val="en-US" w:eastAsia="zh-CN"/>
        </w:rPr>
        <w:t>差</w:t>
      </w:r>
      <w:r>
        <w:rPr>
          <w:rFonts w:hint="eastAsia"/>
          <w:lang w:val="en-US"/>
        </w:rPr>
        <w:t>旅费、伙食补助费、</w:t>
      </w:r>
      <w:r>
        <w:rPr>
          <w:rFonts w:hint="eastAsia"/>
          <w:lang w:val="en-US" w:eastAsia="zh-CN"/>
        </w:rPr>
        <w:t>公</w:t>
      </w:r>
      <w:r>
        <w:rPr>
          <w:rFonts w:hint="eastAsia"/>
          <w:lang w:val="en-US"/>
        </w:rPr>
        <w:t>杂费、培训费等支</w:t>
      </w:r>
      <w:bookmarkStart w:id="0" w:name="_GoBack"/>
      <w:bookmarkEnd w:id="0"/>
      <w:r>
        <w:rPr>
          <w:rFonts w:hint="eastAsia"/>
          <w:lang w:val="en-US"/>
        </w:rPr>
        <w:t xml:space="preserve">出；公务用车购置及运行费反映单位公务用车购置费及租用费、燃料费、维修费、过路过桥费、保险费、安全奖励费用等支出；公务接待费反映单位按规定开支的各类公务接待（含外宾接待）支出。 </w:t>
      </w:r>
    </w:p>
    <w:p>
      <w:pPr>
        <w:pStyle w:val="2"/>
        <w:numPr>
          <w:ilvl w:val="0"/>
          <w:numId w:val="0"/>
        </w:numPr>
        <w:spacing w:before="2" w:line="520" w:lineRule="exact"/>
        <w:ind w:right="270" w:rightChars="0" w:firstLine="643" w:firstLineChars="200"/>
        <w:jc w:val="both"/>
        <w:rPr>
          <w:rFonts w:hint="eastAsia"/>
          <w:lang w:val="en-US"/>
        </w:rPr>
      </w:pPr>
      <w:r>
        <w:rPr>
          <w:rFonts w:hint="eastAsia"/>
          <w:b/>
          <w:lang w:val="en-US" w:eastAsia="zh-CN"/>
        </w:rPr>
        <w:t>十二、</w:t>
      </w:r>
      <w:r>
        <w:rPr>
          <w:rFonts w:hint="eastAsia"/>
          <w:b/>
          <w:lang w:val="en-US"/>
        </w:rPr>
        <w:t>机关运行经费：</w:t>
      </w:r>
      <w:r>
        <w:rPr>
          <w:rFonts w:hint="eastAsia"/>
          <w:lang w:val="en-US"/>
        </w:rPr>
        <w:t>指为保障行政单位（含参照公务员法管理的事业单位）运行用于购买货物和服务的各项资金，包括办公及印刷费、邮电费、差旅费、会议费、福利费、日常维修费及一般设备购置费、办公用房水电费、办公用房取暖费、办公用房物业管理费、公务用车运行维护费以及其他费用。</w:t>
      </w:r>
    </w:p>
    <w:p>
      <w:pPr>
        <w:pStyle w:val="2"/>
        <w:numPr>
          <w:ilvl w:val="0"/>
          <w:numId w:val="0"/>
        </w:numPr>
        <w:spacing w:before="2" w:line="520" w:lineRule="exact"/>
        <w:ind w:right="270" w:rightChars="0"/>
        <w:jc w:val="both"/>
        <w:rPr>
          <w:rFonts w:hint="eastAsia"/>
          <w:lang w:val="en-US"/>
        </w:rPr>
      </w:pPr>
    </w:p>
    <w:p>
      <w:pPr>
        <w:pStyle w:val="2"/>
        <w:tabs>
          <w:tab w:val="left" w:pos="2027"/>
        </w:tabs>
        <w:spacing w:line="406" w:lineRule="exact"/>
        <w:ind w:firstLine="640" w:firstLineChars="200"/>
        <w:rPr>
          <w:rFonts w:ascii="黑体" w:eastAsia="黑体"/>
        </w:rPr>
      </w:pPr>
      <w:r>
        <w:rPr>
          <w:rFonts w:hint="eastAsia" w:eastAsia="黑体"/>
          <w:lang w:val="en-US" w:eastAsia="zh-CN"/>
        </w:rPr>
        <w:t>附件：</w:t>
      </w:r>
      <w:r>
        <w:rPr>
          <w:rFonts w:hint="eastAsia" w:ascii="黑体" w:eastAsia="黑体"/>
        </w:rPr>
        <w:t>2017</w:t>
      </w:r>
      <w:r>
        <w:rPr>
          <w:rFonts w:hint="eastAsia" w:ascii="黑体" w:eastAsia="黑体"/>
          <w:spacing w:val="-82"/>
        </w:rPr>
        <w:t xml:space="preserve"> </w:t>
      </w:r>
      <w:r>
        <w:rPr>
          <w:rFonts w:hint="eastAsia" w:ascii="黑体" w:eastAsia="黑体"/>
        </w:rPr>
        <w:t>年度部门决算表</w:t>
      </w:r>
    </w:p>
    <w:p>
      <w:pPr>
        <w:pStyle w:val="2"/>
        <w:spacing w:before="2" w:line="520" w:lineRule="exact"/>
        <w:ind w:left="317" w:right="270" w:firstLine="640" w:firstLineChars="200"/>
        <w:jc w:val="both"/>
        <w:rPr>
          <w:lang w:val="en-US"/>
        </w:rPr>
      </w:pPr>
    </w:p>
    <w:sectPr>
      <w:footerReference r:id="rId5" w:type="default"/>
      <w:pgSz w:w="11910" w:h="16840"/>
      <w:pgMar w:top="1520" w:right="1278" w:bottom="1180" w:left="1480" w:header="0" w:footer="999" w:gutter="0"/>
      <w:cols w:space="720" w:num="1"/>
      <w:docGrid w:linePitch="29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jc w:val="center"/>
    </w:pPr>
    <w:r>
      <w:rPr>
        <w:rFonts w:ascii="仿宋_GB2312" w:hAnsi="仿宋_GB2312" w:eastAsia="仿宋_GB2312" w:cs="仿宋_GB2312"/>
        <w:sz w:val="18"/>
        <w:szCs w:val="18"/>
        <w:lang w:val="zh-CN" w:eastAsia="zh-CN" w:bidi="zh-CN"/>
      </w:rPr>
      <w:pict>
        <v:shape id="_x0000_s4097" o:spid="_x0000_s4097" o:spt="202" type="#_x0000_t202" style="position:absolute;left:0pt;margin-top:0pt;height:144pt;width:144pt;mso-position-horizontal:center;mso-position-horizontal-relative:margin;mso-wrap-style:none;z-index:251660288;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inset="0mm,0mm,0mm,0mm" style="mso-fit-shape-to-text:t;">
            <w:txbxContent>
              <w:p>
                <w:pPr>
                  <w:pStyle w:val="3"/>
                  <w:jc w:val="center"/>
                </w:pPr>
                <w:r>
                  <w:fldChar w:fldCharType="begin"/>
                </w:r>
                <w:r>
                  <w:instrText xml:space="preserve"> PAGE   \* MERGEFORMAT </w:instrText>
                </w:r>
                <w:r>
                  <w:fldChar w:fldCharType="separate"/>
                </w:r>
                <w:r>
                  <w:t>3</w:t>
                </w:r>
                <w:r>
                  <w:fldChar w:fldCharType="end"/>
                </w:r>
              </w:p>
              <w:p/>
            </w:txbxContent>
          </v:textbox>
        </v:shape>
      </w:pict>
    </w:r>
  </w:p>
  <w:p>
    <w:pPr>
      <w:pStyle w:val="2"/>
      <w:spacing w:line="14" w:lineRule="auto"/>
      <w:rPr>
        <w:sz w:val="2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0"/>
      </w:rPr>
    </w:pPr>
    <w:r>
      <w:rPr>
        <w:rFonts w:ascii="仿宋_GB2312" w:hAnsi="仿宋_GB2312" w:eastAsia="仿宋_GB2312" w:cs="仿宋_GB2312"/>
        <w:sz w:val="32"/>
        <w:szCs w:val="32"/>
        <w:lang w:val="zh-CN" w:eastAsia="zh-CN" w:bidi="zh-CN"/>
      </w:rPr>
      <w:pict>
        <v:shape id="_x0000_s4098" o:spid="_x0000_s4098" o:spt="202" type="#_x0000_t202" style="position:absolute;left:0pt;margin-top:0pt;height:144pt;width:144pt;mso-position-horizontal:center;mso-position-horizontal-relative:margin;mso-wrap-style:none;z-index:251661312;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inset="0mm,0mm,0mm,0mm" style="mso-fit-shape-to-text:t;">
            <w:txbxContent>
              <w:p>
                <w:pPr>
                  <w:pStyle w:val="3"/>
                </w:pPr>
                <w:r>
                  <w:rPr>
                    <w:rFonts w:hint="eastAsia"/>
                  </w:rPr>
                  <w:fldChar w:fldCharType="begin"/>
                </w:r>
                <w:r>
                  <w:rPr>
                    <w:rFonts w:hint="eastAsia"/>
                  </w:rPr>
                  <w:instrText xml:space="preserve"> PAGE  \* MERGEFORMAT </w:instrText>
                </w:r>
                <w:r>
                  <w:rPr>
                    <w:rFonts w:hint="eastAsia"/>
                  </w:rPr>
                  <w:fldChar w:fldCharType="separate"/>
                </w:r>
                <w:r>
                  <w:t>1</w:t>
                </w:r>
                <w:r>
                  <w:rPr>
                    <w:rFonts w:hint="eastAsia"/>
                  </w:rPr>
                  <w:fldChar w:fldCharType="end"/>
                </w:r>
              </w:p>
            </w:txbxContent>
          </v:textbox>
        </v:shape>
      </w:pict>
    </w:r>
    <w:r>
      <w:rPr>
        <w:rFonts w:ascii="仿宋_GB2312" w:hAnsi="仿宋_GB2312" w:eastAsia="仿宋_GB2312" w:cs="仿宋_GB2312"/>
        <w:sz w:val="32"/>
        <w:szCs w:val="32"/>
        <w:lang w:val="zh-CN" w:eastAsia="zh-CN" w:bidi="zh-CN"/>
      </w:rPr>
      <w:pict>
        <v:shape id="_x0000_s4099" o:spid="_x0000_s4099" o:spt="202" type="#_x0000_t202" style="position:absolute;left:0pt;margin-left:289.15pt;margin-top:794.7pt;height:12pt;width:17.1pt;mso-position-horizontal-relative:page;mso-position-vertical-relative:page;z-index:-251658240;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inset="0mm,0mm,0mm,0mm">
            <w:txbxContent>
              <w:p>
                <w:pPr>
                  <w:spacing w:before="12"/>
                  <w:rPr>
                    <w:rFonts w:ascii="Times New Roman"/>
                    <w:sz w:val="18"/>
                  </w:rPr>
                </w:pPr>
              </w:p>
            </w:txbxContent>
          </v:textbox>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0"/>
      </w:rPr>
    </w:pPr>
    <w:r>
      <w:rPr>
        <w:rFonts w:ascii="仿宋_GB2312" w:hAnsi="仿宋_GB2312" w:eastAsia="仿宋_GB2312" w:cs="仿宋_GB2312"/>
        <w:sz w:val="32"/>
        <w:szCs w:val="32"/>
        <w:lang w:val="zh-CN" w:eastAsia="zh-CN" w:bidi="zh-CN"/>
      </w:rPr>
      <w:pict>
        <v:shape id="_x0000_s4100" o:spid="_x0000_s4100" o:spt="202" type="#_x0000_t202" style="position:absolute;left:0pt;margin-top:0pt;height:144pt;width:144pt;mso-position-horizontal:center;mso-position-horizontal-relative:margin;mso-wrap-style:none;z-index:251662336;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inset="0mm,0mm,0mm,0mm" style="mso-fit-shape-to-text:t;">
            <w:txbxContent>
              <w:p>
                <w:pPr>
                  <w:pStyle w:val="3"/>
                </w:pPr>
                <w:r>
                  <w:rPr>
                    <w:rFonts w:hint="eastAsia"/>
                  </w:rPr>
                  <w:fldChar w:fldCharType="begin"/>
                </w:r>
                <w:r>
                  <w:rPr>
                    <w:rFonts w:hint="eastAsia"/>
                  </w:rPr>
                  <w:instrText xml:space="preserve"> PAGE  \* MERGEFORMAT </w:instrText>
                </w:r>
                <w:r>
                  <w:rPr>
                    <w:rFonts w:hint="eastAsia"/>
                  </w:rPr>
                  <w:fldChar w:fldCharType="separate"/>
                </w:r>
                <w:r>
                  <w:t>21</w:t>
                </w:r>
                <w:r>
                  <w:rPr>
                    <w:rFonts w:hint="eastAsia"/>
                  </w:rPr>
                  <w:fldChar w:fldCharType="end"/>
                </w:r>
              </w:p>
            </w:txbxContent>
          </v:textbox>
        </v:shape>
      </w:pict>
    </w:r>
    <w:r>
      <w:rPr>
        <w:rFonts w:ascii="仿宋_GB2312" w:hAnsi="仿宋_GB2312" w:eastAsia="仿宋_GB2312" w:cs="仿宋_GB2312"/>
        <w:sz w:val="32"/>
        <w:szCs w:val="32"/>
        <w:lang w:val="zh-CN" w:eastAsia="zh-CN" w:bidi="zh-CN"/>
      </w:rPr>
      <w:pict>
        <v:shape id="_x0000_s4101" o:spid="_x0000_s4101" o:spt="202" type="#_x0000_t202" style="position:absolute;left:0pt;margin-left:295.15pt;margin-top:781.05pt;height:12pt;width:6.5pt;mso-position-horizontal-relative:page;mso-position-vertical-relative:page;z-index:-251657216;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inset="0mm,0mm,0mm,0mm">
            <w:txbxContent>
              <w:p>
                <w:pPr>
                  <w:spacing w:before="12"/>
                  <w:rPr>
                    <w:rFonts w:ascii="Times New Roman"/>
                    <w:sz w:val="18"/>
                  </w:rPr>
                </w:pP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E59423C1"/>
    <w:multiLevelType w:val="singleLevel"/>
    <w:tmpl w:val="E59423C1"/>
    <w:lvl w:ilvl="0" w:tentative="0">
      <w:start w:val="1"/>
      <w:numFmt w:val="chineseCounting"/>
      <w:suff w:val="nothing"/>
      <w:lvlText w:val="%1、"/>
      <w:lvlJc w:val="left"/>
      <w:rPr>
        <w:rFonts w:hint="eastAsia"/>
      </w:rPr>
    </w:lvl>
  </w:abstractNum>
  <w:abstractNum w:abstractNumId="1">
    <w:nsid w:val="7CEC8760"/>
    <w:multiLevelType w:val="singleLevel"/>
    <w:tmpl w:val="7CEC8760"/>
    <w:lvl w:ilvl="0" w:tentative="0">
      <w:start w:val="1"/>
      <w:numFmt w:val="decimal"/>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val="1"/>
  <w:bordersDoNotSurroundFooter w:val="1"/>
  <w:documentProtection w:enforcement="0"/>
  <w:defaultTabStop w:val="720"/>
  <w:drawingGridHorizontalSpacing w:val="110"/>
  <w:displayHorizontalDrawingGridEvery w:val="2"/>
  <w:displayVerticalDrawingGridEvery w:val="1"/>
  <w:characterSpacingControl w:val="doNotCompress"/>
  <w:hdrShapeDefaults>
    <o:shapelayout v:ext="edit">
      <o:idmap v:ext="edit" data="3,4"/>
    </o:shapelayout>
  </w:hdrShapeDefaults>
  <w:compat>
    <w:spaceForUL/>
    <w:doNotLeaveBackslashAlone/>
    <w:ulTrailSpace/>
    <w:doNotExpandShiftReturn/>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00000"/>
    <w:rsid w:val="063957F0"/>
    <w:rsid w:val="0ABD12B6"/>
    <w:rsid w:val="0D4A4B39"/>
    <w:rsid w:val="1DBF5818"/>
    <w:rsid w:val="23A02CB7"/>
    <w:rsid w:val="314F3E97"/>
    <w:rsid w:val="32690EE2"/>
    <w:rsid w:val="36371B05"/>
    <w:rsid w:val="3F273D51"/>
    <w:rsid w:val="470B0F57"/>
    <w:rsid w:val="49536ECE"/>
    <w:rsid w:val="4AE1443C"/>
    <w:rsid w:val="4EF745A9"/>
    <w:rsid w:val="57F6622F"/>
    <w:rsid w:val="58666926"/>
    <w:rsid w:val="5B275FED"/>
    <w:rsid w:val="5E4A1E32"/>
    <w:rsid w:val="5FEF6D7B"/>
    <w:rsid w:val="7A961B3A"/>
    <w:rsid w:val="7FBB5465"/>
    <w:rsid w:val="7FD95E41"/>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semiHidden="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autoSpaceDE w:val="0"/>
      <w:autoSpaceDN w:val="0"/>
    </w:pPr>
    <w:rPr>
      <w:rFonts w:ascii="仿宋_GB2312" w:hAnsi="仿宋_GB2312" w:eastAsia="仿宋_GB2312" w:cs="仿宋_GB2312"/>
      <w:sz w:val="22"/>
      <w:szCs w:val="22"/>
      <w:lang w:val="zh-CN" w:eastAsia="zh-CN" w:bidi="zh-CN"/>
    </w:rPr>
  </w:style>
  <w:style w:type="character" w:default="1" w:styleId="5">
    <w:name w:val="Default Paragraph Font"/>
    <w:uiPriority w:val="0"/>
  </w:style>
  <w:style w:type="table" w:default="1" w:styleId="7">
    <w:name w:val="Normal Table"/>
    <w:semiHidden/>
    <w:qFormat/>
    <w:uiPriority w:val="0"/>
    <w:tblPr>
      <w:tblLayout w:type="fixed"/>
      <w:tblCellMar>
        <w:top w:w="0" w:type="dxa"/>
        <w:left w:w="108" w:type="dxa"/>
        <w:bottom w:w="0" w:type="dxa"/>
        <w:right w:w="108" w:type="dxa"/>
      </w:tblCellMar>
    </w:tblPr>
  </w:style>
  <w:style w:type="paragraph" w:styleId="2">
    <w:name w:val="Body Text"/>
    <w:basedOn w:val="1"/>
    <w:qFormat/>
    <w:uiPriority w:val="0"/>
    <w:rPr>
      <w:sz w:val="32"/>
      <w:szCs w:val="32"/>
    </w:rPr>
  </w:style>
  <w:style w:type="paragraph" w:styleId="3">
    <w:name w:val="footer"/>
    <w:basedOn w:val="1"/>
    <w:link w:val="10"/>
    <w:qFormat/>
    <w:uiPriority w:val="0"/>
    <w:pPr>
      <w:tabs>
        <w:tab w:val="center" w:pos="4153"/>
        <w:tab w:val="right" w:pos="8306"/>
      </w:tabs>
      <w:snapToGrid w:val="0"/>
    </w:pPr>
    <w:rPr>
      <w:rFonts w:ascii="仿宋_GB2312" w:hAnsi="仿宋_GB2312" w:eastAsia="仿宋_GB2312" w:cs="仿宋_GB2312"/>
      <w:sz w:val="18"/>
      <w:szCs w:val="18"/>
      <w:lang w:val="zh-CN" w:eastAsia="zh-CN" w:bidi="zh-CN"/>
    </w:rPr>
  </w:style>
  <w:style w:type="paragraph" w:styleId="4">
    <w:name w:val="header"/>
    <w:basedOn w:val="1"/>
    <w:link w:val="11"/>
    <w:qFormat/>
    <w:uiPriority w:val="0"/>
    <w:pPr>
      <w:pBdr>
        <w:bottom w:val="single" w:color="auto" w:sz="6" w:space="1"/>
      </w:pBdr>
      <w:tabs>
        <w:tab w:val="center" w:pos="4153"/>
        <w:tab w:val="right" w:pos="8306"/>
      </w:tabs>
      <w:snapToGrid w:val="0"/>
      <w:jc w:val="center"/>
    </w:pPr>
    <w:rPr>
      <w:rFonts w:ascii="仿宋_GB2312" w:hAnsi="仿宋_GB2312" w:eastAsia="仿宋_GB2312" w:cs="仿宋_GB2312"/>
      <w:sz w:val="18"/>
      <w:szCs w:val="18"/>
      <w:lang w:val="zh-CN" w:eastAsia="zh-CN" w:bidi="zh-CN"/>
    </w:rPr>
  </w:style>
  <w:style w:type="character" w:styleId="6">
    <w:name w:val="FollowedHyperlink"/>
    <w:basedOn w:val="5"/>
    <w:qFormat/>
    <w:uiPriority w:val="0"/>
    <w:rPr>
      <w:color w:val="800080"/>
      <w:u w:val="single"/>
    </w:rPr>
  </w:style>
  <w:style w:type="paragraph" w:customStyle="1" w:styleId="8">
    <w:name w:val="批注框文本1"/>
    <w:basedOn w:val="1"/>
    <w:link w:val="9"/>
    <w:qFormat/>
    <w:uiPriority w:val="0"/>
    <w:rPr>
      <w:rFonts w:ascii="仿宋_GB2312" w:hAnsi="仿宋_GB2312" w:eastAsia="仿宋_GB2312" w:cs="仿宋_GB2312"/>
      <w:sz w:val="18"/>
      <w:szCs w:val="18"/>
      <w:lang w:val="zh-CN" w:bidi="zh-CN"/>
    </w:rPr>
  </w:style>
  <w:style w:type="character" w:customStyle="1" w:styleId="9">
    <w:name w:val="批注框文本 Char"/>
    <w:basedOn w:val="5"/>
    <w:link w:val="8"/>
    <w:semiHidden/>
    <w:qFormat/>
    <w:uiPriority w:val="0"/>
    <w:rPr>
      <w:rFonts w:ascii="仿宋_GB2312" w:hAnsi="仿宋_GB2312" w:eastAsia="仿宋_GB2312" w:cs="仿宋_GB2312"/>
      <w:sz w:val="18"/>
      <w:szCs w:val="18"/>
      <w:lang w:val="zh-CN" w:bidi="zh-CN"/>
    </w:rPr>
  </w:style>
  <w:style w:type="character" w:customStyle="1" w:styleId="10">
    <w:name w:val="页脚 Char"/>
    <w:basedOn w:val="5"/>
    <w:link w:val="3"/>
    <w:semiHidden/>
    <w:qFormat/>
    <w:uiPriority w:val="0"/>
    <w:rPr>
      <w:rFonts w:ascii="仿宋_GB2312" w:hAnsi="仿宋_GB2312" w:eastAsia="仿宋_GB2312" w:cs="仿宋_GB2312"/>
      <w:sz w:val="18"/>
      <w:szCs w:val="18"/>
      <w:lang w:val="zh-CN" w:eastAsia="zh-CN" w:bidi="zh-CN"/>
    </w:rPr>
  </w:style>
  <w:style w:type="character" w:customStyle="1" w:styleId="11">
    <w:name w:val="页眉 Char"/>
    <w:basedOn w:val="5"/>
    <w:link w:val="4"/>
    <w:semiHidden/>
    <w:qFormat/>
    <w:uiPriority w:val="0"/>
    <w:rPr>
      <w:rFonts w:ascii="仿宋_GB2312" w:hAnsi="仿宋_GB2312" w:eastAsia="仿宋_GB2312" w:cs="仿宋_GB2312"/>
      <w:sz w:val="18"/>
      <w:szCs w:val="18"/>
      <w:lang w:val="zh-CN" w:eastAsia="zh-CN" w:bidi="zh-CN"/>
    </w:rPr>
  </w:style>
  <w:style w:type="paragraph" w:customStyle="1" w:styleId="12">
    <w:name w:val="Normal (Web)"/>
    <w:basedOn w:val="1"/>
    <w:qFormat/>
    <w:uiPriority w:val="0"/>
    <w:pPr>
      <w:widowControl/>
      <w:spacing w:before="100" w:beforeAutospacing="1" w:after="100" w:afterAutospacing="1"/>
    </w:pPr>
    <w:rPr>
      <w:rFonts w:ascii="宋体" w:hAnsi="宋体" w:eastAsia="宋体" w:cs="宋体"/>
      <w:sz w:val="24"/>
      <w:szCs w:val="24"/>
      <w:lang w:val="en-US" w:bidi="ar-SA"/>
    </w:rPr>
  </w:style>
  <w:style w:type="paragraph" w:customStyle="1" w:styleId="13">
    <w:name w:val="标题 11"/>
    <w:basedOn w:val="1"/>
    <w:qFormat/>
    <w:uiPriority w:val="0"/>
    <w:pPr>
      <w:spacing w:before="27"/>
      <w:ind w:left="2273" w:right="2175"/>
      <w:jc w:val="center"/>
      <w:outlineLvl w:val="1"/>
    </w:pPr>
    <w:rPr>
      <w:rFonts w:ascii="黑体" w:hAnsi="黑体" w:eastAsia="黑体" w:cs="黑体"/>
      <w:sz w:val="52"/>
      <w:szCs w:val="52"/>
    </w:rPr>
  </w:style>
  <w:style w:type="paragraph" w:customStyle="1" w:styleId="14">
    <w:name w:val="List Paragraph"/>
    <w:basedOn w:val="1"/>
    <w:qFormat/>
    <w:uiPriority w:val="0"/>
  </w:style>
  <w:style w:type="paragraph" w:customStyle="1" w:styleId="15">
    <w:name w:val="Table Paragraph"/>
    <w:basedOn w:val="1"/>
    <w:qFormat/>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4097"/>
    <customShpInfo spid="_x0000_s4098"/>
    <customShpInfo spid="_x0000_s4099"/>
    <customShpInfo spid="_x0000_s4100"/>
    <customShpInfo spid="_x0000_s410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36</Pages>
  <Words>3381</Words>
  <Characters>19276</Characters>
  <Lines>160</Lines>
  <Paragraphs>45</Paragraphs>
  <TotalTime>34</TotalTime>
  <ScaleCrop>false</ScaleCrop>
  <LinksUpToDate>false</LinksUpToDate>
  <CharactersWithSpaces>0</CharactersWithSpaces>
  <Application>WPS Office_11.1.0.8214_F1E327BC-269C-435d-A152-05C5408002CA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2018-09-06T16:10:00Z</dcterms:created>
  <dc:creator>Administrator</dc:creator>
  <cp:lastModifiedBy>Administrator</cp:lastModifiedBy>
  <dcterms:modified xsi:type="dcterms:W3CDTF">2019-01-30T22:23:07Z</dcterms:modified>
  <dc:title>&lt;4D6963726F736F667420576F7264202D20BAD3C4CFCAA1B2C6D5FECCFC32303137C4EABEF6CBE3B9ABBFAACBB5C3F7205F382E3238B2CCD6F7C8CEB8C45F&gt;</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2018-08-31T00:00:00Z</vt:filetime>
  </property>
  <property fmtid="{D5CDD505-2E9C-101B-9397-08002B2CF9AE}" pid="3" name="Creator">
    <vt:lpwstr>PScript5.dll Version 5.2</vt:lpwstr>
  </property>
  <property fmtid="{D5CDD505-2E9C-101B-9397-08002B2CF9AE}" pid="4" name="LastSaved">
    <vt:filetime>2018-09-06T00:00:00Z</vt:filetime>
  </property>
  <property fmtid="{D5CDD505-2E9C-101B-9397-08002B2CF9AE}" pid="5" name="KSOProductBuildVer">
    <vt:lpwstr>2052-11.1.0.8214</vt:lpwstr>
  </property>
</Properties>
</file>