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pStyle w:val="2"/>
        <w:rPr>
          <w:rFonts w:ascii="Times New Roman"/>
          <w:sz w:val="20"/>
        </w:rPr>
      </w:pPr>
    </w:p>
    <w:p>
      <w:pPr>
        <w:spacing w:before="285"/>
        <w:ind w:right="-63"/>
        <w:jc w:val="center"/>
        <w:rPr>
          <w:rFonts w:hint="eastAsia" w:ascii="黑体" w:eastAsia="黑体"/>
          <w:sz w:val="52"/>
          <w:lang w:eastAsia="zh-CN"/>
        </w:rPr>
      </w:pPr>
      <w:r>
        <w:rPr>
          <w:rFonts w:hint="eastAsia" w:ascii="黑体" w:eastAsia="黑体"/>
          <w:sz w:val="52"/>
          <w:lang w:eastAsia="zh-CN"/>
        </w:rPr>
        <w:t>西华县委宣传部</w:t>
      </w:r>
    </w:p>
    <w:p>
      <w:pPr>
        <w:spacing w:before="285"/>
        <w:ind w:right="-63"/>
        <w:jc w:val="center"/>
        <w:rPr>
          <w:rFonts w:ascii="黑体" w:eastAsia="黑体"/>
          <w:sz w:val="52"/>
        </w:rPr>
      </w:pPr>
      <w:r>
        <w:rPr>
          <w:rFonts w:hint="eastAsia" w:ascii="黑体" w:eastAsia="黑体"/>
          <w:sz w:val="52"/>
        </w:rPr>
        <w:t>2017 年度部门决算</w:t>
      </w:r>
    </w:p>
    <w:p>
      <w:pPr>
        <w:pStyle w:val="2"/>
        <w:jc w:val="center"/>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rPr>
          <w:rFonts w:ascii="黑体"/>
          <w:sz w:val="52"/>
        </w:rPr>
      </w:pPr>
    </w:p>
    <w:p>
      <w:pPr>
        <w:pStyle w:val="2"/>
        <w:spacing w:before="2"/>
        <w:rPr>
          <w:rFonts w:ascii="黑体"/>
          <w:sz w:val="49"/>
        </w:rPr>
      </w:pPr>
    </w:p>
    <w:p>
      <w:pPr>
        <w:pStyle w:val="2"/>
        <w:ind w:left="2273" w:right="2175"/>
        <w:jc w:val="center"/>
        <w:rPr>
          <w:rFonts w:ascii="黑体" w:eastAsia="黑体"/>
        </w:rPr>
      </w:pPr>
      <w:r>
        <w:rPr>
          <w:rFonts w:hint="eastAsia" w:ascii="黑体" w:eastAsia="黑体"/>
        </w:rPr>
        <w:t>二〇一八年</w:t>
      </w:r>
      <w:r>
        <w:rPr>
          <w:rFonts w:hint="eastAsia" w:ascii="黑体" w:eastAsia="黑体"/>
          <w:lang w:val="en-US" w:eastAsia="zh-CN"/>
        </w:rPr>
        <w:t>八</w:t>
      </w:r>
      <w:r>
        <w:rPr>
          <w:rFonts w:hint="eastAsia" w:ascii="黑体" w:eastAsia="黑体"/>
        </w:rPr>
        <w:t>月</w:t>
      </w:r>
    </w:p>
    <w:p>
      <w:pPr>
        <w:jc w:val="center"/>
        <w:sectPr>
          <w:footerReference r:id="rId3" w:type="default"/>
          <w:type w:val="continuous"/>
          <w:pgSz w:w="11910" w:h="16840"/>
          <w:pgMar w:top="1600" w:right="570" w:bottom="1180" w:left="1480" w:header="720" w:footer="999" w:gutter="0"/>
          <w:pgNumType w:start="1"/>
          <w:cols w:space="720" w:num="1"/>
        </w:sectPr>
      </w:pPr>
    </w:p>
    <w:p>
      <w:pPr>
        <w:tabs>
          <w:tab w:val="left" w:pos="3420"/>
        </w:tabs>
        <w:spacing w:before="26"/>
        <w:jc w:val="center"/>
        <w:rPr>
          <w:rFonts w:ascii="黑体" w:eastAsia="黑体"/>
          <w:sz w:val="36"/>
        </w:rPr>
      </w:pPr>
      <w:r>
        <w:rPr>
          <w:rFonts w:hint="eastAsia" w:ascii="黑体" w:eastAsia="黑体"/>
          <w:sz w:val="36"/>
        </w:rPr>
        <w:t>目    录</w:t>
      </w:r>
    </w:p>
    <w:p>
      <w:pPr>
        <w:pStyle w:val="2"/>
        <w:tabs>
          <w:tab w:val="left" w:pos="2027"/>
        </w:tabs>
        <w:spacing w:before="198"/>
        <w:ind w:left="108" w:leftChars="49" w:firstLine="640" w:firstLineChars="200"/>
        <w:rPr>
          <w:rFonts w:ascii="黑体" w:eastAsia="黑体"/>
        </w:rPr>
      </w:pPr>
      <w:r>
        <w:rPr>
          <w:rFonts w:hint="eastAsia" w:ascii="黑体" w:eastAsia="黑体"/>
        </w:rPr>
        <w:t xml:space="preserve">第一部分 </w:t>
      </w:r>
      <w:r>
        <w:rPr>
          <w:rFonts w:hint="eastAsia" w:ascii="黑体" w:eastAsia="黑体"/>
          <w:lang w:eastAsia="zh-CN"/>
        </w:rPr>
        <w:t>中共西华县委宣传部</w:t>
      </w:r>
      <w:r>
        <w:rPr>
          <w:rFonts w:hint="eastAsia" w:ascii="黑体" w:eastAsia="黑体"/>
        </w:rPr>
        <w:t>概况</w:t>
      </w:r>
    </w:p>
    <w:p>
      <w:pPr>
        <w:pStyle w:val="2"/>
        <w:spacing w:before="225" w:line="372" w:lineRule="auto"/>
        <w:ind w:left="747" w:right="6233"/>
        <w:rPr>
          <w:rFonts w:ascii="宋体" w:eastAsia="宋体"/>
        </w:rPr>
      </w:pPr>
      <w:r>
        <w:rPr>
          <w:rFonts w:hint="eastAsia" w:ascii="宋体" w:eastAsia="宋体"/>
        </w:rPr>
        <w:t>一、部门职责二、机构设置</w:t>
      </w:r>
    </w:p>
    <w:p>
      <w:pPr>
        <w:pStyle w:val="2"/>
        <w:tabs>
          <w:tab w:val="left" w:pos="2026"/>
        </w:tabs>
        <w:spacing w:line="406"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二</w:t>
      </w:r>
      <w:r>
        <w:rPr>
          <w:rFonts w:hint="eastAsia" w:ascii="黑体" w:eastAsia="黑体"/>
        </w:rPr>
        <w:t>部分</w:t>
      </w:r>
      <w:r>
        <w:rPr>
          <w:rFonts w:hint="eastAsia" w:ascii="黑体" w:eastAsia="黑体"/>
        </w:rPr>
        <w:tab/>
      </w:r>
      <w:r>
        <w:rPr>
          <w:rFonts w:hint="eastAsia" w:ascii="黑体" w:eastAsia="黑体"/>
        </w:rPr>
        <w:t xml:space="preserve"> 2017</w:t>
      </w:r>
      <w:r>
        <w:rPr>
          <w:rFonts w:hint="eastAsia" w:ascii="黑体" w:eastAsia="黑体"/>
          <w:spacing w:val="-82"/>
        </w:rPr>
        <w:t xml:space="preserve"> </w:t>
      </w:r>
      <w:r>
        <w:rPr>
          <w:rFonts w:hint="eastAsia" w:ascii="黑体" w:eastAsia="黑体"/>
        </w:rPr>
        <w:t>年度部门决算情况说明</w:t>
      </w:r>
    </w:p>
    <w:p>
      <w:pPr>
        <w:pStyle w:val="2"/>
        <w:spacing w:before="225" w:line="372" w:lineRule="auto"/>
        <w:ind w:left="747" w:right="3675"/>
        <w:rPr>
          <w:rFonts w:ascii="宋体" w:eastAsia="宋体"/>
        </w:rPr>
      </w:pPr>
      <w:r>
        <w:rPr>
          <w:rFonts w:hint="eastAsia" w:ascii="宋体" w:eastAsia="宋体"/>
          <w:spacing w:val="-1"/>
        </w:rPr>
        <w:t>一、收入支出决算总体情况说明二、收入决算情况说明</w:t>
      </w:r>
    </w:p>
    <w:p>
      <w:pPr>
        <w:pStyle w:val="2"/>
        <w:spacing w:line="406" w:lineRule="exact"/>
        <w:ind w:left="747"/>
        <w:rPr>
          <w:rFonts w:ascii="宋体" w:eastAsia="宋体"/>
        </w:rPr>
      </w:pPr>
      <w:r>
        <w:rPr>
          <w:rFonts w:hint="eastAsia" w:ascii="宋体" w:eastAsia="宋体"/>
          <w:spacing w:val="-1"/>
        </w:rPr>
        <w:t>三、支出决算情况说明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ascii="宋体" w:eastAsia="宋体"/>
        </w:rPr>
      </w:pPr>
      <w:r>
        <w:rPr>
          <w:rFonts w:hint="eastAsia" w:ascii="宋体" w:eastAsia="宋体"/>
        </w:rPr>
        <w:t>四、财政拨款收入支出决算总体情况说明</w:t>
      </w:r>
    </w:p>
    <w:p>
      <w:pPr>
        <w:pStyle w:val="2"/>
        <w:keepNext w:val="0"/>
        <w:keepLines w:val="0"/>
        <w:pageBreakBefore w:val="0"/>
        <w:widowControl w:val="0"/>
        <w:kinsoku/>
        <w:wordWrap/>
        <w:overflowPunct/>
        <w:topLinePunct w:val="0"/>
        <w:autoSpaceDE w:val="0"/>
        <w:autoSpaceDN w:val="0"/>
        <w:bidi w:val="0"/>
        <w:adjustRightInd/>
        <w:snapToGrid/>
        <w:spacing w:before="224" w:line="360" w:lineRule="auto"/>
        <w:ind w:left="747"/>
        <w:textAlignment w:val="auto"/>
        <w:rPr>
          <w:rFonts w:ascii="宋体" w:eastAsia="宋体"/>
        </w:rPr>
      </w:pPr>
      <w:r>
        <w:rPr>
          <w:rFonts w:hint="eastAsia" w:ascii="宋体" w:eastAsia="宋体"/>
        </w:rPr>
        <w:t>五、一般公共预算财政拨款支出决算情况说明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textAlignment w:val="auto"/>
        <w:rPr>
          <w:rFonts w:ascii="宋体" w:eastAsia="宋体"/>
        </w:rPr>
      </w:pPr>
      <w:r>
        <w:rPr>
          <w:rFonts w:hint="eastAsia" w:ascii="宋体" w:eastAsia="宋体"/>
        </w:rPr>
        <w:t>六、一般公共预算财政拨款基本支出决算情况说明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spacing w:val="-20"/>
          <w:lang w:val="en-US" w:eastAsia="zh-CN"/>
        </w:rPr>
      </w:pPr>
      <w:r>
        <w:rPr>
          <w:rFonts w:hint="eastAsia" w:ascii="宋体" w:hAnsi="宋体" w:eastAsia="宋体"/>
          <w:spacing w:val="-20"/>
        </w:rPr>
        <w:t>七、一般公共预算财政拨款“三公”经费支出决算情况说</w:t>
      </w:r>
      <w:r>
        <w:rPr>
          <w:rFonts w:hint="eastAsia" w:ascii="宋体" w:hAnsi="宋体" w:eastAsia="宋体"/>
          <w:spacing w:val="-20"/>
          <w:lang w:val="en-US" w:eastAsia="zh-CN"/>
        </w:rPr>
        <w:t>明</w:t>
      </w:r>
    </w:p>
    <w:p>
      <w:pPr>
        <w:pStyle w:val="2"/>
        <w:keepNext w:val="0"/>
        <w:keepLines w:val="0"/>
        <w:pageBreakBefore w:val="0"/>
        <w:widowControl w:val="0"/>
        <w:kinsoku/>
        <w:wordWrap/>
        <w:overflowPunct/>
        <w:topLinePunct w:val="0"/>
        <w:autoSpaceDE w:val="0"/>
        <w:autoSpaceDN w:val="0"/>
        <w:bidi w:val="0"/>
        <w:adjustRightInd/>
        <w:snapToGrid/>
        <w:spacing w:before="225" w:line="360" w:lineRule="auto"/>
        <w:ind w:left="747"/>
        <w:textAlignment w:val="auto"/>
        <w:rPr>
          <w:rFonts w:hint="eastAsia" w:ascii="宋体" w:hAnsi="宋体" w:eastAsia="宋体"/>
          <w:color w:val="auto"/>
          <w:spacing w:val="-20"/>
          <w:lang w:val="en-US" w:eastAsia="zh-CN"/>
        </w:rPr>
      </w:pPr>
      <w:r>
        <w:rPr>
          <w:rFonts w:hint="eastAsia" w:ascii="宋体" w:hAnsi="宋体" w:eastAsia="宋体"/>
          <w:color w:val="auto"/>
          <w:spacing w:val="-20"/>
          <w:lang w:val="en-US" w:eastAsia="zh-CN"/>
        </w:rPr>
        <w:t>八、重点绩效评价结果等预算绩效情况说明</w:t>
      </w:r>
    </w:p>
    <w:p>
      <w:pPr>
        <w:pStyle w:val="2"/>
        <w:spacing w:line="372" w:lineRule="auto"/>
        <w:ind w:left="747" w:right="3994"/>
        <w:rPr>
          <w:rFonts w:hint="eastAsia" w:ascii="宋体" w:eastAsia="宋体"/>
        </w:rPr>
      </w:pPr>
      <w:r>
        <w:rPr>
          <w:rFonts w:hint="eastAsia" w:ascii="宋体" w:eastAsia="宋体"/>
        </w:rPr>
        <w:t>九、政府性基金预算财政拨款支出决算情况说明十、机关运行经费支出情况说明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right="1434"/>
        <w:textAlignment w:val="auto"/>
        <w:rPr>
          <w:rFonts w:hint="eastAsia" w:ascii="宋体" w:eastAsia="宋体"/>
        </w:rPr>
      </w:pPr>
      <w:r>
        <w:rPr>
          <w:rFonts w:hint="eastAsia" w:ascii="宋体" w:eastAsia="宋体"/>
        </w:rPr>
        <w:t>十一、政府采购支出情况说明</w:t>
      </w:r>
    </w:p>
    <w:p>
      <w:pPr>
        <w:pStyle w:val="2"/>
        <w:keepNext w:val="0"/>
        <w:keepLines w:val="0"/>
        <w:pageBreakBefore w:val="0"/>
        <w:widowControl w:val="0"/>
        <w:kinsoku/>
        <w:wordWrap/>
        <w:overflowPunct/>
        <w:topLinePunct w:val="0"/>
        <w:autoSpaceDE w:val="0"/>
        <w:autoSpaceDN w:val="0"/>
        <w:bidi w:val="0"/>
        <w:adjustRightInd/>
        <w:snapToGrid/>
        <w:spacing w:before="223" w:line="360" w:lineRule="auto"/>
        <w:ind w:left="747" w:right="1434"/>
        <w:textAlignment w:val="auto"/>
        <w:rPr>
          <w:rFonts w:hint="eastAsia" w:ascii="宋体" w:hAnsi="宋体" w:eastAsia="宋体"/>
          <w:spacing w:val="-20"/>
          <w:lang w:val="en-US" w:eastAsia="zh-CN"/>
        </w:rPr>
        <w:sectPr>
          <w:pgSz w:w="11910" w:h="16840"/>
          <w:pgMar w:top="1500" w:right="1520" w:bottom="1180" w:left="1480" w:header="0" w:footer="999" w:gutter="0"/>
          <w:cols w:space="720" w:num="1"/>
        </w:sectPr>
      </w:pPr>
      <w:r>
        <w:rPr>
          <w:rFonts w:hint="eastAsia" w:ascii="宋体" w:eastAsia="宋体"/>
        </w:rPr>
        <w:t>十二、国有资产占用情况说明</w:t>
      </w:r>
    </w:p>
    <w:p>
      <w:pPr>
        <w:pStyle w:val="2"/>
        <w:tabs>
          <w:tab w:val="left" w:pos="2027"/>
        </w:tabs>
        <w:spacing w:line="407" w:lineRule="exact"/>
        <w:ind w:left="108" w:leftChars="49" w:firstLine="640" w:firstLineChars="200"/>
        <w:rPr>
          <w:rFonts w:ascii="黑体" w:eastAsia="黑体"/>
        </w:rPr>
      </w:pPr>
      <w:r>
        <w:rPr>
          <w:rFonts w:hint="eastAsia" w:ascii="黑体" w:eastAsia="黑体"/>
        </w:rPr>
        <w:t>第</w:t>
      </w:r>
      <w:r>
        <w:rPr>
          <w:rFonts w:hint="eastAsia" w:ascii="黑体" w:eastAsia="黑体"/>
          <w:lang w:val="en-US" w:eastAsia="zh-CN"/>
        </w:rPr>
        <w:t>三</w:t>
      </w:r>
      <w:r>
        <w:rPr>
          <w:rFonts w:hint="eastAsia" w:ascii="黑体" w:eastAsia="黑体"/>
        </w:rPr>
        <w:t>部分</w:t>
      </w:r>
      <w:r>
        <w:rPr>
          <w:rFonts w:hint="eastAsia" w:ascii="黑体" w:eastAsia="黑体"/>
        </w:rPr>
        <w:tab/>
      </w:r>
      <w:r>
        <w:rPr>
          <w:rFonts w:hint="eastAsia" w:ascii="黑体" w:eastAsia="黑体"/>
        </w:rPr>
        <w:t>名词解释</w:t>
      </w:r>
    </w:p>
    <w:p>
      <w:pPr>
        <w:pStyle w:val="2"/>
        <w:tabs>
          <w:tab w:val="left" w:pos="2027"/>
        </w:tabs>
        <w:spacing w:line="406" w:lineRule="exact"/>
        <w:ind w:left="108" w:leftChars="49" w:firstLine="640" w:firstLineChars="200"/>
        <w:rPr>
          <w:rFonts w:hint="eastAsia" w:eastAsia="黑体"/>
          <w:lang w:val="en-US" w:eastAsia="zh-CN"/>
        </w:rPr>
      </w:pPr>
    </w:p>
    <w:p>
      <w:pPr>
        <w:pStyle w:val="2"/>
        <w:tabs>
          <w:tab w:val="left" w:pos="2027"/>
        </w:tabs>
        <w:spacing w:line="406" w:lineRule="exact"/>
        <w:ind w:left="108" w:leftChars="49" w:firstLine="640" w:firstLineChars="200"/>
        <w:rPr>
          <w:rFonts w:ascii="黑体" w:eastAsia="黑体"/>
        </w:rPr>
      </w:pPr>
      <w:r>
        <w:rPr>
          <w:rFonts w:hint="eastAsia" w:eastAsia="黑体"/>
          <w:lang w:val="en-US" w:eastAsia="zh-CN"/>
        </w:rPr>
        <w:t>附件：</w:t>
      </w:r>
      <w:r>
        <w:rPr>
          <w:rFonts w:hint="eastAsia" w:ascii="黑体" w:eastAsia="黑体"/>
        </w:rPr>
        <w:t>2017</w:t>
      </w:r>
      <w:r>
        <w:rPr>
          <w:rFonts w:hint="eastAsia" w:ascii="黑体" w:eastAsia="黑体"/>
          <w:spacing w:val="-82"/>
        </w:rPr>
        <w:t xml:space="preserve"> </w:t>
      </w:r>
      <w:r>
        <w:rPr>
          <w:rFonts w:hint="eastAsia" w:ascii="黑体" w:eastAsia="黑体"/>
        </w:rPr>
        <w:t>年度部门决算表</w:t>
      </w:r>
    </w:p>
    <w:p>
      <w:pPr>
        <w:pStyle w:val="2"/>
        <w:spacing w:before="225" w:line="372" w:lineRule="auto"/>
        <w:ind w:left="747" w:right="4954"/>
        <w:rPr>
          <w:rFonts w:ascii="宋体" w:eastAsia="宋体"/>
        </w:rPr>
      </w:pPr>
      <w:r>
        <w:rPr>
          <w:rFonts w:hint="eastAsia" w:ascii="宋体" w:eastAsia="宋体"/>
          <w:spacing w:val="-2"/>
        </w:rPr>
        <w:t>一、收入支出决算总表</w:t>
      </w:r>
      <w:r>
        <w:rPr>
          <w:rFonts w:hint="eastAsia" w:ascii="宋体" w:eastAsia="宋体"/>
        </w:rPr>
        <w:t>二、收入决算表</w:t>
      </w:r>
    </w:p>
    <w:p>
      <w:pPr>
        <w:pStyle w:val="2"/>
        <w:spacing w:line="406" w:lineRule="exact"/>
        <w:ind w:left="747"/>
        <w:rPr>
          <w:rFonts w:ascii="宋体" w:eastAsia="宋体"/>
        </w:rPr>
      </w:pPr>
      <w:r>
        <w:rPr>
          <w:rFonts w:hint="eastAsia" w:ascii="宋体" w:eastAsia="宋体"/>
          <w:spacing w:val="-1"/>
        </w:rPr>
        <w:t>三、支出决算表</w:t>
      </w:r>
    </w:p>
    <w:p>
      <w:pPr>
        <w:pStyle w:val="2"/>
        <w:spacing w:before="224"/>
        <w:ind w:left="747"/>
        <w:rPr>
          <w:rFonts w:ascii="宋体" w:eastAsia="宋体"/>
        </w:rPr>
      </w:pPr>
      <w:r>
        <w:rPr>
          <w:rFonts w:hint="eastAsia" w:ascii="宋体" w:eastAsia="宋体"/>
        </w:rPr>
        <w:t>四、财政拨款收入支出决算总表</w:t>
      </w:r>
    </w:p>
    <w:p>
      <w:pPr>
        <w:pStyle w:val="2"/>
        <w:spacing w:before="224"/>
        <w:ind w:left="747"/>
        <w:rPr>
          <w:rFonts w:ascii="宋体" w:eastAsia="宋体"/>
        </w:rPr>
      </w:pPr>
      <w:r>
        <w:rPr>
          <w:rFonts w:hint="eastAsia" w:ascii="宋体" w:eastAsia="宋体"/>
        </w:rPr>
        <w:t>五、一般公共预算财政拨款支出决算表</w:t>
      </w:r>
    </w:p>
    <w:p>
      <w:pPr>
        <w:pStyle w:val="2"/>
        <w:spacing w:before="224"/>
        <w:ind w:left="747"/>
        <w:rPr>
          <w:rFonts w:ascii="宋体" w:eastAsia="宋体"/>
        </w:rPr>
      </w:pPr>
      <w:r>
        <w:rPr>
          <w:rFonts w:hint="eastAsia" w:ascii="宋体" w:eastAsia="宋体"/>
        </w:rPr>
        <w:t>六、一般公共预算财政拨款基本支出决算表</w:t>
      </w:r>
    </w:p>
    <w:p>
      <w:pPr>
        <w:pStyle w:val="2"/>
        <w:spacing w:before="224" w:line="372" w:lineRule="auto"/>
        <w:ind w:left="747" w:right="795"/>
        <w:rPr>
          <w:rFonts w:ascii="宋体" w:hAnsi="宋体" w:eastAsia="宋体"/>
        </w:rPr>
      </w:pPr>
      <w:r>
        <w:rPr>
          <w:rFonts w:hint="eastAsia" w:ascii="宋体" w:hAnsi="宋体" w:eastAsia="宋体"/>
        </w:rPr>
        <w:t>七、一般公共预算财政拨款“三公”经费支出决算表八、政府性基金预算财政拨款收入支出决算表</w:t>
      </w:r>
    </w:p>
    <w:p>
      <w:pPr>
        <w:spacing w:line="407" w:lineRule="exact"/>
        <w:sectPr>
          <w:pgSz w:w="11910" w:h="16840"/>
          <w:pgMar w:top="1520" w:right="1520" w:bottom="1180" w:left="1480" w:header="0" w:footer="999" w:gutter="0"/>
          <w:cols w:space="720" w:num="1"/>
        </w:sect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rPr>
          <w:rFonts w:ascii="黑体"/>
          <w:sz w:val="20"/>
        </w:rPr>
      </w:pPr>
    </w:p>
    <w:p>
      <w:pPr>
        <w:pStyle w:val="2"/>
        <w:spacing w:before="2"/>
        <w:rPr>
          <w:rFonts w:ascii="黑体"/>
          <w:sz w:val="26"/>
        </w:rPr>
      </w:pPr>
    </w:p>
    <w:p>
      <w:pPr>
        <w:tabs>
          <w:tab w:val="left" w:pos="3993"/>
        </w:tabs>
        <w:spacing w:before="32"/>
        <w:jc w:val="center"/>
        <w:rPr>
          <w:rFonts w:ascii="黑体" w:eastAsia="黑体"/>
          <w:sz w:val="48"/>
        </w:rPr>
      </w:pPr>
      <w:r>
        <w:rPr>
          <w:rFonts w:hint="eastAsia" w:ascii="黑体" w:eastAsia="黑体"/>
          <w:sz w:val="48"/>
        </w:rPr>
        <w:t>第一部分</w:t>
      </w:r>
    </w:p>
    <w:p>
      <w:pPr>
        <w:tabs>
          <w:tab w:val="left" w:pos="3993"/>
        </w:tabs>
        <w:spacing w:before="32"/>
        <w:jc w:val="center"/>
        <w:rPr>
          <w:rFonts w:ascii="黑体" w:eastAsia="黑体"/>
          <w:sz w:val="48"/>
        </w:rPr>
      </w:pPr>
      <w:r>
        <w:rPr>
          <w:rFonts w:hint="eastAsia" w:ascii="黑体" w:eastAsia="黑体"/>
          <w:sz w:val="48"/>
          <w:lang w:eastAsia="zh-CN"/>
        </w:rPr>
        <w:t>西华县委宣传部</w:t>
      </w:r>
      <w:r>
        <w:rPr>
          <w:rFonts w:hint="eastAsia" w:ascii="黑体" w:eastAsia="黑体"/>
          <w:sz w:val="48"/>
        </w:rPr>
        <w:t>概况</w:t>
      </w:r>
    </w:p>
    <w:p>
      <w:pPr>
        <w:sectPr>
          <w:footerReference r:id="rId4" w:type="default"/>
          <w:pgSz w:w="11910" w:h="16840"/>
          <w:pgMar w:top="1600" w:right="1520" w:bottom="920" w:left="1480" w:header="0" w:footer="726" w:gutter="0"/>
          <w:pgNumType w:start="1"/>
          <w:cols w:space="720" w:num="1"/>
        </w:sectPr>
      </w:pPr>
    </w:p>
    <w:p>
      <w:pPr>
        <w:pStyle w:val="2"/>
        <w:keepNext w:val="0"/>
        <w:keepLines w:val="0"/>
        <w:pageBreakBefore w:val="0"/>
        <w:widowControl w:val="0"/>
        <w:kinsoku/>
        <w:wordWrap/>
        <w:overflowPunct/>
        <w:topLinePunct w:val="0"/>
        <w:autoSpaceDE w:val="0"/>
        <w:autoSpaceDN w:val="0"/>
        <w:bidi w:val="0"/>
        <w:adjustRightInd/>
        <w:snapToGrid/>
        <w:spacing w:before="26" w:line="600" w:lineRule="exact"/>
        <w:ind w:right="0" w:firstLine="640" w:firstLineChars="200"/>
        <w:jc w:val="both"/>
        <w:textAlignment w:val="auto"/>
        <w:outlineLvl w:val="9"/>
        <w:rPr>
          <w:rFonts w:ascii="黑体" w:eastAsia="黑体"/>
          <w:u w:val="none"/>
        </w:rPr>
      </w:pPr>
      <w:r>
        <w:rPr>
          <w:rFonts w:hint="eastAsia" w:ascii="黑体" w:eastAsia="黑体"/>
          <w:u w:val="none"/>
        </w:rPr>
        <w:t>一、部门职责</w:t>
      </w:r>
    </w:p>
    <w:p>
      <w:pPr>
        <w:keepNext w:val="0"/>
        <w:keepLines w:val="0"/>
        <w:pageBreakBefore w:val="0"/>
        <w:widowControl w:val="0"/>
        <w:numPr>
          <w:numId w:val="0"/>
        </w:numPr>
        <w:kinsoku/>
        <w:wordWrap/>
        <w:overflowPunct/>
        <w:topLinePunct w:val="0"/>
        <w:autoSpaceDE w:val="0"/>
        <w:autoSpaceDN w:val="0"/>
        <w:bidi w:val="0"/>
        <w:adjustRightInd/>
        <w:snapToGrid/>
        <w:spacing w:line="600" w:lineRule="exact"/>
        <w:ind w:right="0" w:firstLine="640" w:firstLineChars="200"/>
        <w:jc w:val="both"/>
        <w:textAlignment w:val="auto"/>
        <w:outlineLvl w:val="9"/>
      </w:pPr>
      <w:r>
        <w:rPr>
          <w:rFonts w:hint="eastAsia" w:ascii="仿宋_GB2312" w:hAnsi="仿宋_GB2312" w:eastAsia="仿宋_GB2312" w:cs="仿宋_GB2312"/>
          <w:color w:val="000000"/>
          <w:sz w:val="32"/>
          <w:szCs w:val="32"/>
        </w:rPr>
        <w:t>加强思想理论建设，打牢坚实思想基础；提升舆论引导能力，营造良好舆论环境；推进文明西华建设，形成良好社会风尚；推进文化改革发展，加快建设文化强县；加强网络建设管理，营造清朗网络空间；加强基层基础建设，打造过硬宣传队伍。</w:t>
      </w:r>
    </w:p>
    <w:p>
      <w:pPr>
        <w:pStyle w:val="2"/>
        <w:keepNext w:val="0"/>
        <w:keepLines w:val="0"/>
        <w:pageBreakBefore w:val="0"/>
        <w:widowControl w:val="0"/>
        <w:kinsoku/>
        <w:wordWrap/>
        <w:overflowPunct/>
        <w:topLinePunct w:val="0"/>
        <w:autoSpaceDE w:val="0"/>
        <w:autoSpaceDN w:val="0"/>
        <w:bidi w:val="0"/>
        <w:adjustRightInd/>
        <w:snapToGrid/>
        <w:spacing w:before="2" w:line="600" w:lineRule="exact"/>
        <w:ind w:right="0" w:firstLine="640" w:firstLineChars="200"/>
        <w:jc w:val="both"/>
        <w:textAlignment w:val="auto"/>
        <w:outlineLvl w:val="9"/>
        <w:rPr>
          <w:rFonts w:ascii="黑体" w:hAnsi="黑体" w:eastAsia="黑体"/>
        </w:rPr>
      </w:pPr>
      <w:r>
        <w:rPr>
          <w:rFonts w:hint="eastAsia" w:ascii="黑体" w:hAnsi="黑体" w:eastAsia="黑体"/>
        </w:rPr>
        <w:t>二、机构设置</w:t>
      </w:r>
      <w:r>
        <w:rPr>
          <w:rFonts w:ascii="黑体" w:hAnsi="黑体" w:eastAsia="黑体"/>
        </w:rPr>
        <w:t xml:space="preserve"> </w:t>
      </w:r>
    </w:p>
    <w:p>
      <w:pPr>
        <w:keepNext w:val="0"/>
        <w:keepLines w:val="0"/>
        <w:pageBreakBefore w:val="0"/>
        <w:widowControl w:val="0"/>
        <w:kinsoku/>
        <w:wordWrap/>
        <w:overflowPunct/>
        <w:topLinePunct w:val="0"/>
        <w:autoSpaceDE w:val="0"/>
        <w:autoSpaceDN w:val="0"/>
        <w:bidi w:val="0"/>
        <w:adjustRightInd/>
        <w:snapToGrid/>
        <w:spacing w:line="600" w:lineRule="exact"/>
        <w:ind w:right="0" w:firstLine="640" w:firstLineChars="200"/>
        <w:jc w:val="both"/>
        <w:textAlignment w:val="auto"/>
        <w:outlineLvl w:val="9"/>
        <w:rPr>
          <w:rFonts w:hint="eastAsia" w:ascii="仿宋" w:hAnsi="仿宋" w:eastAsia="仿宋_GB2312"/>
          <w:b/>
          <w:sz w:val="32"/>
          <w:szCs w:val="32"/>
          <w:lang w:eastAsia="zh-CN"/>
        </w:rPr>
      </w:pPr>
      <w:r>
        <w:rPr>
          <w:rFonts w:hint="eastAsia" w:ascii="仿宋_GB2312" w:hAnsi="仿宋_GB2312" w:eastAsia="仿宋_GB2312" w:cs="仿宋_GB2312"/>
          <w:color w:val="000000"/>
          <w:sz w:val="32"/>
          <w:szCs w:val="32"/>
          <w:shd w:val="clear" w:color="auto" w:fill="FFFFFF"/>
        </w:rPr>
        <w:t>中共西华县委宣传部内设5个科室，即：办公室、文改办、理论宣传室、新闻室、网信办</w:t>
      </w:r>
      <w:r>
        <w:rPr>
          <w:rFonts w:hint="eastAsia" w:ascii="仿宋_GB2312" w:hAnsi="仿宋_GB2312" w:eastAsia="仿宋_GB2312" w:cs="仿宋_GB2312"/>
          <w:color w:val="000000"/>
          <w:sz w:val="32"/>
          <w:szCs w:val="32"/>
          <w:shd w:val="clear" w:color="auto" w:fill="FFFFFF"/>
          <w:lang w:eastAsia="zh-CN"/>
        </w:rPr>
        <w:t>。</w:t>
      </w:r>
    </w:p>
    <w:p>
      <w:pPr>
        <w:pStyle w:val="2"/>
        <w:spacing w:before="2" w:line="364" w:lineRule="auto"/>
        <w:ind w:right="270"/>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hint="eastAsia" w:ascii="黑体" w:eastAsia="黑体"/>
          <w:sz w:val="48"/>
        </w:rPr>
      </w:pPr>
    </w:p>
    <w:p>
      <w:pPr>
        <w:tabs>
          <w:tab w:val="left" w:pos="3993"/>
        </w:tabs>
        <w:spacing w:before="32"/>
        <w:jc w:val="center"/>
        <w:rPr>
          <w:rFonts w:ascii="黑体" w:eastAsia="黑体"/>
          <w:sz w:val="48"/>
        </w:rPr>
      </w:pPr>
      <w:r>
        <w:rPr>
          <w:rFonts w:hint="eastAsia" w:ascii="黑体" w:eastAsia="黑体"/>
          <w:sz w:val="48"/>
        </w:rPr>
        <w:t>第</w:t>
      </w:r>
      <w:r>
        <w:rPr>
          <w:rFonts w:hint="eastAsia" w:ascii="黑体" w:eastAsia="黑体"/>
          <w:sz w:val="48"/>
          <w:lang w:val="en-US" w:eastAsia="zh-CN"/>
        </w:rPr>
        <w:t>二</w:t>
      </w:r>
      <w:r>
        <w:rPr>
          <w:rFonts w:hint="eastAsia" w:ascii="黑体" w:eastAsia="黑体"/>
          <w:sz w:val="48"/>
        </w:rPr>
        <w:t>部分</w:t>
      </w:r>
    </w:p>
    <w:p>
      <w:pPr>
        <w:tabs>
          <w:tab w:val="left" w:pos="3993"/>
        </w:tabs>
        <w:spacing w:before="32"/>
        <w:jc w:val="center"/>
        <w:rPr>
          <w:rFonts w:ascii="黑体" w:eastAsia="黑体"/>
          <w:sz w:val="48"/>
        </w:rPr>
      </w:pPr>
      <w:r>
        <w:rPr>
          <w:rFonts w:ascii="黑体" w:eastAsia="黑体"/>
          <w:sz w:val="48"/>
        </w:rPr>
        <w:t>2017 年度部门决算情况说明</w:t>
      </w: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 w:line="364" w:lineRule="auto"/>
        <w:ind w:left="317" w:right="270" w:firstLine="468"/>
        <w:jc w:val="both"/>
        <w:rPr>
          <w:lang w:val="en-US"/>
        </w:rPr>
      </w:pPr>
    </w:p>
    <w:p>
      <w:pPr>
        <w:pStyle w:val="2"/>
        <w:spacing w:before="214" w:line="520" w:lineRule="exact"/>
        <w:ind w:right="112" w:firstLine="693" w:firstLineChars="225"/>
        <w:rPr>
          <w:rFonts w:ascii="黑体" w:hAnsi="黑体" w:eastAsia="黑体"/>
          <w:spacing w:val="-6"/>
        </w:rPr>
      </w:pPr>
      <w:r>
        <w:rPr>
          <w:rFonts w:hint="eastAsia" w:ascii="黑体" w:hAnsi="黑体" w:eastAsia="黑体"/>
          <w:spacing w:val="-6"/>
        </w:rPr>
        <w:t>一、收入支出决算总体情况说明</w:t>
      </w:r>
      <w:r>
        <w:rPr>
          <w:rFonts w:ascii="黑体" w:hAnsi="黑体" w:eastAsia="黑体"/>
          <w:spacing w:val="-6"/>
        </w:rPr>
        <w:t xml:space="preserve"> </w:t>
      </w:r>
    </w:p>
    <w:p>
      <w:pPr>
        <w:pStyle w:val="2"/>
        <w:spacing w:before="214" w:line="520" w:lineRule="exact"/>
        <w:ind w:right="113" w:firstLine="640" w:firstLineChars="200"/>
        <w:jc w:val="both"/>
        <w:rPr>
          <w:spacing w:val="-6"/>
        </w:rPr>
      </w:pPr>
      <w:r>
        <w:rPr>
          <w:rFonts w:hint="eastAsia" w:ascii="仿宋_GB2312" w:hAnsi="仿宋_GB2312" w:eastAsia="仿宋_GB2312" w:cs="仿宋_GB2312"/>
          <w:color w:val="000000"/>
          <w:kern w:val="0"/>
          <w:sz w:val="32"/>
          <w:szCs w:val="32"/>
          <w:lang w:eastAsia="zh-CN"/>
        </w:rPr>
        <w:t>中共西华县委宣传部</w:t>
      </w:r>
      <w:r>
        <w:rPr>
          <w:rFonts w:hint="eastAsia" w:ascii="仿宋_GB2312" w:hAnsi="仿宋_GB2312" w:eastAsia="仿宋_GB2312" w:cs="仿宋_GB2312"/>
          <w:sz w:val="32"/>
          <w:szCs w:val="32"/>
        </w:rPr>
        <w:t>2017年收入总计</w:t>
      </w:r>
      <w:r>
        <w:rPr>
          <w:rFonts w:hint="eastAsia" w:ascii="仿宋_GB2312" w:hAnsi="仿宋_GB2312" w:eastAsia="仿宋_GB2312" w:cs="仿宋_GB2312"/>
          <w:sz w:val="32"/>
          <w:szCs w:val="32"/>
          <w:lang w:val="en-US" w:eastAsia="zh-CN"/>
        </w:rPr>
        <w:t>291.2</w:t>
      </w:r>
      <w:r>
        <w:rPr>
          <w:rFonts w:hint="eastAsia" w:ascii="仿宋_GB2312" w:hAnsi="仿宋_GB2312" w:eastAsia="仿宋_GB2312" w:cs="仿宋_GB2312"/>
          <w:sz w:val="32"/>
          <w:szCs w:val="32"/>
        </w:rPr>
        <w:t>万元，支出总计</w:t>
      </w:r>
      <w:r>
        <w:rPr>
          <w:rFonts w:hint="eastAsia" w:ascii="仿宋_GB2312" w:hAnsi="仿宋_GB2312" w:eastAsia="仿宋_GB2312" w:cs="仿宋_GB2312"/>
          <w:sz w:val="32"/>
          <w:szCs w:val="32"/>
          <w:lang w:val="en-US" w:eastAsia="zh-CN"/>
        </w:rPr>
        <w:t>292.71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spacing w:val="-6"/>
        </w:rPr>
        <w:t>与 2016 年相比，</w:t>
      </w:r>
      <w:r>
        <w:rPr>
          <w:rFonts w:hint="eastAsia"/>
          <w:spacing w:val="-6"/>
          <w:lang w:eastAsia="zh-CN"/>
        </w:rPr>
        <w:t>收入增加</w:t>
      </w:r>
      <w:r>
        <w:rPr>
          <w:rFonts w:hint="eastAsia"/>
          <w:spacing w:val="-6"/>
          <w:lang w:val="en-US" w:eastAsia="zh-CN"/>
        </w:rPr>
        <w:t>63.8万元</w:t>
      </w:r>
      <w:r>
        <w:rPr>
          <w:rFonts w:hint="eastAsia"/>
          <w:spacing w:val="-6"/>
        </w:rPr>
        <w:t>、</w:t>
      </w:r>
      <w:r>
        <w:rPr>
          <w:rFonts w:hint="eastAsia"/>
          <w:spacing w:val="-6"/>
          <w:lang w:eastAsia="zh-CN"/>
        </w:rPr>
        <w:t>支出增加</w:t>
      </w:r>
      <w:r>
        <w:rPr>
          <w:rFonts w:hint="eastAsia"/>
          <w:spacing w:val="-6"/>
          <w:lang w:val="en-US" w:eastAsia="zh-CN"/>
        </w:rPr>
        <w:t>79.93</w:t>
      </w:r>
      <w:r>
        <w:rPr>
          <w:spacing w:val="-6"/>
        </w:rPr>
        <w:t>万元，</w:t>
      </w:r>
      <w:r>
        <w:rPr>
          <w:rFonts w:hint="eastAsia"/>
          <w:spacing w:val="-6"/>
          <w:lang w:eastAsia="zh-CN"/>
        </w:rPr>
        <w:t>收入、支出分别</w:t>
      </w:r>
      <w:r>
        <w:rPr>
          <w:spacing w:val="-6"/>
        </w:rPr>
        <w:t>增长</w:t>
      </w:r>
      <w:r>
        <w:rPr>
          <w:rFonts w:hint="eastAsia"/>
          <w:spacing w:val="-6"/>
          <w:lang w:val="en-US" w:eastAsia="zh-CN"/>
        </w:rPr>
        <w:t>28</w:t>
      </w:r>
      <w:r>
        <w:rPr>
          <w:spacing w:val="-6"/>
        </w:rPr>
        <w:t>%</w:t>
      </w:r>
      <w:r>
        <w:rPr>
          <w:rFonts w:hint="eastAsia"/>
          <w:spacing w:val="-6"/>
          <w:lang w:eastAsia="zh-CN"/>
        </w:rPr>
        <w:t>、</w:t>
      </w:r>
      <w:r>
        <w:rPr>
          <w:rFonts w:hint="eastAsia"/>
          <w:spacing w:val="-6"/>
          <w:lang w:val="en-US" w:eastAsia="zh-CN"/>
        </w:rPr>
        <w:t>37.56%</w:t>
      </w:r>
      <w:r>
        <w:rPr>
          <w:spacing w:val="-6"/>
        </w:rPr>
        <w:t>。主要原因一是</w:t>
      </w:r>
      <w:r>
        <w:rPr>
          <w:rFonts w:hint="eastAsia"/>
          <w:spacing w:val="-6"/>
          <w:lang w:eastAsia="zh-CN"/>
        </w:rPr>
        <w:t>群众文化活动开展较多</w:t>
      </w:r>
      <w:r>
        <w:rPr>
          <w:rFonts w:hint="eastAsia"/>
          <w:spacing w:val="-6"/>
        </w:rPr>
        <w:t>；二</w:t>
      </w:r>
      <w:r>
        <w:rPr>
          <w:spacing w:val="-6"/>
        </w:rPr>
        <w:t>是正常晋级晋档等工资调标，预算收</w:t>
      </w:r>
      <w:r>
        <w:rPr>
          <w:rFonts w:hint="eastAsia"/>
          <w:spacing w:val="-6"/>
        </w:rPr>
        <w:t>入和支出相应增加。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二、收入决算情况说明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 年度收入合计</w:t>
      </w:r>
      <w:r>
        <w:rPr>
          <w:rFonts w:hint="eastAsia"/>
          <w:spacing w:val="-6"/>
          <w:lang w:val="en-US" w:eastAsia="zh-CN"/>
        </w:rPr>
        <w:t>291.2</w:t>
      </w:r>
      <w:r>
        <w:rPr>
          <w:spacing w:val="-6"/>
        </w:rPr>
        <w:t>万元，其中：财政拨款收入</w:t>
      </w:r>
      <w:r>
        <w:rPr>
          <w:rFonts w:hint="eastAsia"/>
          <w:spacing w:val="-6"/>
          <w:lang w:val="en-US" w:eastAsia="zh-CN"/>
        </w:rPr>
        <w:t>291.2</w:t>
      </w:r>
      <w:r>
        <w:rPr>
          <w:spacing w:val="-6"/>
        </w:rPr>
        <w:t>万元，占</w:t>
      </w:r>
      <w:r>
        <w:rPr>
          <w:rFonts w:hint="eastAsia"/>
          <w:spacing w:val="-6"/>
          <w:lang w:val="en-US" w:eastAsia="zh-CN"/>
        </w:rPr>
        <w:t>100</w:t>
      </w:r>
      <w:r>
        <w:rPr>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三、支出决算情况说明</w:t>
      </w:r>
      <w:r>
        <w:rPr>
          <w:rFonts w:ascii="黑体" w:hAnsi="黑体" w:eastAsia="黑体"/>
          <w:lang w:val="en-US"/>
        </w:rPr>
        <w:t xml:space="preserve"> </w:t>
      </w:r>
    </w:p>
    <w:p>
      <w:pPr>
        <w:pStyle w:val="2"/>
        <w:spacing w:before="2" w:line="520" w:lineRule="exact"/>
        <w:ind w:right="270" w:firstLine="693" w:firstLineChars="225"/>
        <w:jc w:val="both"/>
        <w:rPr>
          <w:spacing w:val="-6"/>
        </w:rPr>
      </w:pPr>
      <w:r>
        <w:rPr>
          <w:spacing w:val="-6"/>
        </w:rPr>
        <w:t>2017年度支出合计</w:t>
      </w:r>
      <w:r>
        <w:rPr>
          <w:rFonts w:hint="eastAsia"/>
          <w:spacing w:val="-6"/>
          <w:lang w:val="en-US" w:eastAsia="zh-CN"/>
        </w:rPr>
        <w:t>292.71</w:t>
      </w:r>
      <w:r>
        <w:rPr>
          <w:spacing w:val="-6"/>
        </w:rPr>
        <w:t>万元，其中：</w:t>
      </w:r>
      <w:r>
        <w:rPr>
          <w:rFonts w:hint="eastAsia"/>
          <w:spacing w:val="-6"/>
          <w:lang w:eastAsia="zh-CN"/>
        </w:rPr>
        <w:t>一般公共支出</w:t>
      </w:r>
      <w:r>
        <w:rPr>
          <w:rFonts w:hint="eastAsia"/>
          <w:spacing w:val="-6"/>
          <w:lang w:val="en-US" w:eastAsia="zh-CN"/>
        </w:rPr>
        <w:t>265.29</w:t>
      </w:r>
      <w:r>
        <w:rPr>
          <w:spacing w:val="-6"/>
        </w:rPr>
        <w:t>万元，占</w:t>
      </w:r>
      <w:r>
        <w:rPr>
          <w:rFonts w:hint="eastAsia"/>
          <w:spacing w:val="-6"/>
          <w:lang w:val="en-US" w:eastAsia="zh-CN"/>
        </w:rPr>
        <w:t>90.6</w:t>
      </w:r>
      <w:r>
        <w:rPr>
          <w:spacing w:val="-6"/>
        </w:rPr>
        <w:t>%；</w:t>
      </w:r>
      <w:r>
        <w:rPr>
          <w:rFonts w:hint="eastAsia" w:ascii="仿宋_GB2312" w:hAnsi="仿宋_GB2312" w:eastAsia="仿宋_GB2312" w:cs="仿宋_GB2312"/>
          <w:color w:val="000000"/>
          <w:kern w:val="0"/>
          <w:sz w:val="32"/>
          <w:szCs w:val="32"/>
        </w:rPr>
        <w:t>社会保障和就业支出</w:t>
      </w:r>
      <w:r>
        <w:rPr>
          <w:rFonts w:hint="eastAsia" w:ascii="仿宋_GB2312" w:hAnsi="仿宋_GB2312" w:eastAsia="仿宋_GB2312" w:cs="仿宋_GB2312"/>
          <w:color w:val="000000"/>
          <w:kern w:val="0"/>
          <w:sz w:val="32"/>
          <w:szCs w:val="32"/>
          <w:lang w:val="en-US" w:eastAsia="zh-CN"/>
        </w:rPr>
        <w:t>19.84万元，占6.8%</w:t>
      </w:r>
      <w:r>
        <w:rPr>
          <w:rFonts w:hint="eastAsia" w:cs="仿宋_GB2312"/>
          <w:color w:val="000000"/>
          <w:kern w:val="0"/>
          <w:sz w:val="32"/>
          <w:szCs w:val="32"/>
          <w:lang w:val="en-US" w:eastAsia="zh-CN"/>
        </w:rPr>
        <w:t>；</w:t>
      </w:r>
      <w:r>
        <w:rPr>
          <w:rFonts w:hint="eastAsia" w:ascii="仿宋_GB2312" w:hAnsi="仿宋_GB2312" w:eastAsia="仿宋_GB2312" w:cs="仿宋_GB2312"/>
          <w:color w:val="000000"/>
          <w:kern w:val="0"/>
          <w:sz w:val="32"/>
          <w:szCs w:val="32"/>
        </w:rPr>
        <w:t>医疗卫生与计划生育支出</w:t>
      </w:r>
      <w:r>
        <w:rPr>
          <w:rFonts w:hint="eastAsia" w:ascii="仿宋_GB2312" w:hAnsi="仿宋_GB2312" w:eastAsia="仿宋_GB2312" w:cs="仿宋_GB2312"/>
          <w:color w:val="000000"/>
          <w:kern w:val="0"/>
          <w:sz w:val="32"/>
          <w:szCs w:val="32"/>
          <w:lang w:val="en-US" w:eastAsia="zh-CN"/>
        </w:rPr>
        <w:t>7.58万元，</w:t>
      </w:r>
      <w:r>
        <w:rPr>
          <w:spacing w:val="-6"/>
        </w:rPr>
        <w:t>占</w:t>
      </w:r>
      <w:r>
        <w:rPr>
          <w:rFonts w:hint="eastAsia"/>
          <w:spacing w:val="-6"/>
          <w:lang w:val="en-US" w:eastAsia="zh-CN"/>
        </w:rPr>
        <w:t>2.6</w:t>
      </w:r>
      <w:r>
        <w:rPr>
          <w:spacing w:val="-6"/>
        </w:rPr>
        <w:t>%</w:t>
      </w:r>
      <w:r>
        <w:rPr>
          <w:rFonts w:hint="eastAsia"/>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四、财政拨款收入支出决算总体情况说明</w:t>
      </w:r>
      <w:r>
        <w:rPr>
          <w:rFonts w:ascii="黑体" w:hAnsi="黑体" w:eastAsia="黑体"/>
          <w:lang w:val="en-US"/>
        </w:rPr>
        <w:t xml:space="preserve"> </w:t>
      </w:r>
    </w:p>
    <w:p>
      <w:pPr>
        <w:pStyle w:val="2"/>
        <w:spacing w:before="214" w:line="520" w:lineRule="exact"/>
        <w:ind w:right="113" w:firstLine="616" w:firstLineChars="200"/>
        <w:jc w:val="both"/>
        <w:rPr>
          <w:spacing w:val="-6"/>
        </w:rPr>
      </w:pPr>
      <w:r>
        <w:rPr>
          <w:spacing w:val="-6"/>
        </w:rPr>
        <w:t>2017 年财政拨款收</w:t>
      </w:r>
      <w:r>
        <w:rPr>
          <w:rFonts w:hint="eastAsia"/>
          <w:spacing w:val="-6"/>
        </w:rPr>
        <w:t>入</w:t>
      </w:r>
      <w:r>
        <w:rPr>
          <w:spacing w:val="-6"/>
        </w:rPr>
        <w:t>为</w:t>
      </w:r>
      <w:r>
        <w:rPr>
          <w:rFonts w:hint="eastAsia"/>
          <w:spacing w:val="-6"/>
          <w:lang w:val="en-US" w:eastAsia="zh-CN"/>
        </w:rPr>
        <w:t>291.2</w:t>
      </w:r>
      <w:r>
        <w:rPr>
          <w:spacing w:val="-6"/>
        </w:rPr>
        <w:t>万元。与 2016</w:t>
      </w:r>
      <w:r>
        <w:rPr>
          <w:rFonts w:hint="eastAsia"/>
          <w:spacing w:val="-6"/>
        </w:rPr>
        <w:t>年相比，财政拨款收入增加</w:t>
      </w:r>
      <w:r>
        <w:rPr>
          <w:rFonts w:hint="eastAsia"/>
          <w:spacing w:val="-6"/>
          <w:lang w:val="en-US" w:eastAsia="zh-CN"/>
        </w:rPr>
        <w:t>63.8</w:t>
      </w:r>
      <w:r>
        <w:rPr>
          <w:spacing w:val="-6"/>
        </w:rPr>
        <w:t>万元，增</w:t>
      </w:r>
      <w:r>
        <w:rPr>
          <w:rFonts w:hint="eastAsia"/>
          <w:spacing w:val="-6"/>
        </w:rPr>
        <w:t>长</w:t>
      </w:r>
      <w:r>
        <w:rPr>
          <w:rFonts w:hint="eastAsia"/>
          <w:spacing w:val="-6"/>
          <w:lang w:val="en-US" w:eastAsia="zh-CN"/>
        </w:rPr>
        <w:t>28</w:t>
      </w:r>
      <w:r>
        <w:rPr>
          <w:spacing w:val="-6"/>
        </w:rPr>
        <w:t>%。2017 年财政拨款</w:t>
      </w:r>
      <w:r>
        <w:rPr>
          <w:rFonts w:hint="eastAsia"/>
          <w:spacing w:val="-6"/>
        </w:rPr>
        <w:t>支出</w:t>
      </w:r>
      <w:r>
        <w:rPr>
          <w:spacing w:val="-6"/>
        </w:rPr>
        <w:t>为</w:t>
      </w:r>
      <w:r>
        <w:rPr>
          <w:rFonts w:hint="eastAsia"/>
          <w:spacing w:val="-6"/>
          <w:lang w:val="en-US" w:eastAsia="zh-CN"/>
        </w:rPr>
        <w:t>292.71</w:t>
      </w:r>
      <w:r>
        <w:rPr>
          <w:spacing w:val="-6"/>
        </w:rPr>
        <w:t>万元。与 2016</w:t>
      </w:r>
      <w:r>
        <w:rPr>
          <w:rFonts w:hint="eastAsia"/>
          <w:spacing w:val="-6"/>
        </w:rPr>
        <w:t>年相比，财政拨款支出增加</w:t>
      </w:r>
      <w:r>
        <w:rPr>
          <w:rFonts w:hint="eastAsia"/>
          <w:spacing w:val="-6"/>
          <w:lang w:val="en-US" w:eastAsia="zh-CN"/>
        </w:rPr>
        <w:t>79.93</w:t>
      </w:r>
      <w:r>
        <w:rPr>
          <w:spacing w:val="-6"/>
        </w:rPr>
        <w:t>万元，增</w:t>
      </w:r>
      <w:r>
        <w:rPr>
          <w:rFonts w:hint="eastAsia"/>
          <w:spacing w:val="-6"/>
        </w:rPr>
        <w:t>长</w:t>
      </w:r>
      <w:r>
        <w:rPr>
          <w:rFonts w:hint="eastAsia"/>
          <w:spacing w:val="-6"/>
          <w:lang w:val="en-US" w:eastAsia="zh-CN"/>
        </w:rPr>
        <w:t>37.56</w:t>
      </w:r>
      <w:r>
        <w:rPr>
          <w:spacing w:val="-6"/>
        </w:rPr>
        <w:t>%</w:t>
      </w:r>
      <w:r>
        <w:rPr>
          <w:rFonts w:hint="eastAsia"/>
          <w:spacing w:val="-6"/>
        </w:rPr>
        <w:t>。</w:t>
      </w:r>
      <w:r>
        <w:rPr>
          <w:spacing w:val="-6"/>
        </w:rPr>
        <w:t>主要原因一是</w:t>
      </w:r>
      <w:r>
        <w:rPr>
          <w:rFonts w:hint="eastAsia"/>
          <w:spacing w:val="-6"/>
          <w:lang w:eastAsia="zh-CN"/>
        </w:rPr>
        <w:t>群众文化活动开展较多</w:t>
      </w:r>
      <w:r>
        <w:rPr>
          <w:rFonts w:hint="eastAsia"/>
          <w:spacing w:val="-6"/>
        </w:rPr>
        <w:t>；二</w:t>
      </w:r>
      <w:r>
        <w:rPr>
          <w:spacing w:val="-6"/>
        </w:rPr>
        <w:t>是正常晋级晋档等工资调标，预算收</w:t>
      </w:r>
      <w:r>
        <w:rPr>
          <w:rFonts w:hint="eastAsia"/>
          <w:spacing w:val="-6"/>
        </w:rPr>
        <w:t>入和支出相应增加。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五、一般公共预算财政拨款支出决算情况说明</w:t>
      </w:r>
      <w:r>
        <w:rPr>
          <w:rFonts w:ascii="黑体" w:hAnsi="黑体" w:eastAsia="黑体"/>
          <w:lang w:val="en-US"/>
        </w:rPr>
        <w:t xml:space="preserve"> </w:t>
      </w:r>
    </w:p>
    <w:p>
      <w:pPr>
        <w:pStyle w:val="2"/>
        <w:spacing w:before="2" w:line="520" w:lineRule="exact"/>
        <w:ind w:right="270" w:firstLine="696" w:firstLineChars="225"/>
        <w:jc w:val="both"/>
        <w:rPr>
          <w:b/>
          <w:spacing w:val="-6"/>
        </w:rPr>
      </w:pPr>
      <w:r>
        <w:rPr>
          <w:rFonts w:hint="eastAsia"/>
          <w:b/>
          <w:spacing w:val="-6"/>
        </w:rPr>
        <w:t>（一）总体情况</w:t>
      </w:r>
    </w:p>
    <w:p>
      <w:pPr>
        <w:pStyle w:val="2"/>
        <w:spacing w:before="214" w:line="520" w:lineRule="exact"/>
        <w:ind w:right="113" w:firstLine="616" w:firstLineChars="200"/>
        <w:jc w:val="both"/>
        <w:rPr>
          <w:spacing w:val="-6"/>
        </w:rPr>
      </w:pPr>
      <w:r>
        <w:rPr>
          <w:spacing w:val="-6"/>
        </w:rPr>
        <w:t>2017年一般公共预算财政拨款支出</w:t>
      </w:r>
      <w:r>
        <w:rPr>
          <w:rFonts w:hint="eastAsia"/>
          <w:spacing w:val="-6"/>
          <w:lang w:val="en-US" w:eastAsia="zh-CN"/>
        </w:rPr>
        <w:t>292.71</w:t>
      </w:r>
      <w:r>
        <w:rPr>
          <w:spacing w:val="-6"/>
        </w:rPr>
        <w:t>万元，占支</w:t>
      </w:r>
      <w:r>
        <w:rPr>
          <w:rFonts w:hint="eastAsia"/>
          <w:spacing w:val="-6"/>
        </w:rPr>
        <w:t>出合计的</w:t>
      </w:r>
      <w:r>
        <w:rPr>
          <w:rFonts w:hint="eastAsia"/>
          <w:spacing w:val="-6"/>
          <w:lang w:val="en-US" w:eastAsia="zh-CN"/>
        </w:rPr>
        <w:t>100</w:t>
      </w:r>
      <w:r>
        <w:rPr>
          <w:spacing w:val="-6"/>
        </w:rPr>
        <w:t>%。与 2016 年相比，一般公共预算财政拨款支出</w:t>
      </w:r>
      <w:r>
        <w:rPr>
          <w:rFonts w:hint="eastAsia"/>
          <w:spacing w:val="-6"/>
        </w:rPr>
        <w:t>增加</w:t>
      </w:r>
      <w:r>
        <w:rPr>
          <w:spacing w:val="-6"/>
        </w:rPr>
        <w:t xml:space="preserve"> </w:t>
      </w:r>
      <w:r>
        <w:rPr>
          <w:rFonts w:hint="eastAsia"/>
          <w:spacing w:val="-6"/>
          <w:lang w:val="en-US" w:eastAsia="zh-CN"/>
        </w:rPr>
        <w:t>79.93</w:t>
      </w:r>
      <w:r>
        <w:rPr>
          <w:spacing w:val="-6"/>
        </w:rPr>
        <w:t>万元，增长</w:t>
      </w:r>
      <w:r>
        <w:rPr>
          <w:rFonts w:hint="eastAsia"/>
          <w:spacing w:val="-6"/>
          <w:lang w:val="en-US" w:eastAsia="zh-CN"/>
        </w:rPr>
        <w:t>37.56</w:t>
      </w:r>
      <w:r>
        <w:rPr>
          <w:spacing w:val="-6"/>
        </w:rPr>
        <w:t>%。主要原因一是</w:t>
      </w:r>
      <w:r>
        <w:rPr>
          <w:rFonts w:hint="eastAsia"/>
          <w:spacing w:val="-6"/>
          <w:lang w:eastAsia="zh-CN"/>
        </w:rPr>
        <w:t>群众文化活动开展较多</w:t>
      </w:r>
      <w:r>
        <w:rPr>
          <w:rFonts w:hint="eastAsia"/>
          <w:spacing w:val="-6"/>
        </w:rPr>
        <w:t>；二</w:t>
      </w:r>
      <w:r>
        <w:rPr>
          <w:spacing w:val="-6"/>
        </w:rPr>
        <w:t>是正常晋级晋档等工资调标，预算收</w:t>
      </w:r>
      <w:r>
        <w:rPr>
          <w:rFonts w:hint="eastAsia"/>
          <w:spacing w:val="-6"/>
        </w:rPr>
        <w:t>入和支出相应增加。</w:t>
      </w:r>
    </w:p>
    <w:p>
      <w:pPr>
        <w:pStyle w:val="2"/>
        <w:spacing w:before="2" w:line="520" w:lineRule="exact"/>
        <w:ind w:right="270" w:firstLine="693" w:firstLineChars="225"/>
        <w:jc w:val="both"/>
        <w:rPr>
          <w:spacing w:val="-6"/>
        </w:rPr>
      </w:pPr>
    </w:p>
    <w:p>
      <w:pPr>
        <w:pStyle w:val="2"/>
        <w:spacing w:before="2" w:line="520" w:lineRule="exact"/>
        <w:ind w:right="270" w:firstLine="696" w:firstLineChars="225"/>
        <w:jc w:val="both"/>
        <w:rPr>
          <w:b/>
          <w:spacing w:val="-6"/>
        </w:rPr>
      </w:pPr>
      <w:r>
        <w:rPr>
          <w:rFonts w:hint="eastAsia"/>
          <w:b/>
          <w:spacing w:val="-6"/>
        </w:rPr>
        <w:t>（二）结构情况</w:t>
      </w:r>
    </w:p>
    <w:p>
      <w:pPr>
        <w:pStyle w:val="2"/>
        <w:spacing w:before="2" w:line="520" w:lineRule="exact"/>
        <w:ind w:right="270" w:firstLine="693" w:firstLineChars="225"/>
        <w:jc w:val="both"/>
        <w:rPr>
          <w:spacing w:val="-6"/>
        </w:rPr>
      </w:pPr>
      <w:r>
        <w:rPr>
          <w:spacing w:val="-6"/>
        </w:rPr>
        <w:t>2017 年度一般公共预算财政拨款支出</w:t>
      </w:r>
      <w:r>
        <w:rPr>
          <w:rFonts w:hint="eastAsia"/>
          <w:spacing w:val="-6"/>
          <w:lang w:val="en-US" w:eastAsia="zh-CN"/>
        </w:rPr>
        <w:t>292.71</w:t>
      </w:r>
      <w:r>
        <w:rPr>
          <w:spacing w:val="-6"/>
        </w:rPr>
        <w:t>万元，主</w:t>
      </w:r>
      <w:r>
        <w:rPr>
          <w:rFonts w:hint="eastAsia"/>
          <w:spacing w:val="-6"/>
        </w:rPr>
        <w:t>要用于以下方面：</w:t>
      </w:r>
      <w:r>
        <w:rPr>
          <w:rFonts w:hint="eastAsia"/>
          <w:spacing w:val="-6"/>
          <w:lang w:eastAsia="zh-CN"/>
        </w:rPr>
        <w:t>一般公共支出</w:t>
      </w:r>
      <w:r>
        <w:rPr>
          <w:rFonts w:hint="eastAsia"/>
          <w:spacing w:val="-6"/>
          <w:lang w:val="en-US" w:eastAsia="zh-CN"/>
        </w:rPr>
        <w:t>265.29</w:t>
      </w:r>
      <w:r>
        <w:rPr>
          <w:spacing w:val="-6"/>
        </w:rPr>
        <w:t>万元，占</w:t>
      </w:r>
      <w:r>
        <w:rPr>
          <w:rFonts w:hint="eastAsia"/>
          <w:spacing w:val="-6"/>
          <w:lang w:val="en-US" w:eastAsia="zh-CN"/>
        </w:rPr>
        <w:t>90.6</w:t>
      </w:r>
      <w:r>
        <w:rPr>
          <w:spacing w:val="-6"/>
        </w:rPr>
        <w:t>%；</w:t>
      </w:r>
      <w:r>
        <w:rPr>
          <w:rFonts w:hint="eastAsia" w:ascii="仿宋_GB2312" w:hAnsi="仿宋_GB2312" w:eastAsia="仿宋_GB2312" w:cs="仿宋_GB2312"/>
          <w:color w:val="000000"/>
          <w:kern w:val="0"/>
          <w:sz w:val="32"/>
          <w:szCs w:val="32"/>
        </w:rPr>
        <w:t>社会保障和就业支出</w:t>
      </w:r>
      <w:r>
        <w:rPr>
          <w:rFonts w:hint="eastAsia" w:ascii="仿宋_GB2312" w:hAnsi="仿宋_GB2312" w:eastAsia="仿宋_GB2312" w:cs="仿宋_GB2312"/>
          <w:color w:val="000000"/>
          <w:kern w:val="0"/>
          <w:sz w:val="32"/>
          <w:szCs w:val="32"/>
          <w:lang w:val="en-US" w:eastAsia="zh-CN"/>
        </w:rPr>
        <w:t>19.84万元，占6.8%</w:t>
      </w:r>
      <w:r>
        <w:rPr>
          <w:rFonts w:hint="eastAsia" w:cs="仿宋_GB2312"/>
          <w:color w:val="000000"/>
          <w:kern w:val="0"/>
          <w:sz w:val="32"/>
          <w:szCs w:val="32"/>
          <w:lang w:val="en-US" w:eastAsia="zh-CN"/>
        </w:rPr>
        <w:t>；</w:t>
      </w:r>
      <w:r>
        <w:rPr>
          <w:rFonts w:hint="eastAsia" w:ascii="仿宋_GB2312" w:hAnsi="仿宋_GB2312" w:eastAsia="仿宋_GB2312" w:cs="仿宋_GB2312"/>
          <w:color w:val="000000"/>
          <w:kern w:val="0"/>
          <w:sz w:val="32"/>
          <w:szCs w:val="32"/>
        </w:rPr>
        <w:t>医疗卫生与计划生育支出</w:t>
      </w:r>
      <w:r>
        <w:rPr>
          <w:rFonts w:hint="eastAsia" w:ascii="仿宋_GB2312" w:hAnsi="仿宋_GB2312" w:eastAsia="仿宋_GB2312" w:cs="仿宋_GB2312"/>
          <w:color w:val="000000"/>
          <w:kern w:val="0"/>
          <w:sz w:val="32"/>
          <w:szCs w:val="32"/>
          <w:lang w:val="en-US" w:eastAsia="zh-CN"/>
        </w:rPr>
        <w:t>7.58万元，</w:t>
      </w:r>
      <w:r>
        <w:rPr>
          <w:spacing w:val="-6"/>
        </w:rPr>
        <w:t>占</w:t>
      </w:r>
      <w:r>
        <w:rPr>
          <w:rFonts w:hint="eastAsia"/>
          <w:spacing w:val="-6"/>
          <w:lang w:val="en-US" w:eastAsia="zh-CN"/>
        </w:rPr>
        <w:t>2.6</w:t>
      </w:r>
      <w:r>
        <w:rPr>
          <w:spacing w:val="-6"/>
        </w:rPr>
        <w:t>%</w:t>
      </w:r>
      <w:r>
        <w:rPr>
          <w:rFonts w:hint="eastAsia"/>
          <w:spacing w:val="-6"/>
        </w:rPr>
        <w:t>。</w:t>
      </w:r>
    </w:p>
    <w:p>
      <w:pPr>
        <w:pStyle w:val="2"/>
        <w:spacing w:before="2" w:line="520" w:lineRule="exact"/>
        <w:ind w:right="270" w:firstLine="696" w:firstLineChars="225"/>
        <w:jc w:val="both"/>
        <w:rPr>
          <w:b/>
          <w:spacing w:val="-6"/>
        </w:rPr>
      </w:pPr>
      <w:r>
        <w:rPr>
          <w:rFonts w:hint="eastAsia"/>
          <w:b/>
          <w:spacing w:val="-6"/>
        </w:rPr>
        <w:t>（三）具体情况</w:t>
      </w:r>
    </w:p>
    <w:p>
      <w:pPr>
        <w:pStyle w:val="2"/>
        <w:spacing w:before="2" w:line="520" w:lineRule="exact"/>
        <w:ind w:right="270" w:firstLine="693" w:firstLineChars="225"/>
        <w:jc w:val="both"/>
        <w:rPr>
          <w:spacing w:val="-6"/>
        </w:rPr>
      </w:pPr>
      <w:r>
        <w:rPr>
          <w:spacing w:val="-6"/>
        </w:rPr>
        <w:t>2017 年度一般公共预算财政拨款支出年初预算为</w:t>
      </w:r>
      <w:r>
        <w:rPr>
          <w:rFonts w:hint="eastAsia"/>
          <w:spacing w:val="-6"/>
          <w:lang w:val="en-US" w:eastAsia="zh-CN"/>
        </w:rPr>
        <w:t>292.71</w:t>
      </w:r>
      <w:r>
        <w:rPr>
          <w:rFonts w:hint="eastAsia"/>
          <w:spacing w:val="-6"/>
        </w:rPr>
        <w:t>万元，支出决算为</w:t>
      </w:r>
      <w:r>
        <w:rPr>
          <w:rFonts w:hint="eastAsia"/>
          <w:spacing w:val="-6"/>
          <w:lang w:val="en-US" w:eastAsia="zh-CN"/>
        </w:rPr>
        <w:t>292.71</w:t>
      </w:r>
      <w:r>
        <w:rPr>
          <w:spacing w:val="-6"/>
        </w:rPr>
        <w:t>万元，完成年初预算的</w:t>
      </w:r>
      <w:r>
        <w:rPr>
          <w:rFonts w:hint="eastAsia"/>
          <w:spacing w:val="-6"/>
          <w:lang w:val="en-US" w:eastAsia="zh-CN"/>
        </w:rPr>
        <w:t>100</w:t>
      </w:r>
      <w:r>
        <w:rPr>
          <w:spacing w:val="-6"/>
        </w:rPr>
        <w:t xml:space="preserve">%。 </w:t>
      </w:r>
    </w:p>
    <w:p>
      <w:pPr>
        <w:pStyle w:val="2"/>
        <w:numPr>
          <w:numId w:val="0"/>
        </w:numPr>
        <w:spacing w:before="2" w:line="520" w:lineRule="exact"/>
        <w:ind w:right="270" w:rightChars="0" w:firstLine="619" w:firstLineChars="200"/>
        <w:jc w:val="both"/>
        <w:rPr>
          <w:spacing w:val="-6"/>
        </w:rPr>
      </w:pPr>
      <w:r>
        <w:rPr>
          <w:rFonts w:hint="eastAsia"/>
          <w:b/>
          <w:spacing w:val="-6"/>
          <w:lang w:val="en-US" w:eastAsia="zh-CN"/>
        </w:rPr>
        <w:t>1.</w:t>
      </w:r>
      <w:r>
        <w:rPr>
          <w:b/>
          <w:spacing w:val="-6"/>
        </w:rPr>
        <w:t>一般公共服务（类）</w:t>
      </w:r>
      <w:r>
        <w:rPr>
          <w:rFonts w:hint="eastAsia"/>
          <w:b/>
          <w:spacing w:val="-6"/>
        </w:rPr>
        <w:t>发展和改革事物</w:t>
      </w:r>
      <w:r>
        <w:rPr>
          <w:b/>
          <w:spacing w:val="-6"/>
        </w:rPr>
        <w:t>（款）行政运行（项）</w:t>
      </w:r>
      <w:r>
        <w:rPr>
          <w:spacing w:val="-6"/>
        </w:rPr>
        <w:t>。</w:t>
      </w:r>
      <w:r>
        <w:rPr>
          <w:rFonts w:hint="eastAsia"/>
          <w:spacing w:val="-6"/>
        </w:rPr>
        <w:t>年初预算为</w:t>
      </w:r>
      <w:r>
        <w:rPr>
          <w:rFonts w:hint="eastAsia"/>
          <w:spacing w:val="-6"/>
          <w:lang w:val="en-US" w:eastAsia="zh-CN"/>
        </w:rPr>
        <w:t>265.29</w:t>
      </w:r>
      <w:r>
        <w:rPr>
          <w:spacing w:val="-6"/>
        </w:rPr>
        <w:t xml:space="preserve">万元，支出决算为 </w:t>
      </w:r>
      <w:r>
        <w:rPr>
          <w:rFonts w:hint="eastAsia"/>
          <w:spacing w:val="-6"/>
          <w:lang w:val="en-US" w:eastAsia="zh-CN"/>
        </w:rPr>
        <w:t>265.29</w:t>
      </w:r>
      <w:r>
        <w:rPr>
          <w:spacing w:val="-6"/>
        </w:rPr>
        <w:t>万元。</w:t>
      </w:r>
    </w:p>
    <w:p>
      <w:pPr>
        <w:pStyle w:val="2"/>
        <w:numPr>
          <w:numId w:val="0"/>
        </w:numPr>
        <w:spacing w:before="2" w:line="520" w:lineRule="exact"/>
        <w:ind w:right="270" w:rightChars="0" w:firstLine="619" w:firstLineChars="200"/>
        <w:jc w:val="both"/>
        <w:rPr>
          <w:spacing w:val="-6"/>
        </w:rPr>
      </w:pPr>
      <w:r>
        <w:rPr>
          <w:b/>
          <w:bCs/>
          <w:spacing w:val="-6"/>
        </w:rPr>
        <w:t>2</w:t>
      </w:r>
      <w:r>
        <w:rPr>
          <w:spacing w:val="-6"/>
        </w:rPr>
        <w:t>．</w:t>
      </w:r>
      <w:r>
        <w:rPr>
          <w:rFonts w:hint="eastAsia"/>
          <w:b/>
          <w:spacing w:val="-6"/>
        </w:rPr>
        <w:t>社会保障和就业支出</w:t>
      </w:r>
      <w:r>
        <w:rPr>
          <w:b/>
          <w:spacing w:val="-6"/>
        </w:rPr>
        <w:t>（类）</w:t>
      </w:r>
      <w:r>
        <w:rPr>
          <w:rFonts w:hint="eastAsia"/>
          <w:b/>
          <w:spacing w:val="-6"/>
        </w:rPr>
        <w:t>行政事业单位离退休</w:t>
      </w:r>
      <w:r>
        <w:rPr>
          <w:b/>
          <w:spacing w:val="-6"/>
        </w:rPr>
        <w:t>（款）</w:t>
      </w:r>
      <w:r>
        <w:rPr>
          <w:rFonts w:hint="eastAsia"/>
          <w:b/>
          <w:spacing w:val="-6"/>
        </w:rPr>
        <w:t>机关事业单位基本养老保险缴费支出（项）。</w:t>
      </w:r>
      <w:r>
        <w:rPr>
          <w:rFonts w:hint="eastAsia"/>
          <w:spacing w:val="-6"/>
        </w:rPr>
        <w:t>年初预算为</w:t>
      </w:r>
      <w:r>
        <w:rPr>
          <w:rFonts w:hint="eastAsia"/>
          <w:spacing w:val="-6"/>
          <w:lang w:val="en-US" w:eastAsia="zh-CN"/>
        </w:rPr>
        <w:t>19.84</w:t>
      </w:r>
      <w:r>
        <w:rPr>
          <w:spacing w:val="-6"/>
        </w:rPr>
        <w:t>元，支出决算为</w:t>
      </w:r>
      <w:r>
        <w:rPr>
          <w:rFonts w:hint="eastAsia"/>
          <w:spacing w:val="-6"/>
          <w:lang w:val="en-US" w:eastAsia="zh-CN"/>
        </w:rPr>
        <w:t>19.84</w:t>
      </w:r>
      <w:r>
        <w:rPr>
          <w:spacing w:val="-6"/>
        </w:rPr>
        <w:t>万元，完</w:t>
      </w:r>
      <w:r>
        <w:rPr>
          <w:rFonts w:hint="eastAsia"/>
          <w:spacing w:val="-6"/>
        </w:rPr>
        <w:t>成年初预算的</w:t>
      </w:r>
      <w:r>
        <w:rPr>
          <w:rFonts w:hint="eastAsia"/>
          <w:spacing w:val="-6"/>
          <w:lang w:val="en-US" w:eastAsia="zh-CN"/>
        </w:rPr>
        <w:t>100</w:t>
      </w:r>
      <w:r>
        <w:rPr>
          <w:spacing w:val="-6"/>
        </w:rPr>
        <w:t xml:space="preserve">%。 </w:t>
      </w:r>
    </w:p>
    <w:p>
      <w:pPr>
        <w:pStyle w:val="2"/>
        <w:spacing w:before="2" w:line="520" w:lineRule="exact"/>
        <w:ind w:right="270" w:firstLine="696" w:firstLineChars="225"/>
        <w:jc w:val="both"/>
        <w:rPr>
          <w:spacing w:val="-6"/>
        </w:rPr>
      </w:pPr>
      <w:r>
        <w:rPr>
          <w:b/>
          <w:bCs/>
          <w:spacing w:val="-6"/>
        </w:rPr>
        <w:t>3</w:t>
      </w:r>
      <w:r>
        <w:rPr>
          <w:spacing w:val="-6"/>
        </w:rPr>
        <w:t>．</w:t>
      </w:r>
      <w:r>
        <w:rPr>
          <w:rFonts w:hint="eastAsia"/>
          <w:b/>
          <w:spacing w:val="-6"/>
        </w:rPr>
        <w:t>医疗卫生与计划生育支出</w:t>
      </w:r>
      <w:r>
        <w:rPr>
          <w:b/>
          <w:spacing w:val="-6"/>
        </w:rPr>
        <w:t>（类）</w:t>
      </w:r>
      <w:r>
        <w:rPr>
          <w:rFonts w:hint="eastAsia"/>
          <w:b/>
          <w:spacing w:val="-6"/>
        </w:rPr>
        <w:t>行政事业单位医疗</w:t>
      </w:r>
      <w:r>
        <w:rPr>
          <w:b/>
          <w:spacing w:val="-6"/>
        </w:rPr>
        <w:t>（款）</w:t>
      </w:r>
      <w:r>
        <w:rPr>
          <w:rFonts w:hint="eastAsia"/>
          <w:b/>
          <w:spacing w:val="-6"/>
        </w:rPr>
        <w:t xml:space="preserve"> 行政单位医疗（项）。</w:t>
      </w:r>
      <w:r>
        <w:rPr>
          <w:rFonts w:hint="eastAsia"/>
          <w:spacing w:val="-6"/>
        </w:rPr>
        <w:t>年初预算为</w:t>
      </w:r>
      <w:r>
        <w:rPr>
          <w:rFonts w:hint="eastAsia"/>
          <w:spacing w:val="-6"/>
          <w:lang w:val="en-US" w:eastAsia="zh-CN"/>
        </w:rPr>
        <w:t>7.58</w:t>
      </w:r>
      <w:r>
        <w:rPr>
          <w:spacing w:val="-6"/>
        </w:rPr>
        <w:t>万元，支出决算为</w:t>
      </w:r>
      <w:r>
        <w:rPr>
          <w:rFonts w:hint="eastAsia"/>
          <w:spacing w:val="-6"/>
          <w:lang w:val="en-US" w:eastAsia="zh-CN"/>
        </w:rPr>
        <w:t>7.58</w:t>
      </w:r>
      <w:r>
        <w:rPr>
          <w:spacing w:val="-6"/>
        </w:rPr>
        <w:t>万元，完</w:t>
      </w:r>
      <w:r>
        <w:rPr>
          <w:rFonts w:hint="eastAsia"/>
          <w:spacing w:val="-6"/>
        </w:rPr>
        <w:t>成年初预算的</w:t>
      </w:r>
      <w:r>
        <w:rPr>
          <w:rFonts w:hint="eastAsia"/>
          <w:spacing w:val="-6"/>
          <w:lang w:val="en-US" w:eastAsia="zh-CN"/>
        </w:rPr>
        <w:t>100</w:t>
      </w:r>
      <w:r>
        <w:rPr>
          <w:spacing w:val="-6"/>
        </w:rPr>
        <w:t>%。</w:t>
      </w:r>
      <w:r>
        <w:rPr>
          <w:rFonts w:hint="eastAsia"/>
          <w:spacing w:val="-6"/>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六、一般公共预算财政拨款基本支出决算情况说明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2017年一般公共预算财政拨款基本支出</w:t>
      </w:r>
      <w:r>
        <w:rPr>
          <w:rFonts w:hint="eastAsia"/>
          <w:lang w:val="en-US" w:eastAsia="zh-CN"/>
        </w:rPr>
        <w:t>292.71</w:t>
      </w:r>
      <w:r>
        <w:rPr>
          <w:lang w:val="en-US"/>
        </w:rPr>
        <w:t>万元。</w:t>
      </w:r>
      <w:r>
        <w:rPr>
          <w:rFonts w:hint="eastAsia"/>
          <w:lang w:val="en-US"/>
        </w:rPr>
        <w:t>与</w:t>
      </w:r>
      <w:r>
        <w:rPr>
          <w:lang w:val="en-US"/>
        </w:rPr>
        <w:t xml:space="preserve"> 2016 年相比，增加</w:t>
      </w:r>
      <w:r>
        <w:rPr>
          <w:rFonts w:hint="eastAsia"/>
          <w:lang w:val="en-US" w:eastAsia="zh-CN"/>
        </w:rPr>
        <w:t>79.93</w:t>
      </w:r>
      <w:r>
        <w:rPr>
          <w:lang w:val="en-US"/>
        </w:rPr>
        <w:t>万元，增长</w:t>
      </w:r>
      <w:r>
        <w:rPr>
          <w:rFonts w:hint="eastAsia"/>
          <w:lang w:val="en-US" w:eastAsia="zh-CN"/>
        </w:rPr>
        <w:t>63.8</w:t>
      </w:r>
      <w:r>
        <w:rPr>
          <w:lang w:val="en-US"/>
        </w:rPr>
        <w:t>%。变动的主</w:t>
      </w:r>
      <w:r>
        <w:rPr>
          <w:rFonts w:hint="eastAsia"/>
          <w:lang w:val="en-US"/>
        </w:rPr>
        <w:t>要原因：</w:t>
      </w:r>
      <w:r>
        <w:rPr>
          <w:spacing w:val="-6"/>
        </w:rPr>
        <w:t>一是</w:t>
      </w:r>
      <w:r>
        <w:rPr>
          <w:rFonts w:hint="eastAsia"/>
          <w:spacing w:val="-6"/>
          <w:lang w:eastAsia="zh-CN"/>
        </w:rPr>
        <w:t>群众文化活动开展较多</w:t>
      </w:r>
      <w:r>
        <w:rPr>
          <w:rFonts w:hint="eastAsia"/>
          <w:spacing w:val="-6"/>
        </w:rPr>
        <w:t>；二</w:t>
      </w:r>
      <w:r>
        <w:rPr>
          <w:spacing w:val="-6"/>
        </w:rPr>
        <w:t>是</w:t>
      </w:r>
      <w:r>
        <w:rPr>
          <w:lang w:val="en-US"/>
        </w:rPr>
        <w:t>2017年落实正常增人增资、晋级晋档</w:t>
      </w:r>
      <w:r>
        <w:rPr>
          <w:rFonts w:hint="eastAsia"/>
          <w:lang w:val="en-US"/>
        </w:rPr>
        <w:t>；三是养老保险改革，单位和个人开始正常缴纳养老保险、职业年金。其中：人员经费</w:t>
      </w:r>
      <w:r>
        <w:rPr>
          <w:rFonts w:hint="eastAsia"/>
          <w:lang w:val="en-US" w:eastAsia="zh-CN"/>
        </w:rPr>
        <w:t>153.06</w:t>
      </w:r>
      <w:r>
        <w:rPr>
          <w:rFonts w:hint="eastAsia"/>
          <w:lang w:val="en-US"/>
        </w:rPr>
        <w:t>万元，主要包括：基本工资、津贴补贴、奖金、其他社保保障缴费、机关事业单位基本养老保险缴费、职业年金缴费、其他工资福利支出、离退休费、抚恤金、生活补助、医疗费、住房公积金、其他对个人和家庭的补助支出等；公用经费</w:t>
      </w:r>
      <w:r>
        <w:rPr>
          <w:rFonts w:hint="eastAsia"/>
          <w:lang w:val="en-US" w:eastAsia="zh-CN"/>
        </w:rPr>
        <w:t>139.65</w:t>
      </w:r>
      <w:r>
        <w:rPr>
          <w:lang w:val="en-US"/>
        </w:rPr>
        <w:t>万元，主要包括：</w:t>
      </w:r>
      <w:r>
        <w:rPr>
          <w:rFonts w:hint="eastAsia"/>
          <w:lang w:val="en-US"/>
        </w:rPr>
        <w:t>办公费、印刷费、咨询费、水费、电费、邮电费、物业管理费、差旅费、维修（护）费、租赁费、会议费、培训费、公务接待费、劳务费、工会经费、福利费、公务用车运行维护费、其他交通费用、其他商品服务支出、办公设备购置、专用设备购置等。</w:t>
      </w:r>
      <w:r>
        <w:rPr>
          <w:lang w:val="en-US"/>
        </w:rPr>
        <w:t xml:space="preserve"> </w:t>
      </w:r>
    </w:p>
    <w:p>
      <w:pPr>
        <w:pStyle w:val="2"/>
        <w:spacing w:before="2" w:line="520" w:lineRule="exact"/>
        <w:ind w:right="270" w:firstLine="630" w:firstLineChars="225"/>
        <w:jc w:val="both"/>
        <w:rPr>
          <w:lang w:val="en-US"/>
        </w:rPr>
      </w:pPr>
      <w:r>
        <w:rPr>
          <w:rFonts w:hint="eastAsia" w:ascii="黑体" w:hAnsi="黑体" w:eastAsia="黑体"/>
          <w:spacing w:val="-20"/>
          <w:lang w:val="en-US"/>
        </w:rPr>
        <w:t>七、一般公共预算财政拨款“三公”经费支出决算情况说明</w:t>
      </w:r>
      <w:r>
        <w:rPr>
          <w:lang w:val="en-US"/>
        </w:rPr>
        <w:t xml:space="preserve"> </w:t>
      </w:r>
    </w:p>
    <w:p>
      <w:pPr>
        <w:pStyle w:val="2"/>
        <w:spacing w:before="2" w:line="520" w:lineRule="exact"/>
        <w:ind w:right="270" w:firstLine="723" w:firstLineChars="225"/>
        <w:jc w:val="both"/>
        <w:rPr>
          <w:b/>
          <w:lang w:val="en-US"/>
        </w:rPr>
      </w:pPr>
      <w:r>
        <w:rPr>
          <w:rFonts w:hint="eastAsia"/>
          <w:b/>
          <w:lang w:val="en-US"/>
        </w:rPr>
        <w:t>（一）“三公”经费财政拨款支出决算总体情况说明。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年度“三公”经费财政拨款支出预算为</w:t>
      </w:r>
      <w:r>
        <w:rPr>
          <w:rFonts w:hint="eastAsia"/>
          <w:lang w:val="en-US" w:eastAsia="zh-CN"/>
        </w:rPr>
        <w:t>9.8</w:t>
      </w:r>
      <w:r>
        <w:rPr>
          <w:lang w:val="en-US"/>
        </w:rPr>
        <w:t>万元</w:t>
      </w:r>
      <w:r>
        <w:rPr>
          <w:rFonts w:hint="eastAsia"/>
          <w:lang w:val="en-US"/>
        </w:rPr>
        <w:t>，支出决算为</w:t>
      </w:r>
      <w:r>
        <w:rPr>
          <w:rFonts w:hint="eastAsia"/>
          <w:lang w:val="en-US" w:eastAsia="zh-CN"/>
        </w:rPr>
        <w:t>8.9</w:t>
      </w:r>
      <w:r>
        <w:rPr>
          <w:lang w:val="en-US"/>
        </w:rPr>
        <w:t>万元，完成预算的</w:t>
      </w:r>
      <w:r>
        <w:rPr>
          <w:rFonts w:hint="eastAsia"/>
          <w:lang w:val="en-US" w:eastAsia="zh-CN"/>
        </w:rPr>
        <w:t>90.8%</w:t>
      </w:r>
      <w:r>
        <w:rPr>
          <w:lang w:val="en-US"/>
        </w:rPr>
        <w:t>。2017 年度“三</w:t>
      </w:r>
      <w:r>
        <w:rPr>
          <w:rFonts w:hint="eastAsia"/>
          <w:lang w:val="en-US"/>
        </w:rPr>
        <w:t>公”经费支出决算数与预算数存在差异的主要原因是</w:t>
      </w:r>
      <w:r>
        <w:rPr>
          <w:rFonts w:hint="eastAsia"/>
          <w:lang w:val="en-US" w:eastAsia="zh-CN"/>
        </w:rPr>
        <w:t>西华县委宣传部</w:t>
      </w:r>
      <w:r>
        <w:rPr>
          <w:rFonts w:hint="eastAsia"/>
          <w:lang w:val="en-US"/>
        </w:rPr>
        <w:t>认真贯彻落实中央八项规定精神，坚持厉行节约，进一步规范公务接待，强化公务用车管理，严格控制“三公”经费支出。</w:t>
      </w:r>
      <w:r>
        <w:rPr>
          <w:lang w:val="en-US"/>
        </w:rPr>
        <w:t xml:space="preserve"> </w:t>
      </w:r>
    </w:p>
    <w:p>
      <w:pPr>
        <w:pStyle w:val="2"/>
        <w:spacing w:before="2" w:line="520" w:lineRule="exact"/>
        <w:ind w:right="270" w:firstLine="723" w:firstLineChars="225"/>
        <w:jc w:val="both"/>
        <w:rPr>
          <w:b/>
          <w:lang w:val="en-US"/>
        </w:rPr>
      </w:pPr>
      <w:r>
        <w:rPr>
          <w:rFonts w:hint="eastAsia"/>
          <w:b/>
          <w:lang w:val="en-US"/>
        </w:rPr>
        <w:t>（二）“三公”经费财政拨款支出决算具体情况说明。</w:t>
      </w:r>
      <w:r>
        <w:rPr>
          <w:b/>
          <w:lang w:val="en-US"/>
        </w:rPr>
        <w:t xml:space="preserve"> </w:t>
      </w:r>
    </w:p>
    <w:p>
      <w:pPr>
        <w:pStyle w:val="2"/>
        <w:spacing w:before="2" w:line="520" w:lineRule="exact"/>
        <w:ind w:right="270" w:firstLine="720" w:firstLineChars="225"/>
        <w:jc w:val="both"/>
        <w:rPr>
          <w:lang w:val="en-US"/>
        </w:rPr>
      </w:pPr>
      <w:r>
        <w:rPr>
          <w:lang w:val="en-US"/>
        </w:rPr>
        <w:t>2017 年度“三公”经费财政拨款支出决算中，因公出国（境）</w:t>
      </w:r>
      <w:r>
        <w:rPr>
          <w:rFonts w:hint="eastAsia"/>
          <w:lang w:val="en-US"/>
        </w:rPr>
        <w:t>费支出决算</w:t>
      </w:r>
      <w:r>
        <w:rPr>
          <w:rFonts w:hint="eastAsia"/>
          <w:lang w:val="en-US" w:eastAsia="zh-CN"/>
        </w:rPr>
        <w:t>0</w:t>
      </w:r>
      <w:r>
        <w:rPr>
          <w:lang w:val="en-US"/>
        </w:rPr>
        <w:t>万元，占</w:t>
      </w:r>
      <w:r>
        <w:rPr>
          <w:rFonts w:hint="eastAsia"/>
          <w:lang w:val="en-US" w:eastAsia="zh-CN"/>
        </w:rPr>
        <w:t>0</w:t>
      </w:r>
      <w:r>
        <w:rPr>
          <w:lang w:val="en-US"/>
        </w:rPr>
        <w:t xml:space="preserve">%，完成预算的 </w:t>
      </w:r>
      <w:r>
        <w:rPr>
          <w:rFonts w:hint="eastAsia"/>
          <w:lang w:val="en-US" w:eastAsia="zh-CN"/>
        </w:rPr>
        <w:t>0</w:t>
      </w:r>
      <w:r>
        <w:rPr>
          <w:lang w:val="en-US"/>
        </w:rPr>
        <w:t>%；公务</w:t>
      </w:r>
      <w:r>
        <w:rPr>
          <w:rFonts w:hint="eastAsia"/>
          <w:lang w:val="en-US"/>
        </w:rPr>
        <w:t>用车购置及运行费支出决算</w:t>
      </w:r>
      <w:r>
        <w:rPr>
          <w:rFonts w:hint="eastAsia"/>
          <w:lang w:val="en-US" w:eastAsia="zh-CN"/>
        </w:rPr>
        <w:t>4.2</w:t>
      </w:r>
      <w:r>
        <w:rPr>
          <w:lang w:val="en-US"/>
        </w:rPr>
        <w:t xml:space="preserve">万元，占 </w:t>
      </w:r>
      <w:r>
        <w:rPr>
          <w:rFonts w:hint="eastAsia"/>
          <w:lang w:val="en-US" w:eastAsia="zh-CN"/>
        </w:rPr>
        <w:t>47.2</w:t>
      </w:r>
      <w:r>
        <w:rPr>
          <w:lang w:val="en-US"/>
        </w:rPr>
        <w:t>%，完成预算</w:t>
      </w:r>
      <w:r>
        <w:rPr>
          <w:rFonts w:hint="eastAsia"/>
          <w:lang w:val="en-US"/>
        </w:rPr>
        <w:t>的</w:t>
      </w:r>
      <w:r>
        <w:rPr>
          <w:lang w:val="en-US"/>
        </w:rPr>
        <w:t xml:space="preserve"> </w:t>
      </w:r>
      <w:r>
        <w:rPr>
          <w:rFonts w:hint="eastAsia"/>
          <w:lang w:val="en-US" w:eastAsia="zh-CN"/>
        </w:rPr>
        <w:t>84</w:t>
      </w:r>
      <w:r>
        <w:rPr>
          <w:lang w:val="en-US"/>
        </w:rPr>
        <w:t>%；公务接待费支出决算</w:t>
      </w:r>
      <w:r>
        <w:rPr>
          <w:rFonts w:hint="eastAsia"/>
          <w:lang w:val="en-US" w:eastAsia="zh-CN"/>
        </w:rPr>
        <w:t>4.7</w:t>
      </w:r>
      <w:r>
        <w:rPr>
          <w:lang w:val="en-US"/>
        </w:rPr>
        <w:t xml:space="preserve">万元，占 </w:t>
      </w:r>
      <w:r>
        <w:rPr>
          <w:rFonts w:hint="eastAsia"/>
          <w:lang w:val="en-US" w:eastAsia="zh-CN"/>
        </w:rPr>
        <w:t>52.8</w:t>
      </w:r>
      <w:r>
        <w:rPr>
          <w:lang w:val="en-US"/>
        </w:rPr>
        <w:t>%，完成</w:t>
      </w:r>
      <w:r>
        <w:rPr>
          <w:rFonts w:hint="eastAsia"/>
          <w:lang w:val="en-US"/>
        </w:rPr>
        <w:t>预算的</w:t>
      </w:r>
      <w:r>
        <w:rPr>
          <w:rFonts w:hint="eastAsia"/>
          <w:lang w:val="en-US" w:eastAsia="zh-CN"/>
        </w:rPr>
        <w:t>97.9</w:t>
      </w:r>
      <w:r>
        <w:rPr>
          <w:lang w:val="en-US"/>
        </w:rPr>
        <w:t xml:space="preserve">%。具体情况如下： </w:t>
      </w:r>
    </w:p>
    <w:p>
      <w:pPr>
        <w:pStyle w:val="2"/>
        <w:spacing w:before="2" w:line="520" w:lineRule="exact"/>
        <w:ind w:right="270" w:firstLine="723" w:firstLineChars="225"/>
        <w:jc w:val="both"/>
        <w:rPr>
          <w:lang w:val="en-US"/>
        </w:rPr>
      </w:pPr>
      <w:r>
        <w:rPr>
          <w:b/>
          <w:bCs/>
          <w:lang w:val="en-US"/>
        </w:rPr>
        <w:t>1</w:t>
      </w:r>
      <w:r>
        <w:rPr>
          <w:lang w:val="en-US"/>
        </w:rPr>
        <w:t>.</w:t>
      </w:r>
      <w:r>
        <w:rPr>
          <w:b/>
          <w:lang w:val="en-US"/>
        </w:rPr>
        <w:t>因公出国（境）费</w:t>
      </w:r>
      <w:r>
        <w:rPr>
          <w:lang w:val="en-US"/>
        </w:rPr>
        <w:t>支出</w:t>
      </w:r>
      <w:r>
        <w:rPr>
          <w:rFonts w:hint="eastAsia"/>
          <w:lang w:val="en-US" w:eastAsia="zh-CN"/>
        </w:rPr>
        <w:t>0</w:t>
      </w:r>
      <w:r>
        <w:rPr>
          <w:lang w:val="en-US"/>
        </w:rPr>
        <w:t>万元。</w:t>
      </w:r>
      <w:r>
        <w:rPr>
          <w:rFonts w:hint="eastAsia"/>
          <w:lang w:val="en-US" w:eastAsia="zh-CN"/>
        </w:rPr>
        <w:t>西华县委宣传部无因公出国（镜）工作情况</w:t>
      </w:r>
      <w:r>
        <w:rPr>
          <w:rFonts w:hint="eastAsia"/>
          <w:lang w:val="en-US"/>
        </w:rPr>
        <w:t>。</w:t>
      </w:r>
      <w:r>
        <w:rPr>
          <w:lang w:val="en-US"/>
        </w:rPr>
        <w:t xml:space="preserve"> </w:t>
      </w:r>
    </w:p>
    <w:p>
      <w:pPr>
        <w:pStyle w:val="2"/>
        <w:spacing w:before="2" w:line="520" w:lineRule="exact"/>
        <w:ind w:right="270" w:firstLine="723" w:firstLineChars="225"/>
        <w:jc w:val="both"/>
        <w:rPr>
          <w:lang w:val="en-US"/>
        </w:rPr>
      </w:pPr>
      <w:r>
        <w:rPr>
          <w:b/>
          <w:bCs/>
          <w:lang w:val="en-US"/>
        </w:rPr>
        <w:t>2</w:t>
      </w:r>
      <w:r>
        <w:rPr>
          <w:lang w:val="en-US"/>
        </w:rPr>
        <w:t>.</w:t>
      </w:r>
      <w:r>
        <w:rPr>
          <w:b/>
          <w:lang w:val="en-US"/>
        </w:rPr>
        <w:t>公务用车购置及运行费</w:t>
      </w:r>
      <w:r>
        <w:rPr>
          <w:rFonts w:hint="eastAsia"/>
          <w:lang w:val="en-US" w:eastAsia="zh-CN"/>
        </w:rPr>
        <w:t>4.2</w:t>
      </w:r>
      <w:r>
        <w:rPr>
          <w:lang w:val="en-US"/>
        </w:rPr>
        <w:t>万元。其中</w:t>
      </w:r>
      <w:r>
        <w:rPr>
          <w:rFonts w:hint="eastAsia"/>
          <w:lang w:val="en-US"/>
        </w:rPr>
        <w:t>：公务用车购置支出为</w:t>
      </w:r>
      <w:r>
        <w:rPr>
          <w:lang w:val="en-US"/>
        </w:rPr>
        <w:t xml:space="preserve"> 0.00 万元</w:t>
      </w:r>
      <w:r>
        <w:rPr>
          <w:rFonts w:hint="eastAsia"/>
          <w:lang w:val="en-US"/>
        </w:rPr>
        <w:t>。公务用车运行支出</w:t>
      </w:r>
      <w:r>
        <w:rPr>
          <w:rFonts w:hint="eastAsia"/>
          <w:lang w:val="en-US" w:eastAsia="zh-CN"/>
        </w:rPr>
        <w:t>4.2</w:t>
      </w:r>
      <w:r>
        <w:rPr>
          <w:lang w:val="en-US"/>
        </w:rPr>
        <w:t>万元。主要用于</w:t>
      </w:r>
      <w:r>
        <w:rPr>
          <w:rFonts w:hint="eastAsia" w:ascii="仿宋_GB2312" w:hAnsi="仿宋_GB2312" w:eastAsia="仿宋_GB2312" w:cs="仿宋_GB2312"/>
          <w:sz w:val="32"/>
          <w:szCs w:val="32"/>
          <w:lang w:eastAsia="zh-CN"/>
        </w:rPr>
        <w:t>日常办公、公务出差、工作检查、配合来我县的媒体开展采访</w:t>
      </w:r>
      <w:r>
        <w:rPr>
          <w:rFonts w:hint="eastAsia" w:ascii="仿宋_GB2312" w:hAnsi="仿宋_GB2312" w:eastAsia="仿宋_GB2312" w:cs="仿宋_GB2312"/>
          <w:sz w:val="32"/>
          <w:szCs w:val="32"/>
        </w:rPr>
        <w:t>等</w:t>
      </w:r>
      <w:r>
        <w:rPr>
          <w:rFonts w:hint="eastAsia"/>
          <w:lang w:val="en-US"/>
        </w:rPr>
        <w:t>所需的车辆燃料费、维修费、过桥过路费、保险费等支出。</w:t>
      </w:r>
      <w:r>
        <w:rPr>
          <w:lang w:val="en-US"/>
        </w:rPr>
        <w:t>2017 年期末，</w:t>
      </w:r>
      <w:r>
        <w:rPr>
          <w:rFonts w:hint="eastAsia"/>
          <w:lang w:val="en-US" w:eastAsia="zh-CN"/>
        </w:rPr>
        <w:t>西华县委宣传部</w:t>
      </w:r>
      <w:r>
        <w:rPr>
          <w:rFonts w:hint="eastAsia"/>
          <w:lang w:val="en-US"/>
        </w:rPr>
        <w:t>公务用车保有量为</w:t>
      </w:r>
      <w:r>
        <w:rPr>
          <w:lang w:val="en-US"/>
        </w:rPr>
        <w:t xml:space="preserve"> </w:t>
      </w:r>
      <w:r>
        <w:rPr>
          <w:rFonts w:hint="eastAsia"/>
          <w:lang w:val="en-US"/>
        </w:rPr>
        <w:t>1</w:t>
      </w:r>
      <w:r>
        <w:rPr>
          <w:lang w:val="en-US"/>
        </w:rPr>
        <w:t xml:space="preserve"> 辆。</w:t>
      </w:r>
      <w:r>
        <w:rPr>
          <w:rFonts w:hint="eastAsia"/>
          <w:lang w:val="en-US"/>
        </w:rPr>
        <w:t>公务用车购置运行费支出决算比</w:t>
      </w:r>
      <w:r>
        <w:rPr>
          <w:lang w:val="en-US"/>
        </w:rPr>
        <w:t xml:space="preserve"> 2016 年度</w:t>
      </w:r>
      <w:r>
        <w:rPr>
          <w:rFonts w:hint="eastAsia"/>
          <w:lang w:val="en-US"/>
        </w:rPr>
        <w:t>增加</w:t>
      </w:r>
      <w:r>
        <w:rPr>
          <w:rFonts w:hint="eastAsia"/>
          <w:lang w:val="en-US" w:eastAsia="zh-CN"/>
        </w:rPr>
        <w:t>0.83</w:t>
      </w:r>
      <w:r>
        <w:rPr>
          <w:lang w:val="en-US"/>
        </w:rPr>
        <w:t>万元</w:t>
      </w:r>
      <w:r>
        <w:rPr>
          <w:rFonts w:hint="eastAsia"/>
          <w:lang w:val="en-US"/>
        </w:rPr>
        <w:t>，上升</w:t>
      </w:r>
      <w:r>
        <w:rPr>
          <w:rFonts w:hint="eastAsia"/>
          <w:lang w:val="en-US" w:eastAsia="zh-CN"/>
        </w:rPr>
        <w:t>24.6</w:t>
      </w:r>
      <w:r>
        <w:rPr>
          <w:lang w:val="en-US"/>
        </w:rPr>
        <w:t>%，主要原因是</w:t>
      </w:r>
      <w:r>
        <w:rPr>
          <w:rFonts w:hint="eastAsia"/>
          <w:lang w:val="en-US"/>
        </w:rPr>
        <w:t>由于业务量增大，</w:t>
      </w:r>
      <w:r>
        <w:rPr>
          <w:rFonts w:hint="eastAsia"/>
          <w:lang w:val="en-US" w:eastAsia="zh-CN"/>
        </w:rPr>
        <w:t>各级媒体来西华宣传、报道、采风较多，</w:t>
      </w:r>
      <w:r>
        <w:rPr>
          <w:rFonts w:hint="eastAsia"/>
          <w:lang w:val="en-US"/>
        </w:rPr>
        <w:t>造成车辆运行维护费增高。</w:t>
      </w:r>
    </w:p>
    <w:p>
      <w:pPr>
        <w:pStyle w:val="2"/>
        <w:spacing w:before="2" w:line="520" w:lineRule="exact"/>
        <w:ind w:right="270" w:firstLine="723" w:firstLineChars="225"/>
        <w:jc w:val="both"/>
        <w:rPr>
          <w:lang w:val="en-US"/>
        </w:rPr>
      </w:pPr>
      <w:r>
        <w:rPr>
          <w:b/>
          <w:bCs/>
          <w:lang w:val="en-US"/>
        </w:rPr>
        <w:t>3</w:t>
      </w:r>
      <w:r>
        <w:rPr>
          <w:lang w:val="en-US"/>
        </w:rPr>
        <w:t>.</w:t>
      </w:r>
      <w:r>
        <w:rPr>
          <w:b/>
          <w:lang w:val="en-US"/>
        </w:rPr>
        <w:t>公务接待费</w:t>
      </w:r>
      <w:r>
        <w:rPr>
          <w:rFonts w:hint="eastAsia"/>
          <w:lang w:val="en-US" w:eastAsia="zh-CN"/>
        </w:rPr>
        <w:t>4.7</w:t>
      </w:r>
      <w:r>
        <w:rPr>
          <w:lang w:val="en-US"/>
        </w:rPr>
        <w:t>万元</w:t>
      </w:r>
      <w:r>
        <w:rPr>
          <w:rFonts w:hint="eastAsia"/>
          <w:lang w:val="en-US" w:eastAsia="zh-CN"/>
        </w:rPr>
        <w:t>。2017年县委宣传部公务接待支出4.7万元，其中包含2016年度预算2万元。</w:t>
      </w:r>
      <w:r>
        <w:rPr>
          <w:rFonts w:hint="eastAsia" w:ascii="仿宋_GB2312" w:hAnsi="仿宋_GB2312" w:eastAsia="仿宋_GB2312" w:cs="仿宋_GB2312"/>
          <w:sz w:val="32"/>
          <w:szCs w:val="32"/>
        </w:rPr>
        <w:t>主要</w:t>
      </w:r>
      <w:r>
        <w:rPr>
          <w:rFonts w:hint="eastAsia" w:ascii="仿宋_GB2312" w:hAnsi="仿宋_GB2312" w:eastAsia="仿宋_GB2312" w:cs="仿宋_GB2312"/>
          <w:color w:val="000000"/>
          <w:sz w:val="32"/>
          <w:szCs w:val="32"/>
          <w:shd w:val="clear" w:color="auto" w:fill="FFFFFF"/>
        </w:rPr>
        <w:t>用于</w:t>
      </w:r>
      <w:r>
        <w:rPr>
          <w:rFonts w:hint="eastAsia" w:ascii="仿宋_GB2312" w:hAnsi="仿宋_GB2312" w:eastAsia="仿宋_GB2312" w:cs="仿宋_GB2312"/>
          <w:color w:val="000000"/>
          <w:sz w:val="32"/>
          <w:szCs w:val="32"/>
          <w:shd w:val="clear" w:color="auto" w:fill="FFFFFF"/>
          <w:lang w:eastAsia="zh-CN"/>
        </w:rPr>
        <w:t>外地</w:t>
      </w:r>
      <w:r>
        <w:rPr>
          <w:rFonts w:hint="eastAsia" w:ascii="仿宋_GB2312" w:hAnsi="仿宋_GB2312" w:eastAsia="仿宋_GB2312" w:cs="仿宋_GB2312"/>
          <w:color w:val="000000"/>
          <w:sz w:val="32"/>
          <w:szCs w:val="32"/>
          <w:shd w:val="clear" w:color="auto" w:fill="FFFFFF"/>
        </w:rPr>
        <w:t>媒体记者到西华</w:t>
      </w:r>
      <w:r>
        <w:rPr>
          <w:rFonts w:hint="eastAsia" w:ascii="仿宋_GB2312" w:hAnsi="仿宋_GB2312" w:eastAsia="仿宋_GB2312" w:cs="仿宋_GB2312"/>
          <w:color w:val="000000"/>
          <w:sz w:val="32"/>
          <w:szCs w:val="32"/>
          <w:shd w:val="clear" w:color="auto" w:fill="FFFFFF"/>
          <w:lang w:eastAsia="zh-CN"/>
        </w:rPr>
        <w:t>开展拍摄、</w:t>
      </w:r>
      <w:r>
        <w:rPr>
          <w:rFonts w:hint="eastAsia" w:ascii="仿宋_GB2312" w:hAnsi="仿宋_GB2312" w:eastAsia="仿宋_GB2312" w:cs="仿宋_GB2312"/>
          <w:color w:val="000000"/>
          <w:sz w:val="32"/>
          <w:szCs w:val="32"/>
          <w:shd w:val="clear" w:color="auto" w:fill="FFFFFF"/>
        </w:rPr>
        <w:t>采访、调研等工作期间产生的公务接待支出</w:t>
      </w:r>
      <w:r>
        <w:rPr>
          <w:rFonts w:hint="eastAsia"/>
          <w:lang w:val="en-US"/>
        </w:rPr>
        <w:t>。</w:t>
      </w:r>
      <w:r>
        <w:rPr>
          <w:lang w:val="en-US"/>
        </w:rPr>
        <w:t xml:space="preserve"> </w:t>
      </w:r>
    </w:p>
    <w:p>
      <w:pPr>
        <w:pStyle w:val="2"/>
        <w:spacing w:before="2" w:line="520" w:lineRule="exact"/>
        <w:ind w:right="270" w:firstLine="720" w:firstLineChars="225"/>
        <w:jc w:val="both"/>
        <w:rPr>
          <w:rFonts w:ascii="黑体" w:hAnsi="黑体" w:eastAsia="黑体"/>
          <w:color w:val="auto"/>
          <w:lang w:val="en-US"/>
        </w:rPr>
      </w:pPr>
      <w:r>
        <w:rPr>
          <w:rFonts w:hint="eastAsia" w:ascii="黑体" w:hAnsi="黑体" w:eastAsia="黑体"/>
          <w:color w:val="auto"/>
          <w:lang w:val="en-US"/>
        </w:rPr>
        <w:t>八、</w:t>
      </w:r>
      <w:r>
        <w:rPr>
          <w:rFonts w:hint="eastAsia" w:ascii="黑体" w:hAnsi="黑体" w:eastAsia="黑体"/>
          <w:color w:val="auto"/>
          <w:lang w:val="en-US" w:eastAsia="zh-CN"/>
        </w:rPr>
        <w:t>重点绩效评价结果等</w:t>
      </w:r>
      <w:r>
        <w:rPr>
          <w:rFonts w:hint="eastAsia" w:ascii="黑体" w:hAnsi="黑体" w:eastAsia="黑体"/>
          <w:color w:val="auto"/>
          <w:lang w:val="en-US"/>
        </w:rPr>
        <w:t>预算绩效情况说明</w:t>
      </w:r>
      <w:r>
        <w:rPr>
          <w:rFonts w:ascii="黑体" w:hAnsi="黑体" w:eastAsia="黑体"/>
          <w:color w:val="auto"/>
          <w:lang w:val="en-US"/>
        </w:rPr>
        <w:t xml:space="preserve"> </w:t>
      </w:r>
    </w:p>
    <w:p>
      <w:pPr>
        <w:pStyle w:val="2"/>
        <w:spacing w:before="2" w:line="520" w:lineRule="exact"/>
        <w:ind w:right="270" w:firstLine="720" w:firstLineChars="225"/>
        <w:jc w:val="both"/>
        <w:rPr>
          <w:rFonts w:ascii="黑体" w:hAnsi="黑体" w:eastAsia="黑体"/>
          <w:color w:val="FF0000"/>
          <w:lang w:val="en-US"/>
        </w:rPr>
      </w:pPr>
      <w:r>
        <w:rPr>
          <w:rFonts w:hint="eastAsia"/>
          <w:lang w:val="en-US" w:eastAsia="zh-CN"/>
        </w:rPr>
        <w:t>2017年度，本单位没有民生项目和重点支出项目，所以未开展预算绩效评价。</w:t>
      </w:r>
      <w:r>
        <w:rPr>
          <w:rFonts w:ascii="黑体" w:hAnsi="黑体" w:eastAsia="黑体"/>
          <w:color w:val="FF0000"/>
          <w:lang w:val="en-US"/>
        </w:rPr>
        <w:t xml:space="preserve"> </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九、政府性基金预算财政拨款支出决算情况说明</w:t>
      </w:r>
      <w:r>
        <w:rPr>
          <w:rFonts w:ascii="黑体" w:hAnsi="黑体" w:eastAsia="黑体"/>
          <w:lang w:val="en-US"/>
        </w:rPr>
        <w:t xml:space="preserve"> </w:t>
      </w:r>
    </w:p>
    <w:p>
      <w:pPr>
        <w:pStyle w:val="2"/>
        <w:numPr>
          <w:ilvl w:val="0"/>
          <w:numId w:val="0"/>
        </w:numPr>
        <w:spacing w:before="2" w:line="520" w:lineRule="exact"/>
        <w:ind w:right="270" w:rightChars="0" w:firstLine="640" w:firstLineChars="200"/>
        <w:jc w:val="both"/>
        <w:rPr>
          <w:rFonts w:hint="eastAsia" w:ascii="仿宋_GB2312" w:hAnsi="仿宋_GB2312" w:eastAsia="仿宋_GB2312" w:cs="仿宋_GB2312"/>
          <w:lang w:val="en-US"/>
        </w:rPr>
      </w:pPr>
      <w:r>
        <w:rPr>
          <w:rFonts w:hint="eastAsia" w:ascii="仿宋_GB2312" w:hAnsi="仿宋_GB2312" w:eastAsia="仿宋_GB2312" w:cs="仿宋_GB2312"/>
          <w:lang w:val="en-US" w:eastAsia="zh-CN"/>
        </w:rPr>
        <w:t>2017年度，</w:t>
      </w:r>
      <w:r>
        <w:rPr>
          <w:rFonts w:hint="eastAsia" w:ascii="仿宋_GB2312" w:hAnsi="仿宋_GB2312" w:eastAsia="仿宋_GB2312" w:cs="仿宋_GB2312"/>
          <w:sz w:val="32"/>
          <w:szCs w:val="32"/>
          <w:lang w:eastAsia="zh-CN"/>
        </w:rPr>
        <w:t>本单位</w:t>
      </w:r>
      <w:r>
        <w:rPr>
          <w:rFonts w:hint="eastAsia" w:ascii="仿宋_GB2312" w:hAnsi="仿宋_GB2312" w:eastAsia="仿宋_GB2312" w:cs="仿宋_GB2312"/>
          <w:sz w:val="32"/>
          <w:szCs w:val="32"/>
        </w:rPr>
        <w:t>没有政府性基金收入，也没有使用政府性基金安排的支出</w:t>
      </w:r>
      <w:r>
        <w:rPr>
          <w:rFonts w:hint="eastAsia" w:ascii="仿宋_GB2312" w:hAnsi="仿宋_GB2312" w:eastAsia="仿宋_GB2312" w:cs="仿宋_GB2312"/>
          <w:sz w:val="32"/>
          <w:szCs w:val="32"/>
          <w:lang w:eastAsia="zh-CN"/>
        </w:rPr>
        <w:t>。</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十、机关运行经费支出情况说明</w:t>
      </w:r>
      <w:r>
        <w:rPr>
          <w:rFonts w:ascii="黑体" w:hAnsi="黑体" w:eastAsia="黑体"/>
          <w:lang w:val="en-US"/>
        </w:rPr>
        <w:t xml:space="preserve"> </w:t>
      </w:r>
    </w:p>
    <w:p>
      <w:pPr>
        <w:ind w:firstLine="640" w:firstLineChars="200"/>
        <w:jc w:val="both"/>
        <w:rPr>
          <w:rFonts w:hint="eastAsia" w:ascii="仿宋_GB2312" w:hAnsi="仿宋_GB2312" w:eastAsia="仿宋_GB2312" w:cs="仿宋_GB2312"/>
          <w:sz w:val="32"/>
          <w:szCs w:val="32"/>
          <w:lang w:val="en-US" w:eastAsia="zh-CN" w:bidi="zh-CN"/>
        </w:rPr>
      </w:pPr>
      <w:r>
        <w:rPr>
          <w:rFonts w:hint="eastAsia" w:ascii="仿宋_GB2312" w:hAnsi="仿宋_GB2312" w:eastAsia="仿宋_GB2312" w:cs="仿宋_GB2312"/>
          <w:sz w:val="32"/>
          <w:szCs w:val="32"/>
          <w:lang w:val="en-US"/>
        </w:rPr>
        <w:t>2017年度机关运行经费支出</w:t>
      </w:r>
      <w:r>
        <w:rPr>
          <w:rFonts w:hint="eastAsia" w:ascii="仿宋_GB2312" w:hAnsi="仿宋_GB2312" w:eastAsia="仿宋_GB2312" w:cs="仿宋_GB2312"/>
          <w:sz w:val="32"/>
          <w:szCs w:val="32"/>
          <w:lang w:val="en-US" w:eastAsia="zh-CN"/>
        </w:rPr>
        <w:t>139.66</w:t>
      </w:r>
      <w:r>
        <w:rPr>
          <w:rFonts w:hint="eastAsia" w:ascii="仿宋_GB2312" w:hAnsi="仿宋_GB2312" w:eastAsia="仿宋_GB2312" w:cs="仿宋_GB2312"/>
          <w:sz w:val="32"/>
          <w:szCs w:val="32"/>
          <w:lang w:val="en-US"/>
        </w:rPr>
        <w:t>万元，较2016年度</w:t>
      </w:r>
      <w:r>
        <w:rPr>
          <w:rFonts w:hint="eastAsia" w:ascii="仿宋_GB2312" w:hAnsi="仿宋_GB2312" w:eastAsia="仿宋_GB2312" w:cs="仿宋_GB2312"/>
          <w:sz w:val="32"/>
          <w:szCs w:val="32"/>
          <w:lang w:val="en-US" w:eastAsia="zh-CN"/>
        </w:rPr>
        <w:t>增加27.79</w:t>
      </w:r>
      <w:r>
        <w:rPr>
          <w:rFonts w:hint="eastAsia" w:ascii="仿宋_GB2312" w:hAnsi="仿宋_GB2312" w:eastAsia="仿宋_GB2312" w:cs="仿宋_GB2312"/>
          <w:sz w:val="32"/>
          <w:szCs w:val="32"/>
          <w:lang w:val="en-US"/>
        </w:rPr>
        <w:t>万元，</w:t>
      </w:r>
      <w:r>
        <w:rPr>
          <w:rFonts w:hint="eastAsia" w:ascii="仿宋_GB2312" w:hAnsi="仿宋_GB2312" w:eastAsia="仿宋_GB2312" w:cs="仿宋_GB2312"/>
          <w:sz w:val="32"/>
          <w:szCs w:val="32"/>
          <w:lang w:val="en-US" w:eastAsia="zh-CN"/>
        </w:rPr>
        <w:t>增加24.84</w:t>
      </w:r>
      <w:r>
        <w:rPr>
          <w:rFonts w:hint="eastAsia" w:ascii="仿宋_GB2312" w:hAnsi="仿宋_GB2312" w:eastAsia="仿宋_GB2312" w:cs="仿宋_GB2312"/>
          <w:sz w:val="32"/>
          <w:szCs w:val="32"/>
          <w:lang w:val="en-US"/>
        </w:rPr>
        <w:t>%。</w:t>
      </w:r>
      <w:r>
        <w:rPr>
          <w:rFonts w:hint="eastAsia" w:ascii="仿宋_GB2312" w:hAnsi="仿宋_GB2312" w:eastAsia="仿宋_GB2312" w:cs="仿宋_GB2312"/>
          <w:sz w:val="32"/>
          <w:szCs w:val="32"/>
          <w:lang w:val="en-US" w:eastAsia="zh-CN" w:bidi="zh-CN"/>
        </w:rPr>
        <w:t>增加的主要原因是：</w:t>
      </w:r>
      <w:r>
        <w:rPr>
          <w:rFonts w:hint="eastAsia" w:ascii="仿宋_GB2312" w:hAnsi="仿宋_GB2312" w:eastAsia="仿宋_GB2312" w:cs="仿宋_GB2312"/>
          <w:sz w:val="32"/>
          <w:szCs w:val="32"/>
          <w:lang w:val="en-US" w:eastAsia="zh-CN" w:bidi="zh-CN"/>
        </w:rPr>
        <w:t>机关运行事务增多，开支增加。</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十一、政府采购支出情况说明</w:t>
      </w:r>
      <w:r>
        <w:rPr>
          <w:rFonts w:ascii="黑体" w:hAnsi="黑体" w:eastAsia="黑体"/>
          <w:lang w:val="en-US"/>
        </w:rPr>
        <w:t xml:space="preserve"> </w:t>
      </w:r>
    </w:p>
    <w:p>
      <w:pPr>
        <w:pStyle w:val="2"/>
        <w:spacing w:before="2" w:line="520" w:lineRule="exact"/>
        <w:ind w:right="270" w:firstLine="720" w:firstLineChars="225"/>
        <w:jc w:val="both"/>
        <w:rPr>
          <w:lang w:val="en-US"/>
        </w:rPr>
      </w:pPr>
      <w:r>
        <w:rPr>
          <w:lang w:val="en-US"/>
        </w:rPr>
        <w:t>2017年度政府采购支出总额</w:t>
      </w:r>
      <w:r>
        <w:rPr>
          <w:rFonts w:hint="eastAsia"/>
          <w:lang w:val="en-US" w:eastAsia="zh-CN"/>
        </w:rPr>
        <w:t>2.1</w:t>
      </w:r>
      <w:r>
        <w:rPr>
          <w:lang w:val="en-US"/>
        </w:rPr>
        <w:t>万元，其中：政府采</w:t>
      </w:r>
      <w:r>
        <w:rPr>
          <w:rFonts w:hint="eastAsia"/>
          <w:lang w:val="en-US"/>
        </w:rPr>
        <w:t>购货物支出</w:t>
      </w:r>
      <w:r>
        <w:rPr>
          <w:rFonts w:hint="eastAsia"/>
          <w:lang w:val="en-US" w:eastAsia="zh-CN"/>
        </w:rPr>
        <w:t>2.1</w:t>
      </w:r>
      <w:r>
        <w:rPr>
          <w:lang w:val="en-US"/>
        </w:rPr>
        <w:t>万元，政府采购服务支出</w:t>
      </w:r>
      <w:r>
        <w:rPr>
          <w:rFonts w:hint="eastAsia"/>
          <w:lang w:val="en-US" w:eastAsia="zh-CN"/>
        </w:rPr>
        <w:t>2.1</w:t>
      </w:r>
      <w:r>
        <w:rPr>
          <w:lang w:val="en-US"/>
        </w:rPr>
        <w:t>万元。占政府采购支出总额的</w:t>
      </w:r>
      <w:r>
        <w:rPr>
          <w:rFonts w:hint="eastAsia"/>
          <w:lang w:val="en-US" w:eastAsia="zh-CN"/>
        </w:rPr>
        <w:t>100</w:t>
      </w:r>
      <w:r>
        <w:rPr>
          <w:lang w:val="en-US"/>
        </w:rPr>
        <w:t xml:space="preserve">%。 </w:t>
      </w:r>
    </w:p>
    <w:p>
      <w:pPr>
        <w:pStyle w:val="2"/>
        <w:spacing w:before="2" w:line="520" w:lineRule="exact"/>
        <w:ind w:right="270" w:firstLine="720" w:firstLineChars="225"/>
        <w:jc w:val="both"/>
        <w:rPr>
          <w:rFonts w:ascii="黑体" w:hAnsi="黑体" w:eastAsia="黑体"/>
          <w:lang w:val="en-US"/>
        </w:rPr>
      </w:pPr>
      <w:r>
        <w:rPr>
          <w:rFonts w:hint="eastAsia" w:ascii="黑体" w:hAnsi="黑体" w:eastAsia="黑体"/>
          <w:lang w:val="en-US"/>
        </w:rPr>
        <w:t>十二、国有资产占用情况说明</w:t>
      </w:r>
      <w:r>
        <w:rPr>
          <w:rFonts w:ascii="黑体" w:hAnsi="黑体" w:eastAsia="黑体"/>
          <w:lang w:val="en-US"/>
        </w:rPr>
        <w:t xml:space="preserve"> </w:t>
      </w:r>
    </w:p>
    <w:p>
      <w:pPr>
        <w:pStyle w:val="2"/>
        <w:spacing w:before="2" w:line="520" w:lineRule="exact"/>
        <w:ind w:right="270" w:firstLine="720" w:firstLineChars="225"/>
        <w:jc w:val="both"/>
        <w:rPr>
          <w:rFonts w:hint="eastAsia" w:eastAsia="仿宋_GB2312"/>
          <w:lang w:val="en-US" w:eastAsia="zh-CN"/>
        </w:rPr>
      </w:pPr>
      <w:r>
        <w:rPr>
          <w:lang w:val="en-US"/>
        </w:rPr>
        <w:t>2017年期末，</w:t>
      </w:r>
      <w:r>
        <w:rPr>
          <w:rFonts w:hint="eastAsia"/>
          <w:lang w:val="en-US" w:eastAsia="zh-CN"/>
        </w:rPr>
        <w:t>西华县委宣传部</w:t>
      </w:r>
      <w:r>
        <w:rPr>
          <w:lang w:val="en-US"/>
        </w:rPr>
        <w:t>共有</w:t>
      </w:r>
      <w:r>
        <w:rPr>
          <w:rFonts w:hint="eastAsia"/>
          <w:lang w:val="en-US" w:eastAsia="zh-CN"/>
        </w:rPr>
        <w:t>一般公务用车</w:t>
      </w:r>
      <w:r>
        <w:rPr>
          <w:rFonts w:hint="eastAsia"/>
          <w:lang w:val="en-US"/>
        </w:rPr>
        <w:t>1</w:t>
      </w:r>
      <w:r>
        <w:rPr>
          <w:lang w:val="en-US"/>
        </w:rPr>
        <w:t>辆</w:t>
      </w:r>
      <w:r>
        <w:rPr>
          <w:rFonts w:hint="eastAsia"/>
          <w:lang w:val="en-US" w:eastAsia="zh-CN"/>
        </w:rPr>
        <w:t>，单位价值50万元以上通用设备0台（套），单位价值100万元以上专用设备0台（套）。</w:t>
      </w: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ascii="仿宋" w:hAnsi="仿宋" w:eastAsia="仿宋"/>
          <w:b/>
          <w:sz w:val="44"/>
          <w:szCs w:val="44"/>
        </w:rPr>
      </w:pPr>
      <w:r>
        <w:rPr>
          <w:rFonts w:hint="eastAsia" w:ascii="仿宋" w:hAnsi="仿宋" w:eastAsia="仿宋"/>
          <w:b/>
          <w:sz w:val="44"/>
          <w:szCs w:val="44"/>
        </w:rPr>
        <w:t>第二部分</w:t>
      </w:r>
    </w:p>
    <w:p>
      <w:pPr>
        <w:ind w:firstLine="883" w:firstLineChars="200"/>
        <w:jc w:val="center"/>
        <w:rPr>
          <w:rFonts w:ascii="仿宋" w:hAnsi="仿宋" w:eastAsia="仿宋"/>
          <w:b/>
          <w:bCs/>
          <w:sz w:val="32"/>
          <w:szCs w:val="32"/>
        </w:rPr>
      </w:pPr>
      <w:r>
        <w:rPr>
          <w:rFonts w:hint="eastAsia" w:ascii="宋体" w:hAnsi="宋体" w:eastAsia="宋体" w:cs="宋体"/>
          <w:b/>
          <w:bCs/>
          <w:color w:val="000000"/>
          <w:kern w:val="0"/>
          <w:sz w:val="44"/>
          <w:szCs w:val="44"/>
          <w:lang w:eastAsia="zh-CN"/>
        </w:rPr>
        <w:t>中共西华县委宣传部</w:t>
      </w:r>
      <w:r>
        <w:rPr>
          <w:rFonts w:hint="eastAsia" w:ascii="宋体" w:hAnsi="宋体" w:eastAsia="宋体" w:cs="宋体"/>
          <w:b/>
          <w:bCs/>
          <w:sz w:val="44"/>
          <w:szCs w:val="44"/>
        </w:rPr>
        <w:t>2017年度部门决算表</w:t>
      </w:r>
    </w:p>
    <w:tbl>
      <w:tblPr>
        <w:tblStyle w:val="7"/>
        <w:tblW w:w="13983" w:type="dxa"/>
        <w:tblInd w:w="0" w:type="dxa"/>
        <w:tblLayout w:type="fixed"/>
        <w:tblCellMar>
          <w:top w:w="15" w:type="dxa"/>
          <w:left w:w="15" w:type="dxa"/>
          <w:bottom w:w="15" w:type="dxa"/>
          <w:right w:w="15" w:type="dxa"/>
        </w:tblCellMar>
      </w:tblPr>
      <w:tblGrid>
        <w:gridCol w:w="3259"/>
        <w:gridCol w:w="473"/>
        <w:gridCol w:w="3269"/>
        <w:gridCol w:w="3249"/>
        <w:gridCol w:w="473"/>
        <w:gridCol w:w="3260"/>
      </w:tblGrid>
      <w:tr>
        <w:tblPrEx>
          <w:tblLayout w:type="fixed"/>
          <w:tblCellMar>
            <w:top w:w="15" w:type="dxa"/>
            <w:left w:w="15" w:type="dxa"/>
            <w:bottom w:w="15" w:type="dxa"/>
            <w:right w:w="15" w:type="dxa"/>
          </w:tblCellMar>
        </w:tblPrEx>
        <w:trPr>
          <w:trHeight w:val="375" w:hRule="atLeast"/>
        </w:trPr>
        <w:tc>
          <w:tcPr>
            <w:tcW w:w="13983" w:type="dxa"/>
            <w:gridSpan w:val="6"/>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收入支出决算总表</w:t>
            </w:r>
          </w:p>
        </w:tc>
      </w:tr>
      <w:tr>
        <w:tblPrEx>
          <w:tblLayout w:type="fixed"/>
          <w:tblCellMar>
            <w:top w:w="15" w:type="dxa"/>
            <w:left w:w="15" w:type="dxa"/>
            <w:bottom w:w="15" w:type="dxa"/>
            <w:right w:w="15" w:type="dxa"/>
          </w:tblCellMar>
        </w:tblPrEx>
        <w:trPr>
          <w:trHeight w:val="300" w:hRule="atLeast"/>
        </w:trPr>
        <w:tc>
          <w:tcPr>
            <w:tcW w:w="3259" w:type="dxa"/>
            <w:vAlign w:val="center"/>
          </w:tcPr>
          <w:p>
            <w:pPr>
              <w:jc w:val="left"/>
              <w:rPr>
                <w:rFonts w:ascii="宋体" w:hAnsi="宋体" w:cs="宋体"/>
                <w:color w:val="000000"/>
                <w:sz w:val="18"/>
                <w:szCs w:val="18"/>
              </w:rPr>
            </w:pPr>
          </w:p>
        </w:tc>
        <w:tc>
          <w:tcPr>
            <w:tcW w:w="473" w:type="dxa"/>
            <w:vAlign w:val="center"/>
          </w:tcPr>
          <w:p>
            <w:pPr>
              <w:jc w:val="left"/>
              <w:rPr>
                <w:rFonts w:ascii="宋体" w:hAnsi="宋体" w:cs="宋体"/>
                <w:color w:val="000000"/>
                <w:sz w:val="18"/>
                <w:szCs w:val="18"/>
              </w:rPr>
            </w:pPr>
          </w:p>
        </w:tc>
        <w:tc>
          <w:tcPr>
            <w:tcW w:w="3269" w:type="dxa"/>
            <w:vAlign w:val="center"/>
          </w:tcPr>
          <w:p>
            <w:pPr>
              <w:jc w:val="left"/>
              <w:rPr>
                <w:rFonts w:ascii="宋体" w:hAnsi="宋体" w:cs="宋体"/>
                <w:color w:val="000000"/>
                <w:sz w:val="18"/>
                <w:szCs w:val="18"/>
              </w:rPr>
            </w:pPr>
          </w:p>
        </w:tc>
        <w:tc>
          <w:tcPr>
            <w:tcW w:w="3249" w:type="dxa"/>
            <w:vAlign w:val="center"/>
          </w:tcPr>
          <w:p>
            <w:pPr>
              <w:jc w:val="left"/>
              <w:rPr>
                <w:rFonts w:ascii="宋体" w:hAnsi="宋体" w:cs="宋体"/>
                <w:color w:val="000000"/>
                <w:sz w:val="18"/>
                <w:szCs w:val="18"/>
              </w:rPr>
            </w:pPr>
          </w:p>
        </w:tc>
        <w:tc>
          <w:tcPr>
            <w:tcW w:w="473" w:type="dxa"/>
            <w:vAlign w:val="center"/>
          </w:tcPr>
          <w:p>
            <w:pPr>
              <w:jc w:val="left"/>
              <w:rPr>
                <w:rFonts w:ascii="宋体" w:hAnsi="宋体" w:cs="宋体"/>
                <w:color w:val="000000"/>
                <w:sz w:val="18"/>
                <w:szCs w:val="18"/>
              </w:rPr>
            </w:pPr>
          </w:p>
        </w:tc>
        <w:tc>
          <w:tcPr>
            <w:tcW w:w="3260"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公开01表</w:t>
            </w:r>
          </w:p>
        </w:tc>
      </w:tr>
      <w:tr>
        <w:tblPrEx>
          <w:tblLayout w:type="fixed"/>
          <w:tblCellMar>
            <w:top w:w="15" w:type="dxa"/>
            <w:left w:w="15" w:type="dxa"/>
            <w:bottom w:w="15" w:type="dxa"/>
            <w:right w:w="15" w:type="dxa"/>
          </w:tblCellMar>
        </w:tblPrEx>
        <w:trPr>
          <w:trHeight w:val="300" w:hRule="atLeast"/>
        </w:trPr>
        <w:tc>
          <w:tcPr>
            <w:tcW w:w="7001" w:type="dxa"/>
            <w:gridSpan w:val="3"/>
            <w:tcBorders>
              <w:bottom w:val="single" w:color="auto" w:sz="4" w:space="0"/>
            </w:tcBorders>
            <w:vAlign w:val="center"/>
          </w:tcPr>
          <w:p>
            <w:pPr>
              <w:widowControl/>
              <w:jc w:val="left"/>
              <w:textAlignment w:val="center"/>
              <w:rPr>
                <w:rFonts w:hint="eastAsia" w:ascii="宋体" w:hAnsi="宋体" w:eastAsia="宋体" w:cs="宋体"/>
                <w:color w:val="000000"/>
                <w:sz w:val="24"/>
                <w:szCs w:val="24"/>
                <w:lang w:eastAsia="zh-CN"/>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3249" w:type="dxa"/>
            <w:tcBorders>
              <w:bottom w:val="single" w:color="auto" w:sz="4" w:space="0"/>
            </w:tcBorders>
            <w:vAlign w:val="center"/>
          </w:tcPr>
          <w:p>
            <w:pPr>
              <w:jc w:val="left"/>
              <w:rPr>
                <w:rFonts w:ascii="宋体" w:hAnsi="宋体" w:cs="宋体"/>
                <w:color w:val="000000"/>
                <w:sz w:val="18"/>
                <w:szCs w:val="18"/>
              </w:rPr>
            </w:pPr>
          </w:p>
        </w:tc>
        <w:tc>
          <w:tcPr>
            <w:tcW w:w="473" w:type="dxa"/>
            <w:tcBorders>
              <w:bottom w:val="single" w:color="auto" w:sz="4" w:space="0"/>
            </w:tcBorders>
            <w:vAlign w:val="center"/>
          </w:tcPr>
          <w:p>
            <w:pPr>
              <w:jc w:val="left"/>
              <w:rPr>
                <w:rFonts w:ascii="宋体" w:hAnsi="宋体" w:cs="宋体"/>
                <w:color w:val="000000"/>
                <w:sz w:val="18"/>
                <w:szCs w:val="18"/>
              </w:rPr>
            </w:pPr>
          </w:p>
        </w:tc>
        <w:tc>
          <w:tcPr>
            <w:tcW w:w="3260"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7001"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收入</w:t>
            </w:r>
          </w:p>
        </w:tc>
        <w:tc>
          <w:tcPr>
            <w:tcW w:w="6982"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支出</w:t>
            </w:r>
          </w:p>
        </w:tc>
      </w:tr>
      <w:tr>
        <w:tblPrEx>
          <w:tblLayout w:type="fixed"/>
          <w:tblCellMar>
            <w:top w:w="15" w:type="dxa"/>
            <w:left w:w="15" w:type="dxa"/>
            <w:bottom w:w="15" w:type="dxa"/>
            <w:right w:w="15" w:type="dxa"/>
          </w:tblCellMar>
        </w:tblPrEx>
        <w:trPr>
          <w:trHeight w:val="300" w:hRule="atLeast"/>
        </w:trPr>
        <w:tc>
          <w:tcPr>
            <w:tcW w:w="3259" w:type="dxa"/>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326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324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73"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3260"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r>
      <w:tr>
        <w:tblPrEx>
          <w:tblLayout w:type="fixed"/>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hAnsi="宋体" w:cs="宋体"/>
                <w:color w:val="000000"/>
                <w:sz w:val="20"/>
                <w:szCs w:val="20"/>
              </w:rPr>
            </w:pPr>
          </w:p>
        </w:tc>
        <w:tc>
          <w:tcPr>
            <w:tcW w:w="326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249" w:type="dxa"/>
            <w:tcBorders>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73" w:type="dxa"/>
            <w:tcBorders>
              <w:bottom w:val="single" w:color="000000" w:sz="4" w:space="0"/>
              <w:right w:val="single" w:color="000000" w:sz="4" w:space="0"/>
            </w:tcBorders>
            <w:vAlign w:val="center"/>
          </w:tcPr>
          <w:p>
            <w:pPr>
              <w:jc w:val="center"/>
              <w:rPr>
                <w:rFonts w:ascii="宋体" w:hAnsi="宋体" w:cs="宋体"/>
                <w:color w:val="000000"/>
                <w:sz w:val="20"/>
                <w:szCs w:val="20"/>
              </w:rPr>
            </w:pPr>
          </w:p>
        </w:tc>
        <w:tc>
          <w:tcPr>
            <w:tcW w:w="326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269"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291.2</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3260"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265.29</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3260" w:type="dxa"/>
            <w:tcBorders>
              <w:bottom w:val="single" w:color="000000" w:sz="4" w:space="0"/>
              <w:right w:val="single" w:color="000000" w:sz="4" w:space="0"/>
            </w:tcBorders>
            <w:vAlign w:val="center"/>
          </w:tcPr>
          <w:p>
            <w:pPr>
              <w:tabs>
                <w:tab w:val="left" w:pos="899"/>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19.84</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3260"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7.58</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3269"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291.2</w:t>
            </w:r>
          </w:p>
        </w:tc>
        <w:tc>
          <w:tcPr>
            <w:tcW w:w="324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3260" w:type="dxa"/>
            <w:tcBorders>
              <w:bottom w:val="single" w:color="000000" w:sz="4" w:space="0"/>
              <w:right w:val="single" w:color="000000" w:sz="4" w:space="0"/>
            </w:tcBorders>
            <w:vAlign w:val="center"/>
          </w:tcPr>
          <w:p>
            <w:pPr>
              <w:tabs>
                <w:tab w:val="left" w:pos="1064"/>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292.71</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3269"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w:t>
            </w:r>
          </w:p>
        </w:tc>
        <w:tc>
          <w:tcPr>
            <w:tcW w:w="3249"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3260"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57.84</w:t>
            </w: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32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249"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326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9"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3269" w:type="dxa"/>
            <w:tcBorders>
              <w:bottom w:val="single" w:color="000000" w:sz="4" w:space="0"/>
              <w:right w:val="single" w:color="000000" w:sz="4" w:space="0"/>
            </w:tcBorders>
            <w:vAlign w:val="center"/>
          </w:tcPr>
          <w:p>
            <w:pPr>
              <w:jc w:val="center"/>
              <w:rPr>
                <w:rFonts w:hint="eastAsia" w:ascii="宋体" w:hAnsi="宋体" w:cs="宋体"/>
                <w:color w:val="000000"/>
                <w:sz w:val="20"/>
                <w:szCs w:val="20"/>
                <w:lang w:val="en-US" w:eastAsia="zh-CN"/>
              </w:rPr>
            </w:pPr>
            <w:r>
              <w:rPr>
                <w:rFonts w:hint="eastAsia" w:ascii="宋体" w:hAnsi="宋体" w:cs="宋体"/>
                <w:color w:val="000000"/>
                <w:sz w:val="20"/>
                <w:szCs w:val="20"/>
                <w:lang w:val="en-US" w:eastAsia="zh-CN"/>
              </w:rPr>
              <w:t>350.19</w:t>
            </w:r>
          </w:p>
        </w:tc>
        <w:tc>
          <w:tcPr>
            <w:tcW w:w="324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总计</w:t>
            </w:r>
          </w:p>
        </w:tc>
        <w:tc>
          <w:tcPr>
            <w:tcW w:w="473"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3260"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350.19</w:t>
            </w:r>
          </w:p>
        </w:tc>
      </w:tr>
      <w:tr>
        <w:tblPrEx>
          <w:tblLayout w:type="fixed"/>
          <w:tblCellMar>
            <w:top w:w="15" w:type="dxa"/>
            <w:left w:w="15" w:type="dxa"/>
            <w:bottom w:w="15" w:type="dxa"/>
            <w:right w:w="15" w:type="dxa"/>
          </w:tblCellMar>
        </w:tblPrEx>
        <w:trPr>
          <w:trHeight w:val="300" w:hRule="atLeast"/>
        </w:trPr>
        <w:tc>
          <w:tcPr>
            <w:tcW w:w="13983" w:type="dxa"/>
            <w:gridSpan w:val="6"/>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注：本表反映部门本年度的总收支和年末结转结余情况。</w:t>
            </w:r>
          </w:p>
        </w:tc>
      </w:tr>
    </w:tbl>
    <w:p>
      <w:pPr>
        <w:rPr>
          <w:rFonts w:ascii="仿宋_GB2312" w:hAnsi="仿宋_GB2312" w:eastAsia="仿宋_GB2312" w:cs="仿宋_GB2312"/>
          <w:sz w:val="32"/>
          <w:szCs w:val="32"/>
        </w:rPr>
        <w:sectPr>
          <w:footerReference r:id="rId5" w:type="default"/>
          <w:pgSz w:w="16838" w:h="11906" w:orient="landscape"/>
          <w:pgMar w:top="1800" w:right="1440" w:bottom="1800" w:left="1440" w:header="720" w:footer="720" w:gutter="0"/>
          <w:pgNumType w:fmt="numberInDash"/>
          <w:cols w:space="720" w:num="1"/>
          <w:docGrid w:type="lines" w:linePitch="312" w:charSpace="0"/>
        </w:sectPr>
      </w:pPr>
    </w:p>
    <w:tbl>
      <w:tblPr>
        <w:tblStyle w:val="7"/>
        <w:tblW w:w="13985" w:type="dxa"/>
        <w:tblInd w:w="0" w:type="dxa"/>
        <w:tblLayout w:type="fixed"/>
        <w:tblCellMar>
          <w:top w:w="15" w:type="dxa"/>
          <w:left w:w="15" w:type="dxa"/>
          <w:bottom w:w="15" w:type="dxa"/>
          <w:right w:w="15" w:type="dxa"/>
        </w:tblCellMar>
      </w:tblPr>
      <w:tblGrid>
        <w:gridCol w:w="481"/>
        <w:gridCol w:w="468"/>
        <w:gridCol w:w="499"/>
        <w:gridCol w:w="968"/>
        <w:gridCol w:w="783"/>
        <w:gridCol w:w="1540"/>
        <w:gridCol w:w="1540"/>
        <w:gridCol w:w="1540"/>
        <w:gridCol w:w="341"/>
        <w:gridCol w:w="974"/>
        <w:gridCol w:w="225"/>
        <w:gridCol w:w="746"/>
        <w:gridCol w:w="794"/>
        <w:gridCol w:w="176"/>
        <w:gridCol w:w="970"/>
        <w:gridCol w:w="394"/>
        <w:gridCol w:w="1546"/>
      </w:tblGrid>
      <w:tr>
        <w:tblPrEx>
          <w:tblLayout w:type="fixed"/>
          <w:tblCellMar>
            <w:top w:w="15" w:type="dxa"/>
            <w:left w:w="15" w:type="dxa"/>
            <w:bottom w:w="15" w:type="dxa"/>
            <w:right w:w="15" w:type="dxa"/>
          </w:tblCellMar>
        </w:tblPrEx>
        <w:trPr>
          <w:trHeight w:val="375" w:hRule="atLeast"/>
        </w:trPr>
        <w:tc>
          <w:tcPr>
            <w:tcW w:w="13985" w:type="dxa"/>
            <w:gridSpan w:val="17"/>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收入决算表</w:t>
            </w:r>
          </w:p>
        </w:tc>
      </w:tr>
      <w:tr>
        <w:tblPrEx>
          <w:tblLayout w:type="fixed"/>
          <w:tblCellMar>
            <w:top w:w="15" w:type="dxa"/>
            <w:left w:w="15" w:type="dxa"/>
            <w:bottom w:w="15" w:type="dxa"/>
            <w:right w:w="15" w:type="dxa"/>
          </w:tblCellMar>
        </w:tblPrEx>
        <w:trPr>
          <w:trHeight w:val="300" w:hRule="atLeast"/>
        </w:trPr>
        <w:tc>
          <w:tcPr>
            <w:tcW w:w="481" w:type="dxa"/>
            <w:vAlign w:val="center"/>
          </w:tcPr>
          <w:p>
            <w:pPr>
              <w:jc w:val="left"/>
              <w:rPr>
                <w:rFonts w:ascii="宋体" w:hAnsi="宋体" w:cs="宋体"/>
                <w:color w:val="000000"/>
                <w:sz w:val="18"/>
                <w:szCs w:val="18"/>
              </w:rPr>
            </w:pPr>
          </w:p>
        </w:tc>
        <w:tc>
          <w:tcPr>
            <w:tcW w:w="967" w:type="dxa"/>
            <w:gridSpan w:val="2"/>
            <w:vAlign w:val="center"/>
          </w:tcPr>
          <w:p>
            <w:pPr>
              <w:jc w:val="left"/>
              <w:rPr>
                <w:rFonts w:ascii="宋体" w:hAnsi="宋体" w:cs="宋体"/>
                <w:color w:val="000000"/>
                <w:sz w:val="18"/>
                <w:szCs w:val="18"/>
              </w:rPr>
            </w:pPr>
          </w:p>
        </w:tc>
        <w:tc>
          <w:tcPr>
            <w:tcW w:w="968" w:type="dxa"/>
            <w:vAlign w:val="center"/>
          </w:tcPr>
          <w:p>
            <w:pPr>
              <w:jc w:val="left"/>
              <w:rPr>
                <w:rFonts w:ascii="宋体" w:hAnsi="宋体" w:cs="宋体"/>
                <w:color w:val="000000"/>
                <w:sz w:val="18"/>
                <w:szCs w:val="18"/>
              </w:rPr>
            </w:pPr>
          </w:p>
        </w:tc>
        <w:tc>
          <w:tcPr>
            <w:tcW w:w="783" w:type="dxa"/>
            <w:vAlign w:val="center"/>
          </w:tcPr>
          <w:p>
            <w:pPr>
              <w:jc w:val="left"/>
              <w:rPr>
                <w:rFonts w:ascii="宋体" w:hAnsi="宋体" w:cs="宋体"/>
                <w:color w:val="000000"/>
                <w:sz w:val="18"/>
                <w:szCs w:val="18"/>
              </w:rPr>
            </w:pPr>
          </w:p>
        </w:tc>
        <w:tc>
          <w:tcPr>
            <w:tcW w:w="4961" w:type="dxa"/>
            <w:gridSpan w:val="4"/>
            <w:vAlign w:val="center"/>
          </w:tcPr>
          <w:p>
            <w:pPr>
              <w:jc w:val="left"/>
              <w:rPr>
                <w:rFonts w:ascii="宋体" w:hAnsi="宋体" w:cs="宋体"/>
                <w:color w:val="000000"/>
                <w:sz w:val="18"/>
                <w:szCs w:val="18"/>
              </w:rPr>
            </w:pPr>
          </w:p>
        </w:tc>
        <w:tc>
          <w:tcPr>
            <w:tcW w:w="974" w:type="dxa"/>
            <w:vAlign w:val="center"/>
          </w:tcPr>
          <w:p>
            <w:pPr>
              <w:jc w:val="left"/>
              <w:rPr>
                <w:rFonts w:ascii="宋体" w:hAnsi="宋体" w:cs="宋体"/>
                <w:color w:val="000000"/>
                <w:sz w:val="18"/>
                <w:szCs w:val="18"/>
              </w:rPr>
            </w:pPr>
          </w:p>
        </w:tc>
        <w:tc>
          <w:tcPr>
            <w:tcW w:w="971" w:type="dxa"/>
            <w:gridSpan w:val="2"/>
            <w:vAlign w:val="center"/>
          </w:tcPr>
          <w:p>
            <w:pPr>
              <w:jc w:val="left"/>
              <w:rPr>
                <w:rFonts w:ascii="宋体" w:hAnsi="宋体" w:cs="宋体"/>
                <w:color w:val="000000"/>
                <w:sz w:val="18"/>
                <w:szCs w:val="18"/>
              </w:rPr>
            </w:pPr>
          </w:p>
        </w:tc>
        <w:tc>
          <w:tcPr>
            <w:tcW w:w="970" w:type="dxa"/>
            <w:gridSpan w:val="2"/>
            <w:vAlign w:val="center"/>
          </w:tcPr>
          <w:p>
            <w:pPr>
              <w:jc w:val="left"/>
              <w:rPr>
                <w:rFonts w:ascii="宋体" w:hAnsi="宋体" w:cs="宋体"/>
                <w:color w:val="000000"/>
                <w:sz w:val="18"/>
                <w:szCs w:val="18"/>
              </w:rPr>
            </w:pPr>
          </w:p>
        </w:tc>
        <w:tc>
          <w:tcPr>
            <w:tcW w:w="970" w:type="dxa"/>
            <w:vAlign w:val="center"/>
          </w:tcPr>
          <w:p>
            <w:pPr>
              <w:jc w:val="left"/>
              <w:rPr>
                <w:rFonts w:ascii="宋体" w:hAnsi="宋体" w:cs="宋体"/>
                <w:color w:val="000000"/>
                <w:sz w:val="18"/>
                <w:szCs w:val="18"/>
              </w:rPr>
            </w:pPr>
          </w:p>
        </w:tc>
        <w:tc>
          <w:tcPr>
            <w:tcW w:w="1940" w:type="dxa"/>
            <w:gridSpan w:val="2"/>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公开02表</w:t>
            </w:r>
          </w:p>
        </w:tc>
      </w:tr>
      <w:tr>
        <w:tblPrEx>
          <w:tblLayout w:type="fixed"/>
          <w:tblCellMar>
            <w:top w:w="15" w:type="dxa"/>
            <w:left w:w="15" w:type="dxa"/>
            <w:bottom w:w="15" w:type="dxa"/>
            <w:right w:w="15" w:type="dxa"/>
          </w:tblCellMar>
        </w:tblPrEx>
        <w:trPr>
          <w:trHeight w:val="300" w:hRule="atLeast"/>
        </w:trPr>
        <w:tc>
          <w:tcPr>
            <w:tcW w:w="8160" w:type="dxa"/>
            <w:gridSpan w:val="9"/>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974" w:type="dxa"/>
            <w:tcBorders>
              <w:bottom w:val="single" w:color="auto" w:sz="4" w:space="0"/>
            </w:tcBorders>
            <w:vAlign w:val="center"/>
          </w:tcPr>
          <w:p>
            <w:pPr>
              <w:widowControl/>
              <w:jc w:val="center"/>
              <w:textAlignment w:val="center"/>
              <w:rPr>
                <w:rFonts w:ascii="宋体" w:hAnsi="宋体" w:cs="宋体"/>
                <w:color w:val="000000"/>
                <w:sz w:val="22"/>
              </w:rPr>
            </w:pPr>
          </w:p>
        </w:tc>
        <w:tc>
          <w:tcPr>
            <w:tcW w:w="971" w:type="dxa"/>
            <w:gridSpan w:val="2"/>
            <w:tcBorders>
              <w:bottom w:val="single" w:color="auto" w:sz="4" w:space="0"/>
            </w:tcBorders>
            <w:vAlign w:val="center"/>
          </w:tcPr>
          <w:p>
            <w:pPr>
              <w:jc w:val="left"/>
              <w:rPr>
                <w:rFonts w:ascii="宋体" w:hAnsi="宋体" w:cs="宋体"/>
                <w:color w:val="000000"/>
                <w:sz w:val="18"/>
                <w:szCs w:val="18"/>
              </w:rPr>
            </w:pPr>
          </w:p>
        </w:tc>
        <w:tc>
          <w:tcPr>
            <w:tcW w:w="970" w:type="dxa"/>
            <w:gridSpan w:val="2"/>
            <w:tcBorders>
              <w:bottom w:val="single" w:color="auto" w:sz="4" w:space="0"/>
            </w:tcBorders>
            <w:vAlign w:val="center"/>
          </w:tcPr>
          <w:p>
            <w:pPr>
              <w:jc w:val="left"/>
              <w:rPr>
                <w:rFonts w:ascii="宋体" w:hAnsi="宋体" w:cs="宋体"/>
                <w:color w:val="000000"/>
                <w:sz w:val="18"/>
                <w:szCs w:val="18"/>
              </w:rPr>
            </w:pPr>
          </w:p>
        </w:tc>
        <w:tc>
          <w:tcPr>
            <w:tcW w:w="970" w:type="dxa"/>
            <w:tcBorders>
              <w:bottom w:val="single" w:color="auto" w:sz="4" w:space="0"/>
            </w:tcBorders>
            <w:vAlign w:val="center"/>
          </w:tcPr>
          <w:p>
            <w:pPr>
              <w:jc w:val="left"/>
              <w:rPr>
                <w:rFonts w:ascii="宋体" w:hAnsi="宋体" w:cs="宋体"/>
                <w:color w:val="000000"/>
                <w:sz w:val="18"/>
                <w:szCs w:val="18"/>
              </w:rPr>
            </w:pPr>
          </w:p>
        </w:tc>
        <w:tc>
          <w:tcPr>
            <w:tcW w:w="1940"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财政拨款收入</w:t>
            </w:r>
          </w:p>
        </w:tc>
        <w:tc>
          <w:tcPr>
            <w:tcW w:w="15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上级补助收入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事业收入</w:t>
            </w:r>
          </w:p>
        </w:tc>
        <w:tc>
          <w:tcPr>
            <w:tcW w:w="15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经营收入</w:t>
            </w:r>
          </w:p>
        </w:tc>
        <w:tc>
          <w:tcPr>
            <w:tcW w:w="154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附属单位上缴收入</w:t>
            </w:r>
          </w:p>
        </w:tc>
        <w:tc>
          <w:tcPr>
            <w:tcW w:w="1546"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其他收入</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250"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46"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250"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0"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46"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5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54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540" w:type="dxa"/>
            <w:gridSpan w:val="3"/>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54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540" w:type="dxa"/>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291.2</w:t>
            </w:r>
          </w:p>
        </w:tc>
        <w:tc>
          <w:tcPr>
            <w:tcW w:w="1540" w:type="dxa"/>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291.2</w:t>
            </w: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6"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250"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6"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250"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46"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250"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0" w:type="dxa"/>
            <w:gridSpan w:val="3"/>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46"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3985" w:type="dxa"/>
            <w:gridSpan w:val="17"/>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注：本表反映部门本年度取得的各项收入情况。</w:t>
            </w:r>
          </w:p>
        </w:tc>
      </w:tr>
    </w:tbl>
    <w:p>
      <w:pPr>
        <w:rPr>
          <w:rFonts w:ascii="仿宋_GB2312" w:hAnsi="仿宋_GB2312" w:eastAsia="仿宋_GB2312" w:cs="仿宋_GB2312"/>
          <w:sz w:val="32"/>
          <w:szCs w:val="32"/>
        </w:rPr>
      </w:pPr>
    </w:p>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988" w:type="dxa"/>
        <w:tblInd w:w="0" w:type="dxa"/>
        <w:tblLayout w:type="fixed"/>
        <w:tblCellMar>
          <w:top w:w="15" w:type="dxa"/>
          <w:left w:w="15" w:type="dxa"/>
          <w:bottom w:w="15" w:type="dxa"/>
          <w:right w:w="15" w:type="dxa"/>
        </w:tblCellMar>
      </w:tblPr>
      <w:tblGrid>
        <w:gridCol w:w="518"/>
        <w:gridCol w:w="401"/>
        <w:gridCol w:w="640"/>
        <w:gridCol w:w="1040"/>
        <w:gridCol w:w="1995"/>
        <w:gridCol w:w="1565"/>
        <w:gridCol w:w="1565"/>
        <w:gridCol w:w="1049"/>
        <w:gridCol w:w="516"/>
        <w:gridCol w:w="527"/>
        <w:gridCol w:w="1038"/>
        <w:gridCol w:w="6"/>
        <w:gridCol w:w="1559"/>
        <w:gridCol w:w="1569"/>
      </w:tblGrid>
      <w:tr>
        <w:tblPrEx>
          <w:tblLayout w:type="fixed"/>
          <w:tblCellMar>
            <w:top w:w="15" w:type="dxa"/>
            <w:left w:w="15" w:type="dxa"/>
            <w:bottom w:w="15" w:type="dxa"/>
            <w:right w:w="15" w:type="dxa"/>
          </w:tblCellMar>
        </w:tblPrEx>
        <w:trPr>
          <w:trHeight w:val="375" w:hRule="atLeast"/>
        </w:trPr>
        <w:tc>
          <w:tcPr>
            <w:tcW w:w="13988" w:type="dxa"/>
            <w:gridSpan w:val="14"/>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支出决算表</w:t>
            </w:r>
          </w:p>
        </w:tc>
      </w:tr>
      <w:tr>
        <w:tblPrEx>
          <w:tblLayout w:type="fixed"/>
          <w:tblCellMar>
            <w:top w:w="15" w:type="dxa"/>
            <w:left w:w="15" w:type="dxa"/>
            <w:bottom w:w="15" w:type="dxa"/>
            <w:right w:w="15" w:type="dxa"/>
          </w:tblCellMar>
        </w:tblPrEx>
        <w:trPr>
          <w:trHeight w:val="300" w:hRule="atLeast"/>
        </w:trPr>
        <w:tc>
          <w:tcPr>
            <w:tcW w:w="518" w:type="dxa"/>
            <w:vAlign w:val="center"/>
          </w:tcPr>
          <w:p>
            <w:pPr>
              <w:jc w:val="left"/>
              <w:rPr>
                <w:rFonts w:ascii="宋体" w:hAnsi="宋体" w:cs="宋体"/>
                <w:color w:val="000000"/>
                <w:sz w:val="18"/>
                <w:szCs w:val="18"/>
              </w:rPr>
            </w:pPr>
          </w:p>
        </w:tc>
        <w:tc>
          <w:tcPr>
            <w:tcW w:w="1041" w:type="dxa"/>
            <w:gridSpan w:val="2"/>
            <w:vAlign w:val="center"/>
          </w:tcPr>
          <w:p>
            <w:pPr>
              <w:jc w:val="left"/>
              <w:rPr>
                <w:rFonts w:ascii="宋体" w:hAnsi="宋体" w:cs="宋体"/>
                <w:color w:val="000000"/>
                <w:sz w:val="18"/>
                <w:szCs w:val="18"/>
              </w:rPr>
            </w:pPr>
          </w:p>
        </w:tc>
        <w:tc>
          <w:tcPr>
            <w:tcW w:w="1040" w:type="dxa"/>
            <w:vAlign w:val="center"/>
          </w:tcPr>
          <w:p>
            <w:pPr>
              <w:jc w:val="left"/>
              <w:rPr>
                <w:rFonts w:ascii="宋体" w:hAnsi="宋体" w:cs="宋体"/>
                <w:color w:val="000000"/>
                <w:sz w:val="18"/>
                <w:szCs w:val="18"/>
              </w:rPr>
            </w:pPr>
          </w:p>
        </w:tc>
        <w:tc>
          <w:tcPr>
            <w:tcW w:w="1995" w:type="dxa"/>
            <w:vAlign w:val="center"/>
          </w:tcPr>
          <w:p>
            <w:pPr>
              <w:jc w:val="left"/>
              <w:rPr>
                <w:rFonts w:ascii="宋体" w:hAnsi="宋体" w:cs="宋体"/>
                <w:color w:val="000000"/>
                <w:sz w:val="18"/>
                <w:szCs w:val="18"/>
              </w:rPr>
            </w:pPr>
          </w:p>
        </w:tc>
        <w:tc>
          <w:tcPr>
            <w:tcW w:w="4179" w:type="dxa"/>
            <w:gridSpan w:val="3"/>
            <w:vAlign w:val="center"/>
          </w:tcPr>
          <w:p>
            <w:pPr>
              <w:jc w:val="left"/>
              <w:rPr>
                <w:rFonts w:ascii="宋体" w:hAnsi="宋体" w:cs="宋体"/>
                <w:color w:val="000000"/>
                <w:sz w:val="18"/>
                <w:szCs w:val="18"/>
              </w:rPr>
            </w:pPr>
          </w:p>
        </w:tc>
        <w:tc>
          <w:tcPr>
            <w:tcW w:w="1043" w:type="dxa"/>
            <w:gridSpan w:val="2"/>
            <w:vAlign w:val="center"/>
          </w:tcPr>
          <w:p>
            <w:pPr>
              <w:jc w:val="left"/>
              <w:rPr>
                <w:rFonts w:ascii="宋体" w:hAnsi="宋体" w:cs="宋体"/>
                <w:color w:val="000000"/>
                <w:sz w:val="18"/>
                <w:szCs w:val="18"/>
              </w:rPr>
            </w:pPr>
          </w:p>
        </w:tc>
        <w:tc>
          <w:tcPr>
            <w:tcW w:w="1044" w:type="dxa"/>
            <w:gridSpan w:val="2"/>
            <w:vAlign w:val="center"/>
          </w:tcPr>
          <w:p>
            <w:pPr>
              <w:jc w:val="left"/>
              <w:rPr>
                <w:rFonts w:ascii="宋体" w:hAnsi="宋体" w:cs="宋体"/>
                <w:color w:val="000000"/>
                <w:sz w:val="18"/>
                <w:szCs w:val="18"/>
              </w:rPr>
            </w:pPr>
          </w:p>
        </w:tc>
        <w:tc>
          <w:tcPr>
            <w:tcW w:w="3128" w:type="dxa"/>
            <w:gridSpan w:val="2"/>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公开03表</w:t>
            </w:r>
          </w:p>
        </w:tc>
      </w:tr>
      <w:tr>
        <w:tblPrEx>
          <w:tblLayout w:type="fixed"/>
          <w:tblCellMar>
            <w:top w:w="15" w:type="dxa"/>
            <w:left w:w="15" w:type="dxa"/>
            <w:bottom w:w="15" w:type="dxa"/>
            <w:right w:w="15" w:type="dxa"/>
          </w:tblCellMar>
        </w:tblPrEx>
        <w:trPr>
          <w:trHeight w:val="300" w:hRule="atLeast"/>
        </w:trPr>
        <w:tc>
          <w:tcPr>
            <w:tcW w:w="4594" w:type="dxa"/>
            <w:gridSpan w:val="5"/>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4179" w:type="dxa"/>
            <w:gridSpan w:val="3"/>
            <w:tcBorders>
              <w:bottom w:val="single" w:color="auto" w:sz="4" w:space="0"/>
            </w:tcBorders>
            <w:vAlign w:val="center"/>
          </w:tcPr>
          <w:p>
            <w:pPr>
              <w:jc w:val="center"/>
              <w:rPr>
                <w:rFonts w:ascii="宋体" w:hAnsi="宋体" w:cs="宋体"/>
                <w:color w:val="000000"/>
                <w:sz w:val="22"/>
              </w:rPr>
            </w:pPr>
          </w:p>
        </w:tc>
        <w:tc>
          <w:tcPr>
            <w:tcW w:w="1043" w:type="dxa"/>
            <w:gridSpan w:val="2"/>
            <w:tcBorders>
              <w:bottom w:val="single" w:color="auto" w:sz="4" w:space="0"/>
            </w:tcBorders>
            <w:vAlign w:val="center"/>
          </w:tcPr>
          <w:p>
            <w:pPr>
              <w:jc w:val="left"/>
              <w:rPr>
                <w:rFonts w:ascii="宋体" w:hAnsi="宋体" w:cs="宋体"/>
                <w:color w:val="000000"/>
                <w:sz w:val="18"/>
                <w:szCs w:val="18"/>
              </w:rPr>
            </w:pPr>
          </w:p>
        </w:tc>
        <w:tc>
          <w:tcPr>
            <w:tcW w:w="1044" w:type="dxa"/>
            <w:gridSpan w:val="2"/>
            <w:tcBorders>
              <w:bottom w:val="single" w:color="auto" w:sz="4" w:space="0"/>
            </w:tcBorders>
            <w:vAlign w:val="center"/>
          </w:tcPr>
          <w:p>
            <w:pPr>
              <w:jc w:val="left"/>
              <w:rPr>
                <w:rFonts w:ascii="宋体" w:hAnsi="宋体" w:cs="宋体"/>
                <w:color w:val="000000"/>
                <w:sz w:val="18"/>
                <w:szCs w:val="18"/>
              </w:rPr>
            </w:pPr>
          </w:p>
        </w:tc>
        <w:tc>
          <w:tcPr>
            <w:tcW w:w="3128"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4594"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1565"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上缴上级支出</w:t>
            </w:r>
          </w:p>
        </w:tc>
        <w:tc>
          <w:tcPr>
            <w:tcW w:w="156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经营支出</w:t>
            </w:r>
          </w:p>
        </w:tc>
        <w:tc>
          <w:tcPr>
            <w:tcW w:w="1569"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对附属单位补助支出</w:t>
            </w:r>
          </w:p>
        </w:tc>
      </w:tr>
      <w:tr>
        <w:tblPrEx>
          <w:tblLayout w:type="fixed"/>
          <w:tblCellMar>
            <w:top w:w="15" w:type="dxa"/>
            <w:left w:w="15" w:type="dxa"/>
            <w:bottom w:w="15" w:type="dxa"/>
            <w:right w:w="15" w:type="dxa"/>
          </w:tblCellMar>
        </w:tblPrEx>
        <w:trPr>
          <w:trHeight w:val="312" w:hRule="atLeast"/>
        </w:trPr>
        <w:tc>
          <w:tcPr>
            <w:tcW w:w="919"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367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569"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67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19"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367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5"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569"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4594"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156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56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565"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569"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4594"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565" w:type="dxa"/>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292.71</w:t>
            </w:r>
          </w:p>
        </w:tc>
        <w:tc>
          <w:tcPr>
            <w:tcW w:w="1565" w:type="dxa"/>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292.71</w:t>
            </w: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9"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367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9"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367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569"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19"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3675"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6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65"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56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3988" w:type="dxa"/>
            <w:gridSpan w:val="14"/>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注：本表反映部门本年度各项支出情况。</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981" w:type="dxa"/>
        <w:tblInd w:w="0" w:type="dxa"/>
        <w:tblLayout w:type="fixed"/>
        <w:tblCellMar>
          <w:top w:w="15" w:type="dxa"/>
          <w:left w:w="15" w:type="dxa"/>
          <w:bottom w:w="15" w:type="dxa"/>
          <w:right w:w="15" w:type="dxa"/>
        </w:tblCellMar>
      </w:tblPr>
      <w:tblGrid>
        <w:gridCol w:w="2726"/>
        <w:gridCol w:w="495"/>
        <w:gridCol w:w="2655"/>
        <w:gridCol w:w="2726"/>
        <w:gridCol w:w="496"/>
        <w:gridCol w:w="1350"/>
        <w:gridCol w:w="277"/>
        <w:gridCol w:w="530"/>
        <w:gridCol w:w="1097"/>
        <w:gridCol w:w="1629"/>
      </w:tblGrid>
      <w:tr>
        <w:tblPrEx>
          <w:tblLayout w:type="fixed"/>
          <w:tblCellMar>
            <w:top w:w="15" w:type="dxa"/>
            <w:left w:w="15" w:type="dxa"/>
            <w:bottom w:w="15" w:type="dxa"/>
            <w:right w:w="15" w:type="dxa"/>
          </w:tblCellMar>
        </w:tblPrEx>
        <w:trPr>
          <w:trHeight w:val="375" w:hRule="atLeast"/>
        </w:trPr>
        <w:tc>
          <w:tcPr>
            <w:tcW w:w="13981" w:type="dxa"/>
            <w:gridSpan w:val="10"/>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财政拨款收入支出决算总表</w:t>
            </w:r>
          </w:p>
        </w:tc>
      </w:tr>
      <w:tr>
        <w:tblPrEx>
          <w:tblLayout w:type="fixed"/>
          <w:tblCellMar>
            <w:top w:w="15" w:type="dxa"/>
            <w:left w:w="15" w:type="dxa"/>
            <w:bottom w:w="15" w:type="dxa"/>
            <w:right w:w="15" w:type="dxa"/>
          </w:tblCellMar>
        </w:tblPrEx>
        <w:trPr>
          <w:trHeight w:val="300" w:hRule="atLeast"/>
        </w:trPr>
        <w:tc>
          <w:tcPr>
            <w:tcW w:w="2726" w:type="dxa"/>
            <w:vAlign w:val="center"/>
          </w:tcPr>
          <w:p>
            <w:pPr>
              <w:jc w:val="left"/>
              <w:rPr>
                <w:rFonts w:ascii="宋体" w:hAnsi="宋体" w:cs="宋体"/>
                <w:color w:val="000000"/>
                <w:sz w:val="18"/>
                <w:szCs w:val="18"/>
              </w:rPr>
            </w:pPr>
          </w:p>
        </w:tc>
        <w:tc>
          <w:tcPr>
            <w:tcW w:w="495" w:type="dxa"/>
            <w:vAlign w:val="center"/>
          </w:tcPr>
          <w:p>
            <w:pPr>
              <w:jc w:val="left"/>
              <w:rPr>
                <w:rFonts w:ascii="宋体" w:hAnsi="宋体" w:cs="宋体"/>
                <w:color w:val="000000"/>
                <w:sz w:val="18"/>
                <w:szCs w:val="18"/>
              </w:rPr>
            </w:pPr>
          </w:p>
        </w:tc>
        <w:tc>
          <w:tcPr>
            <w:tcW w:w="2655" w:type="dxa"/>
            <w:vAlign w:val="center"/>
          </w:tcPr>
          <w:p>
            <w:pPr>
              <w:jc w:val="left"/>
              <w:rPr>
                <w:rFonts w:ascii="宋体" w:hAnsi="宋体" w:cs="宋体"/>
                <w:color w:val="000000"/>
                <w:sz w:val="18"/>
                <w:szCs w:val="18"/>
              </w:rPr>
            </w:pPr>
          </w:p>
        </w:tc>
        <w:tc>
          <w:tcPr>
            <w:tcW w:w="2726" w:type="dxa"/>
            <w:vAlign w:val="center"/>
          </w:tcPr>
          <w:p>
            <w:pPr>
              <w:jc w:val="left"/>
              <w:rPr>
                <w:rFonts w:ascii="宋体" w:hAnsi="宋体" w:cs="宋体"/>
                <w:color w:val="000000"/>
                <w:sz w:val="18"/>
                <w:szCs w:val="18"/>
              </w:rPr>
            </w:pPr>
          </w:p>
        </w:tc>
        <w:tc>
          <w:tcPr>
            <w:tcW w:w="496" w:type="dxa"/>
            <w:vAlign w:val="center"/>
          </w:tcPr>
          <w:p>
            <w:pPr>
              <w:jc w:val="left"/>
              <w:rPr>
                <w:rFonts w:ascii="宋体" w:hAnsi="宋体" w:cs="宋体"/>
                <w:color w:val="000000"/>
                <w:sz w:val="18"/>
                <w:szCs w:val="18"/>
              </w:rPr>
            </w:pPr>
          </w:p>
        </w:tc>
        <w:tc>
          <w:tcPr>
            <w:tcW w:w="1350" w:type="dxa"/>
            <w:vAlign w:val="center"/>
          </w:tcPr>
          <w:p>
            <w:pPr>
              <w:jc w:val="left"/>
              <w:rPr>
                <w:rFonts w:ascii="宋体" w:hAnsi="宋体" w:cs="宋体"/>
                <w:color w:val="000000"/>
                <w:sz w:val="18"/>
                <w:szCs w:val="18"/>
              </w:rPr>
            </w:pPr>
          </w:p>
        </w:tc>
        <w:tc>
          <w:tcPr>
            <w:tcW w:w="807" w:type="dxa"/>
            <w:gridSpan w:val="2"/>
            <w:vAlign w:val="center"/>
          </w:tcPr>
          <w:p>
            <w:pPr>
              <w:jc w:val="left"/>
              <w:rPr>
                <w:rFonts w:ascii="宋体" w:hAnsi="宋体" w:cs="宋体"/>
                <w:color w:val="000000"/>
                <w:sz w:val="18"/>
                <w:szCs w:val="18"/>
              </w:rPr>
            </w:pPr>
          </w:p>
        </w:tc>
        <w:tc>
          <w:tcPr>
            <w:tcW w:w="2726" w:type="dxa"/>
            <w:gridSpan w:val="2"/>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公开04表</w:t>
            </w:r>
          </w:p>
        </w:tc>
      </w:tr>
      <w:tr>
        <w:tblPrEx>
          <w:tblLayout w:type="fixed"/>
          <w:tblCellMar>
            <w:top w:w="15" w:type="dxa"/>
            <w:left w:w="15" w:type="dxa"/>
            <w:bottom w:w="15" w:type="dxa"/>
            <w:right w:w="15" w:type="dxa"/>
          </w:tblCellMar>
        </w:tblPrEx>
        <w:trPr>
          <w:trHeight w:val="300" w:hRule="atLeast"/>
        </w:trPr>
        <w:tc>
          <w:tcPr>
            <w:tcW w:w="5876" w:type="dxa"/>
            <w:gridSpan w:val="3"/>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2726" w:type="dxa"/>
            <w:tcBorders>
              <w:bottom w:val="single" w:color="auto" w:sz="4" w:space="0"/>
            </w:tcBorders>
            <w:vAlign w:val="center"/>
          </w:tcPr>
          <w:p>
            <w:pPr>
              <w:widowControl/>
              <w:jc w:val="center"/>
              <w:textAlignment w:val="center"/>
              <w:rPr>
                <w:rFonts w:ascii="宋体" w:hAnsi="宋体" w:cs="宋体"/>
                <w:color w:val="000000"/>
                <w:sz w:val="22"/>
              </w:rPr>
            </w:pPr>
          </w:p>
        </w:tc>
        <w:tc>
          <w:tcPr>
            <w:tcW w:w="496" w:type="dxa"/>
            <w:tcBorders>
              <w:bottom w:val="single" w:color="auto" w:sz="4" w:space="0"/>
            </w:tcBorders>
            <w:vAlign w:val="center"/>
          </w:tcPr>
          <w:p>
            <w:pPr>
              <w:jc w:val="left"/>
              <w:rPr>
                <w:rFonts w:ascii="宋体" w:hAnsi="宋体" w:cs="宋体"/>
                <w:color w:val="000000"/>
                <w:sz w:val="18"/>
                <w:szCs w:val="18"/>
              </w:rPr>
            </w:pPr>
          </w:p>
        </w:tc>
        <w:tc>
          <w:tcPr>
            <w:tcW w:w="1350" w:type="dxa"/>
            <w:tcBorders>
              <w:bottom w:val="single" w:color="auto" w:sz="4" w:space="0"/>
            </w:tcBorders>
            <w:vAlign w:val="center"/>
          </w:tcPr>
          <w:p>
            <w:pPr>
              <w:jc w:val="left"/>
              <w:rPr>
                <w:rFonts w:ascii="宋体" w:hAnsi="宋体" w:cs="宋体"/>
                <w:color w:val="000000"/>
                <w:sz w:val="18"/>
                <w:szCs w:val="18"/>
              </w:rPr>
            </w:pPr>
          </w:p>
        </w:tc>
        <w:tc>
          <w:tcPr>
            <w:tcW w:w="807" w:type="dxa"/>
            <w:gridSpan w:val="2"/>
            <w:tcBorders>
              <w:bottom w:val="single" w:color="auto" w:sz="4" w:space="0"/>
            </w:tcBorders>
            <w:vAlign w:val="center"/>
          </w:tcPr>
          <w:p>
            <w:pPr>
              <w:jc w:val="left"/>
              <w:rPr>
                <w:rFonts w:ascii="宋体" w:hAnsi="宋体" w:cs="宋体"/>
                <w:color w:val="000000"/>
                <w:sz w:val="18"/>
                <w:szCs w:val="18"/>
              </w:rPr>
            </w:pPr>
          </w:p>
        </w:tc>
        <w:tc>
          <w:tcPr>
            <w:tcW w:w="2726"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5876"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8105" w:type="dxa"/>
            <w:gridSpan w:val="7"/>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Layout w:type="fixed"/>
          <w:tblCellMar>
            <w:top w:w="15" w:type="dxa"/>
            <w:left w:w="15" w:type="dxa"/>
            <w:bottom w:w="15" w:type="dxa"/>
            <w:right w:w="15" w:type="dxa"/>
          </w:tblCellMar>
        </w:tblPrEx>
        <w:trPr>
          <w:trHeight w:val="312" w:hRule="atLeast"/>
        </w:trPr>
        <w:tc>
          <w:tcPr>
            <w:tcW w:w="272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49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265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2726" w:type="dxa"/>
            <w:vMerge w:val="restart"/>
            <w:tcBorders>
              <w:top w:val="single" w:color="auto" w:sz="4" w:space="0"/>
              <w:bottom w:val="single" w:color="auto" w:sz="4" w:space="0"/>
              <w:right w:val="single" w:color="000000" w:sz="4" w:space="0"/>
            </w:tcBorders>
            <w:vAlign w:val="center"/>
          </w:tcPr>
          <w:p>
            <w:pPr>
              <w:widowControl/>
              <w:jc w:val="center"/>
              <w:textAlignment w:val="bottom"/>
              <w:rPr>
                <w:rFonts w:ascii="宋体" w:hAnsi="宋体" w:cs="宋体"/>
                <w:color w:val="000000"/>
                <w:sz w:val="20"/>
                <w:szCs w:val="20"/>
              </w:rPr>
            </w:pPr>
            <w:r>
              <w:rPr>
                <w:rFonts w:hint="eastAsia" w:ascii="宋体" w:hAnsi="宋体" w:cs="宋体"/>
                <w:color w:val="000000"/>
                <w:kern w:val="0"/>
                <w:sz w:val="20"/>
                <w:szCs w:val="20"/>
              </w:rPr>
              <w:t>项目</w:t>
            </w:r>
          </w:p>
        </w:tc>
        <w:tc>
          <w:tcPr>
            <w:tcW w:w="49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行次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627"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一般公共预算财政拨款</w:t>
            </w:r>
          </w:p>
        </w:tc>
        <w:tc>
          <w:tcPr>
            <w:tcW w:w="162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政府性基金预算财政拨款</w:t>
            </w:r>
          </w:p>
        </w:tc>
      </w:tr>
      <w:tr>
        <w:tblPrEx>
          <w:tblLayout w:type="fixed"/>
          <w:tblCellMar>
            <w:top w:w="15" w:type="dxa"/>
            <w:left w:w="15" w:type="dxa"/>
            <w:bottom w:w="15" w:type="dxa"/>
            <w:right w:w="15" w:type="dxa"/>
          </w:tblCellMar>
        </w:tblPrEx>
        <w:trPr>
          <w:trHeight w:val="600" w:hRule="atLeast"/>
        </w:trPr>
        <w:tc>
          <w:tcPr>
            <w:tcW w:w="2726" w:type="dxa"/>
            <w:vMerge w:val="continue"/>
            <w:tcBorders>
              <w:top w:val="single" w:color="auto" w:sz="4" w:space="0"/>
              <w:left w:val="single" w:color="000000" w:sz="4" w:space="0"/>
              <w:bottom w:val="single" w:color="auto" w:sz="4" w:space="0"/>
              <w:right w:val="single" w:color="000000" w:sz="4" w:space="0"/>
            </w:tcBorders>
            <w:vAlign w:val="center"/>
          </w:tcPr>
          <w:p>
            <w:pPr>
              <w:rPr>
                <w:rFonts w:ascii="宋体" w:hAnsi="宋体" w:cs="宋体"/>
                <w:color w:val="000000"/>
                <w:sz w:val="20"/>
                <w:szCs w:val="20"/>
              </w:rPr>
            </w:pPr>
          </w:p>
        </w:tc>
        <w:tc>
          <w:tcPr>
            <w:tcW w:w="49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5"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726" w:type="dxa"/>
            <w:vMerge w:val="continue"/>
            <w:tcBorders>
              <w:top w:val="single" w:color="auto" w:sz="4" w:space="0"/>
              <w:bottom w:val="single" w:color="auto" w:sz="4" w:space="0"/>
              <w:right w:val="single" w:color="000000" w:sz="4" w:space="0"/>
            </w:tcBorders>
            <w:vAlign w:val="bottom"/>
          </w:tcPr>
          <w:p>
            <w:pPr>
              <w:rPr>
                <w:rFonts w:ascii="宋体" w:hAnsi="宋体" w:cs="宋体"/>
                <w:color w:val="000000"/>
                <w:sz w:val="20"/>
                <w:szCs w:val="20"/>
              </w:rPr>
            </w:pPr>
          </w:p>
        </w:tc>
        <w:tc>
          <w:tcPr>
            <w:tcW w:w="496"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7"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2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top w:val="single" w:color="auto" w:sz="4" w:space="0"/>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495" w:type="dxa"/>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265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26" w:type="dxa"/>
            <w:tcBorders>
              <w:top w:val="single" w:color="auto" w:sz="4" w:space="0"/>
              <w:bottom w:val="single" w:color="000000" w:sz="4" w:space="0"/>
              <w:right w:val="single" w:color="000000" w:sz="4" w:space="0"/>
            </w:tcBorders>
            <w:vAlign w:val="bottom"/>
          </w:tcPr>
          <w:p>
            <w:pPr>
              <w:widowControl/>
              <w:textAlignment w:val="bottom"/>
              <w:rPr>
                <w:rFonts w:ascii="宋体" w:hAnsi="宋体" w:cs="宋体"/>
                <w:color w:val="000000"/>
                <w:sz w:val="20"/>
                <w:szCs w:val="20"/>
              </w:rPr>
            </w:pPr>
            <w:r>
              <w:rPr>
                <w:rFonts w:hint="eastAsia" w:ascii="宋体" w:hAnsi="宋体" w:cs="宋体"/>
                <w:color w:val="000000"/>
                <w:kern w:val="0"/>
                <w:sz w:val="20"/>
                <w:szCs w:val="20"/>
              </w:rPr>
              <w:t>栏次</w:t>
            </w:r>
          </w:p>
        </w:tc>
        <w:tc>
          <w:tcPr>
            <w:tcW w:w="496" w:type="dxa"/>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627"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62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65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291.2</w:t>
            </w: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265.29</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265.29</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19.84</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19.84</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7.58</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7.58</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本年收入合计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265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291.2</w:t>
            </w:r>
          </w:p>
        </w:tc>
        <w:tc>
          <w:tcPr>
            <w:tcW w:w="2726" w:type="dxa"/>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本年支出合计</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292.71</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292.71</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年初财政拨款结转和结余</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265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w:t>
            </w:r>
          </w:p>
        </w:tc>
        <w:tc>
          <w:tcPr>
            <w:tcW w:w="272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年末财政拨款结转和结余</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57.48</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57.48</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一般公共预算财政拨款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265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59</w:t>
            </w: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政府性基金预算财政拨款</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265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72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7"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272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2655" w:type="dxa"/>
            <w:tcBorders>
              <w:bottom w:val="single" w:color="000000" w:sz="4" w:space="0"/>
              <w:right w:val="single" w:color="000000" w:sz="4" w:space="0"/>
            </w:tcBorders>
            <w:vAlign w:val="center"/>
          </w:tcPr>
          <w:p>
            <w:pPr>
              <w:jc w:val="center"/>
              <w:rPr>
                <w:rFonts w:hint="eastAsia" w:ascii="宋体" w:hAnsi="宋体" w:cs="宋体"/>
                <w:color w:val="000000"/>
                <w:sz w:val="20"/>
                <w:szCs w:val="20"/>
                <w:lang w:val="en-US" w:eastAsia="zh-CN"/>
              </w:rPr>
            </w:pPr>
            <w:r>
              <w:rPr>
                <w:rFonts w:hint="eastAsia" w:ascii="宋体" w:hAnsi="宋体" w:cs="宋体"/>
                <w:color w:val="000000"/>
                <w:sz w:val="20"/>
                <w:szCs w:val="20"/>
                <w:lang w:val="en-US" w:eastAsia="zh-CN"/>
              </w:rPr>
              <w:t>350.19</w:t>
            </w:r>
          </w:p>
        </w:tc>
        <w:tc>
          <w:tcPr>
            <w:tcW w:w="2726" w:type="dxa"/>
            <w:tcBorders>
              <w:bottom w:val="single" w:color="000000" w:sz="4" w:space="0"/>
              <w:right w:val="single" w:color="000000" w:sz="4" w:space="0"/>
            </w:tcBorders>
            <w:vAlign w:val="center"/>
          </w:tcPr>
          <w:p>
            <w:pPr>
              <w:widowControl/>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49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350.19</w:t>
            </w:r>
          </w:p>
        </w:tc>
        <w:tc>
          <w:tcPr>
            <w:tcW w:w="1627" w:type="dxa"/>
            <w:gridSpan w:val="2"/>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350.19</w:t>
            </w:r>
          </w:p>
        </w:tc>
        <w:tc>
          <w:tcPr>
            <w:tcW w:w="1629"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3981" w:type="dxa"/>
            <w:gridSpan w:val="10"/>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注：本表反映部门本年度一般公共预算财政拨款和政府性基金预算财政拨款的总收支和年末结转结余情况。</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982" w:type="dxa"/>
        <w:tblInd w:w="0" w:type="dxa"/>
        <w:tblLayout w:type="fixed"/>
        <w:tblCellMar>
          <w:top w:w="15" w:type="dxa"/>
          <w:left w:w="15" w:type="dxa"/>
          <w:bottom w:w="15" w:type="dxa"/>
          <w:right w:w="15" w:type="dxa"/>
        </w:tblCellMar>
      </w:tblPr>
      <w:tblGrid>
        <w:gridCol w:w="640"/>
        <w:gridCol w:w="309"/>
        <w:gridCol w:w="829"/>
        <w:gridCol w:w="1137"/>
        <w:gridCol w:w="329"/>
        <w:gridCol w:w="3579"/>
        <w:gridCol w:w="3365"/>
        <w:gridCol w:w="214"/>
        <w:gridCol w:w="931"/>
        <w:gridCol w:w="2649"/>
      </w:tblGrid>
      <w:tr>
        <w:tblPrEx>
          <w:tblLayout w:type="fixed"/>
          <w:tblCellMar>
            <w:top w:w="15" w:type="dxa"/>
            <w:left w:w="15" w:type="dxa"/>
            <w:bottom w:w="15" w:type="dxa"/>
            <w:right w:w="15" w:type="dxa"/>
          </w:tblCellMar>
        </w:tblPrEx>
        <w:trPr>
          <w:trHeight w:val="375" w:hRule="atLeast"/>
        </w:trPr>
        <w:tc>
          <w:tcPr>
            <w:tcW w:w="13982" w:type="dxa"/>
            <w:gridSpan w:val="10"/>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一般公共预算财政拨款支出决算表</w:t>
            </w:r>
          </w:p>
        </w:tc>
      </w:tr>
      <w:tr>
        <w:tblPrEx>
          <w:tblLayout w:type="fixed"/>
          <w:tblCellMar>
            <w:top w:w="15" w:type="dxa"/>
            <w:left w:w="15" w:type="dxa"/>
            <w:bottom w:w="15" w:type="dxa"/>
            <w:right w:w="15" w:type="dxa"/>
          </w:tblCellMar>
        </w:tblPrEx>
        <w:trPr>
          <w:trHeight w:val="300" w:hRule="atLeast"/>
        </w:trPr>
        <w:tc>
          <w:tcPr>
            <w:tcW w:w="640" w:type="dxa"/>
            <w:vAlign w:val="center"/>
          </w:tcPr>
          <w:p>
            <w:pPr>
              <w:jc w:val="left"/>
              <w:rPr>
                <w:rFonts w:ascii="宋体" w:hAnsi="宋体" w:cs="宋体"/>
                <w:color w:val="000000"/>
                <w:sz w:val="18"/>
                <w:szCs w:val="18"/>
              </w:rPr>
            </w:pPr>
          </w:p>
        </w:tc>
        <w:tc>
          <w:tcPr>
            <w:tcW w:w="1138" w:type="dxa"/>
            <w:gridSpan w:val="2"/>
            <w:vAlign w:val="center"/>
          </w:tcPr>
          <w:p>
            <w:pPr>
              <w:jc w:val="left"/>
              <w:rPr>
                <w:rFonts w:ascii="宋体" w:hAnsi="宋体" w:cs="宋体"/>
                <w:color w:val="000000"/>
                <w:sz w:val="18"/>
                <w:szCs w:val="18"/>
              </w:rPr>
            </w:pPr>
          </w:p>
        </w:tc>
        <w:tc>
          <w:tcPr>
            <w:tcW w:w="1137" w:type="dxa"/>
            <w:vAlign w:val="center"/>
          </w:tcPr>
          <w:p>
            <w:pPr>
              <w:jc w:val="left"/>
              <w:rPr>
                <w:rFonts w:ascii="宋体" w:hAnsi="宋体" w:cs="宋体"/>
                <w:color w:val="000000"/>
                <w:sz w:val="18"/>
                <w:szCs w:val="18"/>
              </w:rPr>
            </w:pPr>
          </w:p>
        </w:tc>
        <w:tc>
          <w:tcPr>
            <w:tcW w:w="329" w:type="dxa"/>
            <w:vAlign w:val="center"/>
          </w:tcPr>
          <w:p>
            <w:pPr>
              <w:jc w:val="left"/>
              <w:rPr>
                <w:rFonts w:ascii="宋体" w:hAnsi="宋体" w:cs="宋体"/>
                <w:color w:val="000000"/>
                <w:sz w:val="18"/>
                <w:szCs w:val="18"/>
              </w:rPr>
            </w:pPr>
          </w:p>
        </w:tc>
        <w:tc>
          <w:tcPr>
            <w:tcW w:w="6944" w:type="dxa"/>
            <w:gridSpan w:val="2"/>
            <w:vAlign w:val="center"/>
          </w:tcPr>
          <w:p>
            <w:pPr>
              <w:jc w:val="left"/>
              <w:rPr>
                <w:rFonts w:ascii="宋体" w:hAnsi="宋体" w:cs="宋体"/>
                <w:color w:val="000000"/>
                <w:sz w:val="18"/>
                <w:szCs w:val="18"/>
              </w:rPr>
            </w:pPr>
          </w:p>
        </w:tc>
        <w:tc>
          <w:tcPr>
            <w:tcW w:w="1145" w:type="dxa"/>
            <w:gridSpan w:val="2"/>
            <w:vAlign w:val="center"/>
          </w:tcPr>
          <w:p>
            <w:pPr>
              <w:jc w:val="left"/>
              <w:rPr>
                <w:rFonts w:ascii="宋体" w:hAnsi="宋体" w:cs="宋体"/>
                <w:color w:val="000000"/>
                <w:sz w:val="18"/>
                <w:szCs w:val="18"/>
              </w:rPr>
            </w:pPr>
          </w:p>
        </w:tc>
        <w:tc>
          <w:tcPr>
            <w:tcW w:w="2649"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公开05表</w:t>
            </w:r>
          </w:p>
        </w:tc>
      </w:tr>
      <w:tr>
        <w:tblPrEx>
          <w:tblLayout w:type="fixed"/>
          <w:tblCellMar>
            <w:top w:w="15" w:type="dxa"/>
            <w:left w:w="15" w:type="dxa"/>
            <w:bottom w:w="15" w:type="dxa"/>
            <w:right w:w="15" w:type="dxa"/>
          </w:tblCellMar>
        </w:tblPrEx>
        <w:trPr>
          <w:trHeight w:val="300" w:hRule="atLeast"/>
        </w:trPr>
        <w:tc>
          <w:tcPr>
            <w:tcW w:w="3244" w:type="dxa"/>
            <w:gridSpan w:val="5"/>
            <w:tcBorders>
              <w:bottom w:val="single" w:color="auto" w:sz="4" w:space="0"/>
            </w:tcBorders>
            <w:vAlign w:val="center"/>
          </w:tcPr>
          <w:p>
            <w:pPr>
              <w:jc w:val="left"/>
              <w:rPr>
                <w:rFonts w:ascii="宋体" w:hAnsi="宋体" w:cs="宋体"/>
                <w:color w:val="000000"/>
                <w:sz w:val="22"/>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6944" w:type="dxa"/>
            <w:gridSpan w:val="2"/>
            <w:tcBorders>
              <w:bottom w:val="single" w:color="auto" w:sz="4" w:space="0"/>
            </w:tcBorders>
            <w:vAlign w:val="center"/>
          </w:tcPr>
          <w:p>
            <w:pPr>
              <w:jc w:val="left"/>
              <w:rPr>
                <w:rFonts w:ascii="宋体" w:hAnsi="宋体" w:cs="宋体"/>
                <w:color w:val="000000"/>
                <w:sz w:val="18"/>
                <w:szCs w:val="18"/>
              </w:rPr>
            </w:pPr>
          </w:p>
        </w:tc>
        <w:tc>
          <w:tcPr>
            <w:tcW w:w="1145" w:type="dxa"/>
            <w:gridSpan w:val="2"/>
            <w:tcBorders>
              <w:bottom w:val="single" w:color="auto" w:sz="4" w:space="0"/>
            </w:tcBorders>
            <w:vAlign w:val="center"/>
          </w:tcPr>
          <w:p>
            <w:pPr>
              <w:jc w:val="left"/>
              <w:rPr>
                <w:rFonts w:ascii="宋体" w:hAnsi="宋体" w:cs="宋体"/>
                <w:color w:val="000000"/>
                <w:sz w:val="18"/>
                <w:szCs w:val="18"/>
              </w:rPr>
            </w:pPr>
          </w:p>
        </w:tc>
        <w:tc>
          <w:tcPr>
            <w:tcW w:w="2649"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10738"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r>
      <w:tr>
        <w:tblPrEx>
          <w:tblLayout w:type="fixed"/>
          <w:tblCellMar>
            <w:top w:w="15" w:type="dxa"/>
            <w:left w:w="15" w:type="dxa"/>
            <w:bottom w:w="15" w:type="dxa"/>
            <w:right w:w="15" w:type="dxa"/>
          </w:tblCellMar>
        </w:tblPrEx>
        <w:trPr>
          <w:trHeight w:val="312" w:hRule="atLeast"/>
        </w:trPr>
        <w:tc>
          <w:tcPr>
            <w:tcW w:w="949" w:type="dxa"/>
            <w:gridSpan w:val="2"/>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295" w:type="dxa"/>
            <w:gridSpan w:val="3"/>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3579"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3579"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3580" w:type="dxa"/>
            <w:gridSpan w:val="2"/>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949" w:type="dxa"/>
            <w:gridSpan w:val="2"/>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95" w:type="dxa"/>
            <w:gridSpan w:val="3"/>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79"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79"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358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44" w:type="dxa"/>
            <w:gridSpan w:val="5"/>
            <w:tcBorders>
              <w:top w:val="single" w:color="auto" w:sz="4" w:space="0"/>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3579"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3579"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3580" w:type="dxa"/>
            <w:gridSpan w:val="2"/>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r>
      <w:tr>
        <w:tblPrEx>
          <w:tblLayout w:type="fixed"/>
          <w:tblCellMar>
            <w:top w:w="15" w:type="dxa"/>
            <w:left w:w="15" w:type="dxa"/>
            <w:bottom w:w="15" w:type="dxa"/>
            <w:right w:w="15" w:type="dxa"/>
          </w:tblCellMar>
        </w:tblPrEx>
        <w:trPr>
          <w:trHeight w:val="300" w:hRule="atLeast"/>
        </w:trPr>
        <w:tc>
          <w:tcPr>
            <w:tcW w:w="3244"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3579" w:type="dxa"/>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292.71</w:t>
            </w:r>
          </w:p>
        </w:tc>
        <w:tc>
          <w:tcPr>
            <w:tcW w:w="3579" w:type="dxa"/>
            <w:gridSpan w:val="2"/>
            <w:tcBorders>
              <w:bottom w:val="single" w:color="000000" w:sz="4" w:space="0"/>
              <w:right w:val="single" w:color="000000" w:sz="4" w:space="0"/>
            </w:tcBorders>
            <w:vAlign w:val="center"/>
          </w:tcPr>
          <w:p>
            <w:pPr>
              <w:jc w:val="center"/>
              <w:rPr>
                <w:rFonts w:hint="eastAsia" w:ascii="宋体" w:hAnsi="宋体" w:eastAsia="宋体" w:cs="宋体"/>
                <w:b/>
                <w:color w:val="000000"/>
                <w:sz w:val="20"/>
                <w:szCs w:val="20"/>
                <w:lang w:val="en-US" w:eastAsia="zh-CN"/>
              </w:rPr>
            </w:pPr>
            <w:r>
              <w:rPr>
                <w:rFonts w:hint="eastAsia" w:ascii="宋体" w:hAnsi="宋体" w:cs="宋体"/>
                <w:b/>
                <w:color w:val="000000"/>
                <w:sz w:val="20"/>
                <w:szCs w:val="20"/>
                <w:lang w:val="en-US" w:eastAsia="zh-CN"/>
              </w:rPr>
              <w:t>292.71</w:t>
            </w:r>
          </w:p>
        </w:tc>
        <w:tc>
          <w:tcPr>
            <w:tcW w:w="358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29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3579"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29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3579"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949"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295"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3579"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579"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358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3982" w:type="dxa"/>
            <w:gridSpan w:val="10"/>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注：本表反映部门本年度一般公共预算财政拨款支出情况。</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982" w:type="dxa"/>
        <w:tblInd w:w="0" w:type="dxa"/>
        <w:tblLayout w:type="fixed"/>
        <w:tblCellMar>
          <w:top w:w="15" w:type="dxa"/>
          <w:left w:w="15" w:type="dxa"/>
          <w:bottom w:w="15" w:type="dxa"/>
          <w:right w:w="15" w:type="dxa"/>
        </w:tblCellMar>
      </w:tblPr>
      <w:tblGrid>
        <w:gridCol w:w="601"/>
        <w:gridCol w:w="2656"/>
        <w:gridCol w:w="1301"/>
        <w:gridCol w:w="601"/>
        <w:gridCol w:w="2657"/>
        <w:gridCol w:w="1301"/>
        <w:gridCol w:w="601"/>
        <w:gridCol w:w="2657"/>
        <w:gridCol w:w="1607"/>
      </w:tblGrid>
      <w:tr>
        <w:tblPrEx>
          <w:tblLayout w:type="fixed"/>
          <w:tblCellMar>
            <w:top w:w="15" w:type="dxa"/>
            <w:left w:w="15" w:type="dxa"/>
            <w:bottom w:w="15" w:type="dxa"/>
            <w:right w:w="15" w:type="dxa"/>
          </w:tblCellMar>
        </w:tblPrEx>
        <w:trPr>
          <w:trHeight w:val="375" w:hRule="atLeast"/>
        </w:trPr>
        <w:tc>
          <w:tcPr>
            <w:tcW w:w="13982" w:type="dxa"/>
            <w:gridSpan w:val="9"/>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一般公共预算财政拨款基本支出决算表</w:t>
            </w:r>
          </w:p>
        </w:tc>
      </w:tr>
      <w:tr>
        <w:tblPrEx>
          <w:tblLayout w:type="fixed"/>
          <w:tblCellMar>
            <w:top w:w="15" w:type="dxa"/>
            <w:left w:w="15" w:type="dxa"/>
            <w:bottom w:w="15" w:type="dxa"/>
            <w:right w:w="15" w:type="dxa"/>
          </w:tblCellMar>
        </w:tblPrEx>
        <w:trPr>
          <w:trHeight w:val="300" w:hRule="atLeast"/>
        </w:trPr>
        <w:tc>
          <w:tcPr>
            <w:tcW w:w="601" w:type="dxa"/>
            <w:vAlign w:val="center"/>
          </w:tcPr>
          <w:p>
            <w:pPr>
              <w:jc w:val="left"/>
              <w:rPr>
                <w:rFonts w:ascii="宋体" w:hAnsi="宋体" w:cs="宋体"/>
                <w:color w:val="000000"/>
                <w:sz w:val="18"/>
                <w:szCs w:val="18"/>
              </w:rPr>
            </w:pPr>
          </w:p>
        </w:tc>
        <w:tc>
          <w:tcPr>
            <w:tcW w:w="2656" w:type="dxa"/>
            <w:vAlign w:val="center"/>
          </w:tcPr>
          <w:p>
            <w:pPr>
              <w:jc w:val="left"/>
              <w:rPr>
                <w:rFonts w:ascii="宋体" w:hAnsi="宋体" w:cs="宋体"/>
                <w:color w:val="000000"/>
                <w:sz w:val="18"/>
                <w:szCs w:val="18"/>
              </w:rPr>
            </w:pPr>
          </w:p>
        </w:tc>
        <w:tc>
          <w:tcPr>
            <w:tcW w:w="1301" w:type="dxa"/>
            <w:vAlign w:val="center"/>
          </w:tcPr>
          <w:p>
            <w:pPr>
              <w:jc w:val="left"/>
              <w:rPr>
                <w:rFonts w:ascii="宋体" w:hAnsi="宋体" w:cs="宋体"/>
                <w:color w:val="000000"/>
                <w:sz w:val="18"/>
                <w:szCs w:val="18"/>
              </w:rPr>
            </w:pPr>
          </w:p>
        </w:tc>
        <w:tc>
          <w:tcPr>
            <w:tcW w:w="601" w:type="dxa"/>
            <w:vAlign w:val="center"/>
          </w:tcPr>
          <w:p>
            <w:pPr>
              <w:jc w:val="left"/>
              <w:rPr>
                <w:rFonts w:ascii="宋体" w:hAnsi="宋体" w:cs="宋体"/>
                <w:color w:val="000000"/>
                <w:sz w:val="18"/>
                <w:szCs w:val="18"/>
              </w:rPr>
            </w:pPr>
          </w:p>
        </w:tc>
        <w:tc>
          <w:tcPr>
            <w:tcW w:w="2657" w:type="dxa"/>
            <w:vAlign w:val="center"/>
          </w:tcPr>
          <w:p>
            <w:pPr>
              <w:jc w:val="left"/>
              <w:rPr>
                <w:rFonts w:ascii="宋体" w:hAnsi="宋体" w:cs="宋体"/>
                <w:color w:val="000000"/>
                <w:sz w:val="18"/>
                <w:szCs w:val="18"/>
              </w:rPr>
            </w:pPr>
          </w:p>
        </w:tc>
        <w:tc>
          <w:tcPr>
            <w:tcW w:w="1301" w:type="dxa"/>
            <w:vAlign w:val="center"/>
          </w:tcPr>
          <w:p>
            <w:pPr>
              <w:jc w:val="left"/>
              <w:rPr>
                <w:rFonts w:ascii="宋体" w:hAnsi="宋体" w:cs="宋体"/>
                <w:color w:val="000000"/>
                <w:sz w:val="18"/>
                <w:szCs w:val="18"/>
              </w:rPr>
            </w:pPr>
          </w:p>
        </w:tc>
        <w:tc>
          <w:tcPr>
            <w:tcW w:w="601" w:type="dxa"/>
            <w:vAlign w:val="center"/>
          </w:tcPr>
          <w:p>
            <w:pPr>
              <w:jc w:val="left"/>
              <w:rPr>
                <w:rFonts w:ascii="宋体" w:hAnsi="宋体" w:cs="宋体"/>
                <w:color w:val="000000"/>
                <w:sz w:val="18"/>
                <w:szCs w:val="18"/>
              </w:rPr>
            </w:pPr>
          </w:p>
        </w:tc>
        <w:tc>
          <w:tcPr>
            <w:tcW w:w="2657" w:type="dxa"/>
            <w:vAlign w:val="center"/>
          </w:tcPr>
          <w:p>
            <w:pPr>
              <w:jc w:val="left"/>
              <w:rPr>
                <w:rFonts w:ascii="宋体" w:hAnsi="宋体" w:cs="宋体"/>
                <w:color w:val="000000"/>
                <w:sz w:val="18"/>
                <w:szCs w:val="18"/>
              </w:rPr>
            </w:pPr>
          </w:p>
        </w:tc>
        <w:tc>
          <w:tcPr>
            <w:tcW w:w="1607"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公开06表</w:t>
            </w:r>
          </w:p>
        </w:tc>
      </w:tr>
      <w:tr>
        <w:tblPrEx>
          <w:tblLayout w:type="fixed"/>
          <w:tblCellMar>
            <w:top w:w="15" w:type="dxa"/>
            <w:left w:w="15" w:type="dxa"/>
            <w:bottom w:w="15" w:type="dxa"/>
            <w:right w:w="15" w:type="dxa"/>
          </w:tblCellMar>
        </w:tblPrEx>
        <w:trPr>
          <w:trHeight w:val="300" w:hRule="atLeast"/>
        </w:trPr>
        <w:tc>
          <w:tcPr>
            <w:tcW w:w="5159" w:type="dxa"/>
            <w:gridSpan w:val="4"/>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p>
        </w:tc>
        <w:tc>
          <w:tcPr>
            <w:tcW w:w="2657" w:type="dxa"/>
            <w:tcBorders>
              <w:bottom w:val="single" w:color="auto" w:sz="4" w:space="0"/>
            </w:tcBorders>
            <w:vAlign w:val="center"/>
          </w:tcPr>
          <w:p>
            <w:pPr>
              <w:jc w:val="center"/>
              <w:rPr>
                <w:rFonts w:ascii="宋体" w:hAnsi="宋体" w:cs="宋体"/>
                <w:color w:val="000000"/>
                <w:sz w:val="22"/>
              </w:rPr>
            </w:pPr>
          </w:p>
        </w:tc>
        <w:tc>
          <w:tcPr>
            <w:tcW w:w="1301" w:type="dxa"/>
            <w:tcBorders>
              <w:bottom w:val="single" w:color="auto" w:sz="4" w:space="0"/>
            </w:tcBorders>
            <w:vAlign w:val="center"/>
          </w:tcPr>
          <w:p>
            <w:pPr>
              <w:jc w:val="left"/>
              <w:rPr>
                <w:rFonts w:ascii="宋体" w:hAnsi="宋体" w:cs="宋体"/>
                <w:color w:val="000000"/>
                <w:sz w:val="18"/>
                <w:szCs w:val="18"/>
              </w:rPr>
            </w:pPr>
          </w:p>
        </w:tc>
        <w:tc>
          <w:tcPr>
            <w:tcW w:w="601" w:type="dxa"/>
            <w:tcBorders>
              <w:bottom w:val="single" w:color="auto" w:sz="4" w:space="0"/>
            </w:tcBorders>
            <w:vAlign w:val="center"/>
          </w:tcPr>
          <w:p>
            <w:pPr>
              <w:jc w:val="left"/>
              <w:rPr>
                <w:rFonts w:ascii="宋体" w:hAnsi="宋体" w:cs="宋体"/>
                <w:color w:val="000000"/>
                <w:sz w:val="18"/>
                <w:szCs w:val="18"/>
              </w:rPr>
            </w:pPr>
          </w:p>
        </w:tc>
        <w:tc>
          <w:tcPr>
            <w:tcW w:w="2657" w:type="dxa"/>
            <w:tcBorders>
              <w:bottom w:val="single" w:color="auto" w:sz="4" w:space="0"/>
            </w:tcBorders>
            <w:vAlign w:val="center"/>
          </w:tcPr>
          <w:p>
            <w:pPr>
              <w:jc w:val="left"/>
              <w:rPr>
                <w:rFonts w:ascii="宋体" w:hAnsi="宋体" w:cs="宋体"/>
                <w:color w:val="000000"/>
                <w:sz w:val="18"/>
                <w:szCs w:val="18"/>
              </w:rPr>
            </w:pPr>
          </w:p>
        </w:tc>
        <w:tc>
          <w:tcPr>
            <w:tcW w:w="1607"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4558" w:type="dxa"/>
            <w:gridSpan w:val="3"/>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w:t>
            </w:r>
          </w:p>
        </w:tc>
        <w:tc>
          <w:tcPr>
            <w:tcW w:w="9424"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公用经费</w:t>
            </w:r>
          </w:p>
        </w:tc>
      </w:tr>
      <w:tr>
        <w:tblPrEx>
          <w:tblLayout w:type="fixed"/>
          <w:tblCellMar>
            <w:top w:w="15" w:type="dxa"/>
            <w:left w:w="15" w:type="dxa"/>
            <w:bottom w:w="15" w:type="dxa"/>
            <w:right w:w="15" w:type="dxa"/>
          </w:tblCellMar>
        </w:tblPrEx>
        <w:trPr>
          <w:trHeight w:val="312" w:hRule="atLeast"/>
        </w:trPr>
        <w:tc>
          <w:tcPr>
            <w:tcW w:w="601"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3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c>
          <w:tcPr>
            <w:tcW w:w="60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经济分类科目编码</w:t>
            </w:r>
          </w:p>
        </w:tc>
        <w:tc>
          <w:tcPr>
            <w:tcW w:w="265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1607"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金额</w:t>
            </w:r>
          </w:p>
        </w:tc>
      </w:tr>
      <w:tr>
        <w:tblPrEx>
          <w:tblLayout w:type="fixed"/>
        </w:tblPrEx>
        <w:trPr>
          <w:trHeight w:val="600" w:hRule="atLeast"/>
        </w:trPr>
        <w:tc>
          <w:tcPr>
            <w:tcW w:w="601" w:type="dxa"/>
            <w:vMerge w:val="continue"/>
            <w:tcBorders>
              <w:top w:val="single" w:color="auto" w:sz="4" w:space="0"/>
              <w:left w:val="single" w:color="000000"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6"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3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601"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65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07"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top w:val="single" w:color="auto" w:sz="4" w:space="0"/>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w:t>
            </w:r>
          </w:p>
        </w:tc>
        <w:tc>
          <w:tcPr>
            <w:tcW w:w="2656"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工资福利支出</w:t>
            </w:r>
          </w:p>
        </w:tc>
        <w:tc>
          <w:tcPr>
            <w:tcW w:w="1301" w:type="dxa"/>
            <w:tcBorders>
              <w:top w:val="single" w:color="auto" w:sz="4" w:space="0"/>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146</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商品和服务支出</w:t>
            </w:r>
          </w:p>
        </w:tc>
        <w:tc>
          <w:tcPr>
            <w:tcW w:w="1301" w:type="dxa"/>
            <w:tcBorders>
              <w:top w:val="single" w:color="auto" w:sz="4" w:space="0"/>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137.56</w:t>
            </w:r>
          </w:p>
        </w:tc>
        <w:tc>
          <w:tcPr>
            <w:tcW w:w="601"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w:t>
            </w:r>
          </w:p>
        </w:tc>
        <w:tc>
          <w:tcPr>
            <w:tcW w:w="2657" w:type="dxa"/>
            <w:tcBorders>
              <w:top w:val="single" w:color="auto"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其他资本性支出</w:t>
            </w:r>
          </w:p>
        </w:tc>
        <w:tc>
          <w:tcPr>
            <w:tcW w:w="1607" w:type="dxa"/>
            <w:tcBorders>
              <w:top w:val="single" w:color="auto" w:sz="4" w:space="0"/>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2.1</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基本工资</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105.23</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办公费</w:t>
            </w:r>
          </w:p>
        </w:tc>
        <w:tc>
          <w:tcPr>
            <w:tcW w:w="1301" w:type="dxa"/>
            <w:tcBorders>
              <w:bottom w:val="single" w:color="000000" w:sz="4" w:space="0"/>
              <w:right w:val="single" w:color="000000" w:sz="4" w:space="0"/>
            </w:tcBorders>
            <w:vAlign w:val="center"/>
          </w:tcPr>
          <w:p>
            <w:pPr>
              <w:tabs>
                <w:tab w:val="left" w:pos="491"/>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59.83</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房屋建筑物购建</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津贴补贴</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7.92</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印刷费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9.11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办公设备购置</w:t>
            </w:r>
          </w:p>
        </w:tc>
        <w:tc>
          <w:tcPr>
            <w:tcW w:w="1607" w:type="dxa"/>
            <w:tcBorders>
              <w:bottom w:val="single" w:color="000000" w:sz="4" w:space="0"/>
              <w:right w:val="single" w:color="000000" w:sz="4" w:space="0"/>
            </w:tcBorders>
            <w:vAlign w:val="center"/>
          </w:tcPr>
          <w:p>
            <w:pPr>
              <w:tabs>
                <w:tab w:val="left" w:pos="552"/>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2.1</w:t>
            </w: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奖金</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12.48</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咨询费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专用设备购置</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30104</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其他社会保障缴费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8.36</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手续费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0.07</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基础设施建设</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30106</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伙食补助费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水费</w:t>
            </w:r>
          </w:p>
        </w:tc>
        <w:tc>
          <w:tcPr>
            <w:tcW w:w="1301" w:type="dxa"/>
            <w:tcBorders>
              <w:bottom w:val="single" w:color="000000" w:sz="4" w:space="0"/>
              <w:right w:val="single" w:color="000000" w:sz="4" w:space="0"/>
            </w:tcBorders>
            <w:vAlign w:val="center"/>
          </w:tcPr>
          <w:p>
            <w:pPr>
              <w:tabs>
                <w:tab w:val="left" w:pos="566"/>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0.67</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大型修缮</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30107</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绩效工资</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电费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1.14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信息网络及软件购置更新</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30108</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机关事业单位基本养老保险缴费</w:t>
            </w:r>
          </w:p>
        </w:tc>
        <w:tc>
          <w:tcPr>
            <w:tcW w:w="1301" w:type="dxa"/>
            <w:tcBorders>
              <w:bottom w:val="single" w:color="000000" w:sz="4" w:space="0"/>
              <w:right w:val="single" w:color="000000" w:sz="4" w:space="0"/>
            </w:tcBorders>
            <w:vAlign w:val="center"/>
          </w:tcPr>
          <w:p>
            <w:pPr>
              <w:tabs>
                <w:tab w:val="left" w:pos="505"/>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12</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邮电费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1.52</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物资储备</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30109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职业年金缴费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取暖费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31009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土地补偿</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30199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其他工资福利支出</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30209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物业管理费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2</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安置补助</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对个人和家庭的补助</w:t>
            </w:r>
          </w:p>
        </w:tc>
        <w:tc>
          <w:tcPr>
            <w:tcW w:w="1301" w:type="dxa"/>
            <w:tcBorders>
              <w:bottom w:val="single" w:color="000000" w:sz="4" w:space="0"/>
              <w:right w:val="single" w:color="000000" w:sz="4" w:space="0"/>
            </w:tcBorders>
            <w:vAlign w:val="center"/>
          </w:tcPr>
          <w:p>
            <w:pPr>
              <w:tabs>
                <w:tab w:val="left" w:pos="310"/>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7.06</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差旅费</w:t>
            </w:r>
          </w:p>
        </w:tc>
        <w:tc>
          <w:tcPr>
            <w:tcW w:w="1301" w:type="dxa"/>
            <w:tcBorders>
              <w:bottom w:val="single" w:color="000000" w:sz="4" w:space="0"/>
              <w:right w:val="single" w:color="000000" w:sz="4" w:space="0"/>
            </w:tcBorders>
            <w:vAlign w:val="center"/>
          </w:tcPr>
          <w:p>
            <w:pPr>
              <w:tabs>
                <w:tab w:val="left" w:pos="566"/>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8.31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地上附着物和青苗补偿</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离休费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因公出国（境）费用</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拆迁补偿</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退休费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7.06</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维修(护)费</w:t>
            </w:r>
          </w:p>
        </w:tc>
        <w:tc>
          <w:tcPr>
            <w:tcW w:w="1301" w:type="dxa"/>
            <w:tcBorders>
              <w:bottom w:val="single" w:color="000000" w:sz="4" w:space="0"/>
              <w:right w:val="single" w:color="000000" w:sz="4" w:space="0"/>
            </w:tcBorders>
            <w:vAlign w:val="center"/>
          </w:tcPr>
          <w:p>
            <w:pPr>
              <w:tabs>
                <w:tab w:val="left" w:pos="551"/>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17.29</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公务用车购置</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退职（役）费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租赁费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31019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其他交通工具购置</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30304</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抚恤金</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会议费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31020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产权参股</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30305</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生活补助</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培训费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31099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其他资本性支出</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30306</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救济费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公务接待费</w:t>
            </w:r>
          </w:p>
        </w:tc>
        <w:tc>
          <w:tcPr>
            <w:tcW w:w="1301" w:type="dxa"/>
            <w:tcBorders>
              <w:bottom w:val="single" w:color="000000" w:sz="4" w:space="0"/>
              <w:right w:val="single" w:color="000000" w:sz="4" w:space="0"/>
            </w:tcBorders>
            <w:vAlign w:val="center"/>
          </w:tcPr>
          <w:p>
            <w:pPr>
              <w:tabs>
                <w:tab w:val="left" w:pos="506"/>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4.7</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对企事业单位的补贴</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3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30307</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医疗费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30218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专用材料费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企业政策性补贴</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30308</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助学金</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30224</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被装购置费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30402</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事业单位补贴</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30309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奖励金</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30225</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专用燃料费</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30403</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财政贴息</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30310</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生产补贴</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劳务费</w:t>
            </w:r>
          </w:p>
        </w:tc>
        <w:tc>
          <w:tcPr>
            <w:tcW w:w="1301" w:type="dxa"/>
            <w:tcBorders>
              <w:bottom w:val="single" w:color="000000" w:sz="4" w:space="0"/>
              <w:right w:val="single" w:color="000000" w:sz="4" w:space="0"/>
            </w:tcBorders>
            <w:vAlign w:val="center"/>
          </w:tcPr>
          <w:p>
            <w:pPr>
              <w:tabs>
                <w:tab w:val="left" w:pos="281"/>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1.25</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30499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其他对企事业单位的补贴</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30311</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住房公积金</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委托业务费</w:t>
            </w:r>
          </w:p>
        </w:tc>
        <w:tc>
          <w:tcPr>
            <w:tcW w:w="1301" w:type="dxa"/>
            <w:tcBorders>
              <w:bottom w:val="single" w:color="000000" w:sz="4" w:space="0"/>
              <w:right w:val="single" w:color="000000" w:sz="4" w:space="0"/>
            </w:tcBorders>
            <w:vAlign w:val="center"/>
          </w:tcPr>
          <w:p>
            <w:pPr>
              <w:tabs>
                <w:tab w:val="left" w:pos="551"/>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5.14</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债务利息支出</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30312</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提租补贴</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30228</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工会经费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3.95</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国内债务付息</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30313</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购房补贴</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30229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福利费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4.76</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30707</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国外债务付息</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30314</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采暖补贴</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30231</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公务用车运行维护费</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4.2</w:t>
            </w: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其他支出</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30315</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物业服务补贴</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30239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其他交通费用</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39906</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赠与</w:t>
            </w: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30399</w:t>
            </w:r>
          </w:p>
        </w:tc>
        <w:tc>
          <w:tcPr>
            <w:tcW w:w="2656"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其他对个人和家庭的补助支出</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30240</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税金及附加费用</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601" w:type="dxa"/>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656"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30299</w:t>
            </w:r>
          </w:p>
        </w:tc>
        <w:tc>
          <w:tcPr>
            <w:tcW w:w="2657" w:type="dxa"/>
            <w:tcBorders>
              <w:bottom w:val="single" w:color="000000" w:sz="4" w:space="0"/>
              <w:right w:val="single" w:color="000000" w:sz="4" w:space="0"/>
            </w:tcBorders>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  其他商品和服务支出</w:t>
            </w:r>
          </w:p>
        </w:tc>
        <w:tc>
          <w:tcPr>
            <w:tcW w:w="130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601"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657" w:type="dxa"/>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1607"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257" w:type="dxa"/>
            <w:gridSpan w:val="2"/>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人员经费合计</w:t>
            </w:r>
          </w:p>
        </w:tc>
        <w:tc>
          <w:tcPr>
            <w:tcW w:w="1301"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153.06</w:t>
            </w:r>
          </w:p>
        </w:tc>
        <w:tc>
          <w:tcPr>
            <w:tcW w:w="7817" w:type="dxa"/>
            <w:gridSpan w:val="5"/>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公用经费合计</w:t>
            </w:r>
          </w:p>
        </w:tc>
        <w:tc>
          <w:tcPr>
            <w:tcW w:w="1607" w:type="dxa"/>
            <w:tcBorders>
              <w:bottom w:val="single" w:color="000000" w:sz="4" w:space="0"/>
              <w:right w:val="single" w:color="000000" w:sz="4" w:space="0"/>
            </w:tcBorders>
            <w:vAlign w:val="center"/>
          </w:tcPr>
          <w:p>
            <w:pPr>
              <w:tabs>
                <w:tab w:val="left" w:pos="417"/>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139.66</w:t>
            </w:r>
          </w:p>
        </w:tc>
      </w:tr>
    </w:tbl>
    <w:p>
      <w:pPr>
        <w:rPr>
          <w:rFonts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p>
    <w:tbl>
      <w:tblPr>
        <w:tblStyle w:val="7"/>
        <w:tblW w:w="13807" w:type="dxa"/>
        <w:tblInd w:w="0" w:type="dxa"/>
        <w:tblLayout w:type="fixed"/>
        <w:tblCellMar>
          <w:top w:w="15" w:type="dxa"/>
          <w:left w:w="15" w:type="dxa"/>
          <w:bottom w:w="15" w:type="dxa"/>
          <w:right w:w="15" w:type="dxa"/>
        </w:tblCellMar>
      </w:tblPr>
      <w:tblGrid>
        <w:gridCol w:w="1506"/>
        <w:gridCol w:w="1071"/>
        <w:gridCol w:w="1025"/>
        <w:gridCol w:w="1025"/>
        <w:gridCol w:w="1025"/>
        <w:gridCol w:w="1478"/>
        <w:gridCol w:w="1025"/>
        <w:gridCol w:w="1071"/>
        <w:gridCol w:w="1025"/>
        <w:gridCol w:w="1025"/>
        <w:gridCol w:w="1025"/>
        <w:gridCol w:w="1506"/>
      </w:tblGrid>
      <w:tr>
        <w:tblPrEx>
          <w:tblLayout w:type="fixed"/>
          <w:tblCellMar>
            <w:top w:w="15" w:type="dxa"/>
            <w:left w:w="15" w:type="dxa"/>
            <w:bottom w:w="15" w:type="dxa"/>
            <w:right w:w="15" w:type="dxa"/>
          </w:tblCellMar>
        </w:tblPrEx>
        <w:trPr>
          <w:trHeight w:val="555" w:hRule="atLeast"/>
        </w:trPr>
        <w:tc>
          <w:tcPr>
            <w:tcW w:w="13807" w:type="dxa"/>
            <w:gridSpan w:val="12"/>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一般公共预算财政拨款“三公”经费支出决算表</w:t>
            </w:r>
          </w:p>
        </w:tc>
      </w:tr>
      <w:tr>
        <w:tblPrEx>
          <w:tblLayout w:type="fixed"/>
          <w:tblCellMar>
            <w:top w:w="15" w:type="dxa"/>
            <w:left w:w="15" w:type="dxa"/>
            <w:bottom w:w="15" w:type="dxa"/>
            <w:right w:w="15" w:type="dxa"/>
          </w:tblCellMar>
        </w:tblPrEx>
        <w:trPr>
          <w:trHeight w:val="300" w:hRule="atLeast"/>
        </w:trPr>
        <w:tc>
          <w:tcPr>
            <w:tcW w:w="1506" w:type="dxa"/>
            <w:vAlign w:val="center"/>
          </w:tcPr>
          <w:p>
            <w:pPr>
              <w:widowControl/>
              <w:jc w:val="left"/>
              <w:textAlignment w:val="center"/>
              <w:rPr>
                <w:rFonts w:ascii="宋体" w:hAnsi="宋体" w:cs="宋体"/>
                <w:color w:val="000000"/>
                <w:sz w:val="22"/>
              </w:rPr>
            </w:pPr>
          </w:p>
        </w:tc>
        <w:tc>
          <w:tcPr>
            <w:tcW w:w="1071"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478"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71"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025" w:type="dxa"/>
            <w:vAlign w:val="center"/>
          </w:tcPr>
          <w:p>
            <w:pPr>
              <w:jc w:val="left"/>
              <w:rPr>
                <w:rFonts w:ascii="宋体" w:hAnsi="宋体" w:cs="宋体"/>
                <w:color w:val="000000"/>
                <w:sz w:val="18"/>
                <w:szCs w:val="18"/>
              </w:rPr>
            </w:pPr>
          </w:p>
        </w:tc>
        <w:tc>
          <w:tcPr>
            <w:tcW w:w="1506" w:type="dxa"/>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公开07表</w:t>
            </w:r>
          </w:p>
        </w:tc>
      </w:tr>
      <w:tr>
        <w:tblPrEx>
          <w:tblLayout w:type="fixed"/>
          <w:tblCellMar>
            <w:top w:w="15" w:type="dxa"/>
            <w:left w:w="15" w:type="dxa"/>
            <w:bottom w:w="15" w:type="dxa"/>
            <w:right w:w="15" w:type="dxa"/>
          </w:tblCellMar>
        </w:tblPrEx>
        <w:trPr>
          <w:trHeight w:val="300" w:hRule="atLeast"/>
        </w:trPr>
        <w:tc>
          <w:tcPr>
            <w:tcW w:w="4627" w:type="dxa"/>
            <w:gridSpan w:val="4"/>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1025" w:type="dxa"/>
            <w:tcBorders>
              <w:bottom w:val="single" w:color="auto" w:sz="4" w:space="0"/>
            </w:tcBorders>
            <w:vAlign w:val="center"/>
          </w:tcPr>
          <w:p>
            <w:pPr>
              <w:jc w:val="left"/>
              <w:rPr>
                <w:rFonts w:ascii="宋体" w:hAnsi="宋体" w:cs="宋体"/>
                <w:color w:val="000000"/>
                <w:sz w:val="18"/>
                <w:szCs w:val="18"/>
              </w:rPr>
            </w:pPr>
          </w:p>
        </w:tc>
        <w:tc>
          <w:tcPr>
            <w:tcW w:w="1478" w:type="dxa"/>
            <w:tcBorders>
              <w:bottom w:val="single" w:color="auto" w:sz="4" w:space="0"/>
            </w:tcBorders>
            <w:vAlign w:val="center"/>
          </w:tcPr>
          <w:p>
            <w:pPr>
              <w:jc w:val="center"/>
              <w:rPr>
                <w:rFonts w:ascii="宋体" w:hAnsi="宋体" w:cs="宋体"/>
                <w:color w:val="000000"/>
                <w:sz w:val="22"/>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71"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025" w:type="dxa"/>
            <w:tcBorders>
              <w:bottom w:val="single" w:color="auto" w:sz="4" w:space="0"/>
            </w:tcBorders>
            <w:vAlign w:val="center"/>
          </w:tcPr>
          <w:p>
            <w:pPr>
              <w:jc w:val="left"/>
              <w:rPr>
                <w:rFonts w:ascii="宋体" w:hAnsi="宋体" w:cs="宋体"/>
                <w:color w:val="000000"/>
                <w:sz w:val="18"/>
                <w:szCs w:val="18"/>
              </w:rPr>
            </w:pPr>
          </w:p>
        </w:tc>
        <w:tc>
          <w:tcPr>
            <w:tcW w:w="1506" w:type="dxa"/>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7130"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预算数</w:t>
            </w:r>
          </w:p>
        </w:tc>
        <w:tc>
          <w:tcPr>
            <w:tcW w:w="6677" w:type="dxa"/>
            <w:gridSpan w:val="6"/>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决算数</w:t>
            </w:r>
          </w:p>
        </w:tc>
      </w:tr>
      <w:tr>
        <w:tblPrEx>
          <w:tblLayout w:type="fixed"/>
          <w:tblCellMar>
            <w:top w:w="15" w:type="dxa"/>
            <w:left w:w="15" w:type="dxa"/>
            <w:bottom w:w="15" w:type="dxa"/>
            <w:right w:w="15" w:type="dxa"/>
          </w:tblCellMar>
        </w:tblPrEx>
        <w:trPr>
          <w:trHeight w:val="300" w:hRule="atLeast"/>
        </w:trPr>
        <w:tc>
          <w:tcPr>
            <w:tcW w:w="1506" w:type="dxa"/>
            <w:vMerge w:val="restart"/>
            <w:tcBorders>
              <w:top w:val="single" w:color="auto" w:sz="4" w:space="0"/>
              <w:left w:val="single" w:color="000000"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478"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c>
          <w:tcPr>
            <w:tcW w:w="1025"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1071"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因公出国（境）费</w:t>
            </w:r>
          </w:p>
        </w:tc>
        <w:tc>
          <w:tcPr>
            <w:tcW w:w="3075" w:type="dxa"/>
            <w:gridSpan w:val="3"/>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公务用车购置及运行费</w:t>
            </w:r>
          </w:p>
        </w:tc>
        <w:tc>
          <w:tcPr>
            <w:tcW w:w="1506" w:type="dxa"/>
            <w:vMerge w:val="restart"/>
            <w:tcBorders>
              <w:top w:val="single" w:color="auto" w:sz="4" w:space="0"/>
              <w:bottom w:val="single" w:color="auto"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公务接待费</w:t>
            </w:r>
          </w:p>
        </w:tc>
      </w:tr>
      <w:tr>
        <w:tblPrEx>
          <w:tblLayout w:type="fixed"/>
          <w:tblCellMar>
            <w:top w:w="15" w:type="dxa"/>
            <w:left w:w="15" w:type="dxa"/>
            <w:bottom w:w="15" w:type="dxa"/>
            <w:right w:w="15" w:type="dxa"/>
          </w:tblCellMar>
        </w:tblPrEx>
        <w:trPr>
          <w:trHeight w:val="600" w:hRule="atLeast"/>
        </w:trPr>
        <w:tc>
          <w:tcPr>
            <w:tcW w:w="1506" w:type="dxa"/>
            <w:vMerge w:val="continue"/>
            <w:tcBorders>
              <w:top w:val="single" w:color="auto" w:sz="4" w:space="0"/>
              <w:left w:val="single" w:color="000000"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公务用车运行费</w:t>
            </w:r>
          </w:p>
        </w:tc>
        <w:tc>
          <w:tcPr>
            <w:tcW w:w="1478"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71"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公务用车购置费</w:t>
            </w:r>
          </w:p>
        </w:tc>
        <w:tc>
          <w:tcPr>
            <w:tcW w:w="1025" w:type="dxa"/>
            <w:tcBorders>
              <w:top w:val="single" w:color="auto"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公务用车运行费</w:t>
            </w:r>
          </w:p>
        </w:tc>
        <w:tc>
          <w:tcPr>
            <w:tcW w:w="1506" w:type="dxa"/>
            <w:vMerge w:val="continue"/>
            <w:tcBorders>
              <w:top w:val="single" w:color="auto" w:sz="4" w:space="0"/>
              <w:bottom w:val="single" w:color="000000" w:sz="4" w:space="0"/>
              <w:right w:val="single" w:color="000000"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071"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478"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071"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025"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506"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r>
      <w:tr>
        <w:tblPrEx>
          <w:tblLayout w:type="fixed"/>
          <w:tblCellMar>
            <w:top w:w="15" w:type="dxa"/>
            <w:left w:w="15" w:type="dxa"/>
            <w:bottom w:w="15" w:type="dxa"/>
            <w:right w:w="15" w:type="dxa"/>
          </w:tblCellMar>
        </w:tblPrEx>
        <w:trPr>
          <w:trHeight w:val="300" w:hRule="atLeast"/>
        </w:trPr>
        <w:tc>
          <w:tcPr>
            <w:tcW w:w="1506" w:type="dxa"/>
            <w:tcBorders>
              <w:left w:val="single" w:color="000000" w:sz="4" w:space="0"/>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9.8</w:t>
            </w:r>
          </w:p>
        </w:tc>
        <w:tc>
          <w:tcPr>
            <w:tcW w:w="107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2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5</w:t>
            </w:r>
          </w:p>
        </w:tc>
        <w:tc>
          <w:tcPr>
            <w:tcW w:w="102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25" w:type="dxa"/>
            <w:tcBorders>
              <w:bottom w:val="single" w:color="000000" w:sz="4" w:space="0"/>
              <w:right w:val="single" w:color="000000" w:sz="4" w:space="0"/>
            </w:tcBorders>
            <w:vAlign w:val="center"/>
          </w:tcPr>
          <w:p>
            <w:pPr>
              <w:tabs>
                <w:tab w:val="left" w:pos="428"/>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5</w:t>
            </w:r>
          </w:p>
        </w:tc>
        <w:tc>
          <w:tcPr>
            <w:tcW w:w="1478"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4.8</w:t>
            </w:r>
          </w:p>
        </w:tc>
        <w:tc>
          <w:tcPr>
            <w:tcW w:w="1025"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8.9</w:t>
            </w:r>
          </w:p>
        </w:tc>
        <w:tc>
          <w:tcPr>
            <w:tcW w:w="1071"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25" w:type="dxa"/>
            <w:tcBorders>
              <w:bottom w:val="single" w:color="000000" w:sz="4" w:space="0"/>
              <w:right w:val="single" w:color="000000" w:sz="4" w:space="0"/>
            </w:tcBorders>
            <w:vAlign w:val="center"/>
          </w:tcPr>
          <w:p>
            <w:pPr>
              <w:tabs>
                <w:tab w:val="left" w:pos="434"/>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4.2</w:t>
            </w:r>
          </w:p>
        </w:tc>
        <w:tc>
          <w:tcPr>
            <w:tcW w:w="1025"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025" w:type="dxa"/>
            <w:tcBorders>
              <w:bottom w:val="single" w:color="000000" w:sz="4" w:space="0"/>
              <w:right w:val="single" w:color="000000" w:sz="4" w:space="0"/>
            </w:tcBorders>
            <w:vAlign w:val="center"/>
          </w:tcPr>
          <w:p>
            <w:pPr>
              <w:tabs>
                <w:tab w:val="left" w:pos="274"/>
              </w:tabs>
              <w:jc w:val="left"/>
              <w:rPr>
                <w:rFonts w:hint="eastAsia" w:ascii="宋体" w:hAnsi="宋体" w:eastAsia="宋体" w:cs="宋体"/>
                <w:color w:val="000000"/>
                <w:sz w:val="20"/>
                <w:szCs w:val="20"/>
                <w:lang w:val="en-US" w:eastAsia="zh-CN"/>
              </w:rPr>
            </w:pPr>
            <w:r>
              <w:rPr>
                <w:rFonts w:hint="eastAsia" w:ascii="宋体" w:hAnsi="宋体" w:cs="宋体"/>
                <w:color w:val="000000"/>
                <w:sz w:val="20"/>
                <w:szCs w:val="20"/>
                <w:lang w:eastAsia="zh-CN"/>
              </w:rPr>
              <w:tab/>
            </w:r>
            <w:r>
              <w:rPr>
                <w:rFonts w:hint="eastAsia" w:ascii="宋体" w:hAnsi="宋体" w:cs="宋体"/>
                <w:color w:val="000000"/>
                <w:sz w:val="20"/>
                <w:szCs w:val="20"/>
                <w:lang w:val="en-US" w:eastAsia="zh-CN"/>
              </w:rPr>
              <w:t>4.2</w:t>
            </w:r>
          </w:p>
        </w:tc>
        <w:tc>
          <w:tcPr>
            <w:tcW w:w="1506" w:type="dxa"/>
            <w:tcBorders>
              <w:bottom w:val="single" w:color="000000" w:sz="4" w:space="0"/>
              <w:right w:val="single" w:color="000000" w:sz="4" w:space="0"/>
            </w:tcBorders>
            <w:vAlign w:val="center"/>
          </w:tcPr>
          <w:p>
            <w:pPr>
              <w:jc w:val="center"/>
              <w:rPr>
                <w:rFonts w:hint="eastAsia" w:ascii="宋体" w:hAnsi="宋体" w:eastAsia="宋体" w:cs="宋体"/>
                <w:color w:val="000000"/>
                <w:sz w:val="20"/>
                <w:szCs w:val="20"/>
                <w:lang w:val="en-US" w:eastAsia="zh-CN"/>
              </w:rPr>
            </w:pPr>
            <w:r>
              <w:rPr>
                <w:rFonts w:hint="eastAsia" w:ascii="宋体" w:hAnsi="宋体" w:cs="宋体"/>
                <w:color w:val="000000"/>
                <w:sz w:val="20"/>
                <w:szCs w:val="20"/>
                <w:lang w:val="en-US" w:eastAsia="zh-CN"/>
              </w:rPr>
              <w:t>4.7</w:t>
            </w:r>
          </w:p>
        </w:tc>
      </w:tr>
      <w:tr>
        <w:tblPrEx>
          <w:tblLayout w:type="fixed"/>
          <w:tblCellMar>
            <w:top w:w="15" w:type="dxa"/>
            <w:left w:w="15" w:type="dxa"/>
            <w:bottom w:w="15" w:type="dxa"/>
            <w:right w:w="15" w:type="dxa"/>
          </w:tblCellMar>
        </w:tblPrEx>
        <w:trPr>
          <w:trHeight w:val="600" w:hRule="atLeast"/>
        </w:trPr>
        <w:tc>
          <w:tcPr>
            <w:tcW w:w="13807" w:type="dxa"/>
            <w:gridSpan w:val="12"/>
            <w:vAlign w:val="center"/>
          </w:tcPr>
          <w:p>
            <w:pPr>
              <w:widowControl/>
              <w:jc w:val="left"/>
              <w:textAlignment w:val="center"/>
              <w:rPr>
                <w:rFonts w:ascii="宋体" w:hAnsi="宋体" w:cs="宋体"/>
                <w:color w:val="000000"/>
                <w:sz w:val="20"/>
                <w:szCs w:val="20"/>
              </w:rPr>
            </w:pPr>
            <w:r>
              <w:rPr>
                <w:rFonts w:hint="eastAsia" w:ascii="宋体" w:hAnsi="宋体" w:cs="宋体"/>
                <w:color w:val="000000"/>
                <w:kern w:val="0"/>
                <w:sz w:val="20"/>
                <w:szCs w:val="20"/>
              </w:rPr>
              <w:t>注：本表反映部门本年度“三公”经费支出预决算情况。其中：2017年度预算数为“三公”经费年初预算数，决算数是包括当年一般公共预算财政拨款和以前年度结转资金安排的实际支出。</w:t>
            </w:r>
          </w:p>
        </w:tc>
      </w:tr>
    </w:tbl>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p>
      <w:pPr>
        <w:rPr>
          <w:rFonts w:ascii="仿宋_GB2312" w:hAnsi="仿宋_GB2312" w:eastAsia="仿宋_GB2312" w:cs="仿宋_GB2312"/>
          <w:sz w:val="32"/>
          <w:szCs w:val="32"/>
        </w:rPr>
      </w:pPr>
    </w:p>
    <w:tbl>
      <w:tblPr>
        <w:tblStyle w:val="7"/>
        <w:tblW w:w="13979" w:type="dxa"/>
        <w:tblInd w:w="0" w:type="dxa"/>
        <w:tblLayout w:type="fixed"/>
        <w:tblCellMar>
          <w:top w:w="15" w:type="dxa"/>
          <w:left w:w="15" w:type="dxa"/>
          <w:bottom w:w="15" w:type="dxa"/>
          <w:right w:w="15" w:type="dxa"/>
        </w:tblCellMar>
      </w:tblPr>
      <w:tblGrid>
        <w:gridCol w:w="522"/>
        <w:gridCol w:w="352"/>
        <w:gridCol w:w="696"/>
        <w:gridCol w:w="1049"/>
        <w:gridCol w:w="580"/>
        <w:gridCol w:w="2190"/>
        <w:gridCol w:w="2220"/>
        <w:gridCol w:w="1640"/>
        <w:gridCol w:w="1572"/>
        <w:gridCol w:w="68"/>
        <w:gridCol w:w="983"/>
        <w:gridCol w:w="657"/>
        <w:gridCol w:w="1450"/>
      </w:tblGrid>
      <w:tr>
        <w:tblPrEx>
          <w:tblLayout w:type="fixed"/>
          <w:tblCellMar>
            <w:top w:w="15" w:type="dxa"/>
            <w:left w:w="15" w:type="dxa"/>
            <w:bottom w:w="15" w:type="dxa"/>
            <w:right w:w="15" w:type="dxa"/>
          </w:tblCellMar>
        </w:tblPrEx>
        <w:trPr>
          <w:trHeight w:val="375" w:hRule="atLeast"/>
        </w:trPr>
        <w:tc>
          <w:tcPr>
            <w:tcW w:w="13979" w:type="dxa"/>
            <w:gridSpan w:val="13"/>
            <w:tcBorders>
              <w:right w:val="nil"/>
            </w:tcBorders>
            <w:vAlign w:val="center"/>
          </w:tcPr>
          <w:p>
            <w:pPr>
              <w:widowControl/>
              <w:jc w:val="center"/>
              <w:textAlignment w:val="center"/>
              <w:rPr>
                <w:rFonts w:ascii="黑体" w:hAnsi="宋体" w:eastAsia="黑体" w:cs="黑体"/>
                <w:color w:val="000000"/>
                <w:sz w:val="30"/>
                <w:szCs w:val="30"/>
              </w:rPr>
            </w:pPr>
            <w:r>
              <w:rPr>
                <w:rFonts w:hint="eastAsia" w:ascii="黑体" w:hAnsi="宋体" w:eastAsia="黑体" w:cs="黑体"/>
                <w:color w:val="000000"/>
                <w:kern w:val="0"/>
                <w:sz w:val="30"/>
                <w:szCs w:val="30"/>
              </w:rPr>
              <w:t>政府性基金预算财政拨款收入支出决算表</w:t>
            </w:r>
          </w:p>
        </w:tc>
      </w:tr>
      <w:tr>
        <w:tblPrEx>
          <w:tblLayout w:type="fixed"/>
          <w:tblCellMar>
            <w:top w:w="15" w:type="dxa"/>
            <w:left w:w="15" w:type="dxa"/>
            <w:bottom w:w="15" w:type="dxa"/>
            <w:right w:w="15" w:type="dxa"/>
          </w:tblCellMar>
        </w:tblPrEx>
        <w:trPr>
          <w:trHeight w:val="300" w:hRule="atLeast"/>
        </w:trPr>
        <w:tc>
          <w:tcPr>
            <w:tcW w:w="522" w:type="dxa"/>
            <w:vAlign w:val="center"/>
          </w:tcPr>
          <w:p>
            <w:pPr>
              <w:jc w:val="left"/>
              <w:rPr>
                <w:rFonts w:ascii="宋体" w:hAnsi="宋体" w:cs="宋体"/>
                <w:color w:val="000000"/>
                <w:sz w:val="18"/>
                <w:szCs w:val="18"/>
              </w:rPr>
            </w:pPr>
          </w:p>
        </w:tc>
        <w:tc>
          <w:tcPr>
            <w:tcW w:w="1048" w:type="dxa"/>
            <w:gridSpan w:val="2"/>
            <w:vAlign w:val="center"/>
          </w:tcPr>
          <w:p>
            <w:pPr>
              <w:jc w:val="left"/>
              <w:rPr>
                <w:rFonts w:ascii="宋体" w:hAnsi="宋体" w:cs="宋体"/>
                <w:color w:val="000000"/>
                <w:sz w:val="18"/>
                <w:szCs w:val="18"/>
              </w:rPr>
            </w:pPr>
          </w:p>
        </w:tc>
        <w:tc>
          <w:tcPr>
            <w:tcW w:w="1049" w:type="dxa"/>
            <w:vAlign w:val="center"/>
          </w:tcPr>
          <w:p>
            <w:pPr>
              <w:jc w:val="left"/>
              <w:rPr>
                <w:rFonts w:ascii="宋体" w:hAnsi="宋体" w:cs="宋体"/>
                <w:color w:val="000000"/>
                <w:sz w:val="18"/>
                <w:szCs w:val="18"/>
              </w:rPr>
            </w:pPr>
          </w:p>
        </w:tc>
        <w:tc>
          <w:tcPr>
            <w:tcW w:w="580" w:type="dxa"/>
            <w:vAlign w:val="center"/>
          </w:tcPr>
          <w:p>
            <w:pPr>
              <w:jc w:val="left"/>
              <w:rPr>
                <w:rFonts w:ascii="宋体" w:hAnsi="宋体" w:cs="宋体"/>
                <w:color w:val="000000"/>
                <w:sz w:val="18"/>
                <w:szCs w:val="18"/>
              </w:rPr>
            </w:pPr>
          </w:p>
        </w:tc>
        <w:tc>
          <w:tcPr>
            <w:tcW w:w="2190" w:type="dxa"/>
            <w:vAlign w:val="center"/>
          </w:tcPr>
          <w:p>
            <w:pPr>
              <w:jc w:val="left"/>
              <w:rPr>
                <w:rFonts w:ascii="宋体" w:hAnsi="宋体" w:cs="宋体"/>
                <w:color w:val="000000"/>
                <w:sz w:val="18"/>
                <w:szCs w:val="18"/>
              </w:rPr>
            </w:pPr>
          </w:p>
        </w:tc>
        <w:tc>
          <w:tcPr>
            <w:tcW w:w="2220" w:type="dxa"/>
            <w:vAlign w:val="center"/>
          </w:tcPr>
          <w:p>
            <w:pPr>
              <w:jc w:val="left"/>
              <w:rPr>
                <w:rFonts w:ascii="宋体" w:hAnsi="宋体" w:cs="宋体"/>
                <w:color w:val="000000"/>
                <w:sz w:val="18"/>
                <w:szCs w:val="18"/>
              </w:rPr>
            </w:pPr>
          </w:p>
        </w:tc>
        <w:tc>
          <w:tcPr>
            <w:tcW w:w="3212" w:type="dxa"/>
            <w:gridSpan w:val="2"/>
            <w:vAlign w:val="center"/>
          </w:tcPr>
          <w:p>
            <w:pPr>
              <w:jc w:val="left"/>
              <w:rPr>
                <w:rFonts w:ascii="宋体" w:hAnsi="宋体" w:cs="宋体"/>
                <w:color w:val="000000"/>
                <w:sz w:val="18"/>
                <w:szCs w:val="18"/>
              </w:rPr>
            </w:pPr>
          </w:p>
        </w:tc>
        <w:tc>
          <w:tcPr>
            <w:tcW w:w="3158" w:type="dxa"/>
            <w:gridSpan w:val="4"/>
            <w:tcBorders>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公开08表</w:t>
            </w:r>
          </w:p>
        </w:tc>
      </w:tr>
      <w:tr>
        <w:tblPrEx>
          <w:tblLayout w:type="fixed"/>
          <w:tblCellMar>
            <w:top w:w="15" w:type="dxa"/>
            <w:left w:w="15" w:type="dxa"/>
            <w:bottom w:w="15" w:type="dxa"/>
            <w:right w:w="15" w:type="dxa"/>
          </w:tblCellMar>
        </w:tblPrEx>
        <w:trPr>
          <w:trHeight w:val="300" w:hRule="atLeast"/>
        </w:trPr>
        <w:tc>
          <w:tcPr>
            <w:tcW w:w="3199" w:type="dxa"/>
            <w:gridSpan w:val="5"/>
            <w:tcBorders>
              <w:bottom w:val="single" w:color="auto" w:sz="4" w:space="0"/>
            </w:tcBorders>
            <w:vAlign w:val="center"/>
          </w:tcPr>
          <w:p>
            <w:pPr>
              <w:jc w:val="left"/>
              <w:rPr>
                <w:rFonts w:ascii="宋体" w:hAnsi="宋体" w:cs="宋体"/>
                <w:color w:val="000000"/>
                <w:sz w:val="18"/>
                <w:szCs w:val="18"/>
              </w:rPr>
            </w:pPr>
            <w:r>
              <w:rPr>
                <w:rFonts w:hint="eastAsia" w:ascii="宋体" w:hAnsi="宋体" w:cs="宋体"/>
                <w:color w:val="000000"/>
                <w:kern w:val="0"/>
                <w:sz w:val="22"/>
              </w:rPr>
              <w:t>部门：</w:t>
            </w:r>
            <w:r>
              <w:rPr>
                <w:rFonts w:hint="eastAsia" w:ascii="宋体" w:hAnsi="宋体" w:cs="宋体"/>
                <w:color w:val="000000"/>
                <w:kern w:val="0"/>
                <w:sz w:val="22"/>
                <w:lang w:eastAsia="zh-CN"/>
              </w:rPr>
              <w:t>中共西华县委宣传部</w:t>
            </w:r>
          </w:p>
        </w:tc>
        <w:tc>
          <w:tcPr>
            <w:tcW w:w="2190" w:type="dxa"/>
            <w:tcBorders>
              <w:bottom w:val="single" w:color="auto" w:sz="4" w:space="0"/>
            </w:tcBorders>
            <w:vAlign w:val="center"/>
          </w:tcPr>
          <w:p>
            <w:pPr>
              <w:widowControl/>
              <w:jc w:val="center"/>
              <w:textAlignment w:val="center"/>
              <w:rPr>
                <w:rFonts w:ascii="宋体" w:hAnsi="宋体" w:cs="宋体"/>
                <w:color w:val="000000"/>
                <w:sz w:val="22"/>
              </w:rPr>
            </w:pPr>
          </w:p>
        </w:tc>
        <w:tc>
          <w:tcPr>
            <w:tcW w:w="2220" w:type="dxa"/>
            <w:tcBorders>
              <w:bottom w:val="single" w:color="auto" w:sz="4" w:space="0"/>
            </w:tcBorders>
            <w:vAlign w:val="center"/>
          </w:tcPr>
          <w:p>
            <w:pPr>
              <w:jc w:val="left"/>
              <w:rPr>
                <w:rFonts w:ascii="宋体" w:hAnsi="宋体" w:cs="宋体"/>
                <w:color w:val="000000"/>
                <w:sz w:val="18"/>
                <w:szCs w:val="18"/>
              </w:rPr>
            </w:pPr>
          </w:p>
        </w:tc>
        <w:tc>
          <w:tcPr>
            <w:tcW w:w="3212" w:type="dxa"/>
            <w:gridSpan w:val="2"/>
            <w:tcBorders>
              <w:bottom w:val="single" w:color="auto" w:sz="4" w:space="0"/>
            </w:tcBorders>
            <w:vAlign w:val="center"/>
          </w:tcPr>
          <w:p>
            <w:pPr>
              <w:jc w:val="left"/>
              <w:rPr>
                <w:rFonts w:ascii="宋体" w:hAnsi="宋体" w:cs="宋体"/>
                <w:color w:val="000000"/>
                <w:sz w:val="18"/>
                <w:szCs w:val="18"/>
              </w:rPr>
            </w:pPr>
          </w:p>
        </w:tc>
        <w:tc>
          <w:tcPr>
            <w:tcW w:w="1051" w:type="dxa"/>
            <w:gridSpan w:val="2"/>
            <w:tcBorders>
              <w:bottom w:val="single" w:color="auto" w:sz="4" w:space="0"/>
            </w:tcBorders>
            <w:vAlign w:val="center"/>
          </w:tcPr>
          <w:p>
            <w:pPr>
              <w:jc w:val="left"/>
              <w:rPr>
                <w:rFonts w:ascii="宋体" w:hAnsi="宋体" w:cs="宋体"/>
                <w:color w:val="000000"/>
                <w:sz w:val="18"/>
                <w:szCs w:val="18"/>
              </w:rPr>
            </w:pPr>
          </w:p>
        </w:tc>
        <w:tc>
          <w:tcPr>
            <w:tcW w:w="2107" w:type="dxa"/>
            <w:gridSpan w:val="2"/>
            <w:tcBorders>
              <w:bottom w:val="single" w:color="auto" w:sz="4" w:space="0"/>
              <w:right w:val="nil"/>
            </w:tcBorders>
            <w:vAlign w:val="center"/>
          </w:tcPr>
          <w:p>
            <w:pPr>
              <w:widowControl/>
              <w:jc w:val="right"/>
              <w:textAlignment w:val="center"/>
              <w:rPr>
                <w:rFonts w:ascii="宋体" w:hAnsi="宋体" w:cs="宋体"/>
                <w:color w:val="000000"/>
                <w:sz w:val="22"/>
              </w:rPr>
            </w:pPr>
            <w:r>
              <w:rPr>
                <w:rFonts w:hint="eastAsia" w:ascii="宋体" w:hAnsi="宋体" w:cs="宋体"/>
                <w:color w:val="000000"/>
                <w:kern w:val="0"/>
                <w:sz w:val="22"/>
              </w:rPr>
              <w:t>金额单位：万元</w:t>
            </w:r>
          </w:p>
        </w:tc>
      </w:tr>
      <w:tr>
        <w:tblPrEx>
          <w:tblLayout w:type="fixed"/>
          <w:tblCellMar>
            <w:top w:w="15" w:type="dxa"/>
            <w:left w:w="15" w:type="dxa"/>
            <w:bottom w:w="15" w:type="dxa"/>
            <w:right w:w="15" w:type="dxa"/>
          </w:tblCellMar>
        </w:tblPrEx>
        <w:trPr>
          <w:trHeight w:val="300" w:hRule="atLeast"/>
        </w:trPr>
        <w:tc>
          <w:tcPr>
            <w:tcW w:w="3199"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219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222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w:t>
            </w:r>
          </w:p>
        </w:tc>
        <w:tc>
          <w:tcPr>
            <w:tcW w:w="4920" w:type="dxa"/>
            <w:gridSpan w:val="5"/>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w:t>
            </w:r>
          </w:p>
        </w:tc>
        <w:tc>
          <w:tcPr>
            <w:tcW w:w="145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r>
      <w:tr>
        <w:tblPrEx>
          <w:tblLayout w:type="fixed"/>
          <w:tblCellMar>
            <w:top w:w="15" w:type="dxa"/>
            <w:left w:w="15" w:type="dxa"/>
            <w:bottom w:w="15" w:type="dxa"/>
            <w:right w:w="15" w:type="dxa"/>
          </w:tblCellMar>
        </w:tblPrEx>
        <w:trPr>
          <w:trHeight w:val="312" w:hRule="atLeast"/>
        </w:trPr>
        <w:tc>
          <w:tcPr>
            <w:tcW w:w="874" w:type="dxa"/>
            <w:gridSpan w:val="2"/>
            <w:vMerge w:val="restart"/>
            <w:tcBorders>
              <w:left w:val="single" w:color="000000" w:sz="4" w:space="0"/>
              <w:bottom w:val="single" w:color="000000"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2325" w:type="dxa"/>
            <w:gridSpan w:val="3"/>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219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c>
          <w:tcPr>
            <w:tcW w:w="1640" w:type="dxa"/>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小计</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基本支出</w:t>
            </w:r>
          </w:p>
        </w:tc>
        <w:tc>
          <w:tcPr>
            <w:tcW w:w="1640"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项目支出</w:t>
            </w:r>
          </w:p>
        </w:tc>
        <w:tc>
          <w:tcPr>
            <w:tcW w:w="1450" w:type="dxa"/>
            <w:vMerge w:val="continue"/>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12" w:hRule="atLeast"/>
        </w:trPr>
        <w:tc>
          <w:tcPr>
            <w:tcW w:w="874" w:type="dxa"/>
            <w:gridSpan w:val="2"/>
            <w:vMerge w:val="continue"/>
            <w:tcBorders>
              <w:left w:val="single" w:color="000000" w:sz="4" w:space="0"/>
              <w:bottom w:val="single" w:color="000000" w:sz="4" w:space="0"/>
              <w:right w:val="single" w:color="auto" w:sz="4" w:space="0"/>
            </w:tcBorders>
            <w:vAlign w:val="center"/>
          </w:tcPr>
          <w:p>
            <w:pPr>
              <w:jc w:val="center"/>
              <w:rPr>
                <w:rFonts w:ascii="宋体" w:hAnsi="宋体" w:cs="宋体"/>
                <w:color w:val="000000"/>
                <w:sz w:val="20"/>
                <w:szCs w:val="20"/>
              </w:rPr>
            </w:pPr>
          </w:p>
        </w:tc>
        <w:tc>
          <w:tcPr>
            <w:tcW w:w="2325" w:type="dxa"/>
            <w:gridSpan w:val="3"/>
            <w:vMerge w:val="continue"/>
            <w:tcBorders>
              <w:top w:val="single" w:color="auto" w:sz="4" w:space="0"/>
              <w:left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19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222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640" w:type="dxa"/>
            <w:gridSpan w:val="2"/>
            <w:vMerge w:val="continue"/>
            <w:tcBorders>
              <w:top w:val="single" w:color="auto" w:sz="4" w:space="0"/>
              <w:bottom w:val="single" w:color="auto" w:sz="4" w:space="0"/>
              <w:right w:val="single" w:color="000000" w:sz="4" w:space="0"/>
            </w:tcBorders>
            <w:vAlign w:val="center"/>
          </w:tcPr>
          <w:p>
            <w:pPr>
              <w:jc w:val="center"/>
              <w:rPr>
                <w:rFonts w:ascii="宋体" w:hAnsi="宋体" w:cs="宋体"/>
                <w:color w:val="000000"/>
                <w:sz w:val="20"/>
                <w:szCs w:val="20"/>
              </w:rPr>
            </w:pPr>
          </w:p>
        </w:tc>
        <w:tc>
          <w:tcPr>
            <w:tcW w:w="1450" w:type="dxa"/>
            <w:vMerge w:val="continue"/>
            <w:tcBorders>
              <w:top w:val="single" w:color="auto" w:sz="4" w:space="0"/>
              <w:bottom w:val="single" w:color="auto" w:sz="4" w:space="0"/>
              <w:right w:val="single" w:color="auto" w:sz="4" w:space="0"/>
            </w:tcBorders>
            <w:vAlign w:val="center"/>
          </w:tcPr>
          <w:p>
            <w:pPr>
              <w:jc w:val="center"/>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219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22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64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640" w:type="dxa"/>
            <w:gridSpan w:val="2"/>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450" w:type="dxa"/>
            <w:tcBorders>
              <w:bottom w:val="single" w:color="000000" w:sz="4" w:space="0"/>
              <w:right w:val="single" w:color="000000" w:sz="4" w:space="0"/>
            </w:tcBorders>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r>
      <w:tr>
        <w:tblPrEx>
          <w:tblLayout w:type="fixed"/>
          <w:tblCellMar>
            <w:top w:w="15" w:type="dxa"/>
            <w:left w:w="15" w:type="dxa"/>
            <w:bottom w:w="15" w:type="dxa"/>
            <w:right w:w="15" w:type="dxa"/>
          </w:tblCellMar>
        </w:tblPrEx>
        <w:trPr>
          <w:trHeight w:val="300" w:hRule="atLeast"/>
        </w:trPr>
        <w:tc>
          <w:tcPr>
            <w:tcW w:w="3199" w:type="dxa"/>
            <w:gridSpan w:val="5"/>
            <w:tcBorders>
              <w:left w:val="single" w:color="000000" w:sz="4" w:space="0"/>
              <w:bottom w:val="single" w:color="000000" w:sz="4" w:space="0"/>
              <w:right w:val="single" w:color="000000" w:sz="4" w:space="0"/>
            </w:tcBorders>
            <w:vAlign w:val="center"/>
          </w:tcPr>
          <w:p>
            <w:pPr>
              <w:widowControl/>
              <w:textAlignment w:val="center"/>
              <w:rPr>
                <w:rFonts w:ascii="宋体" w:hAnsi="宋体" w:cs="宋体"/>
                <w:color w:val="000000"/>
                <w:sz w:val="20"/>
                <w:szCs w:val="20"/>
              </w:rPr>
            </w:pPr>
            <w:r>
              <w:rPr>
                <w:rFonts w:hint="eastAsia" w:ascii="宋体" w:hAnsi="宋体" w:cs="宋体"/>
                <w:color w:val="000000"/>
                <w:kern w:val="0"/>
                <w:sz w:val="20"/>
                <w:szCs w:val="20"/>
              </w:rPr>
              <w:t>合计</w:t>
            </w:r>
          </w:p>
        </w:tc>
        <w:tc>
          <w:tcPr>
            <w:tcW w:w="219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219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b/>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hAnsi="宋体" w:cs="宋体"/>
                <w:b/>
                <w:color w:val="000000"/>
                <w:sz w:val="20"/>
                <w:szCs w:val="20"/>
              </w:rPr>
            </w:pPr>
          </w:p>
        </w:tc>
        <w:tc>
          <w:tcPr>
            <w:tcW w:w="219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222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b/>
                <w:color w:val="000000"/>
                <w:sz w:val="20"/>
                <w:szCs w:val="20"/>
              </w:rPr>
            </w:pPr>
          </w:p>
        </w:tc>
        <w:tc>
          <w:tcPr>
            <w:tcW w:w="1450" w:type="dxa"/>
            <w:tcBorders>
              <w:bottom w:val="single" w:color="000000" w:sz="4" w:space="0"/>
              <w:right w:val="single" w:color="000000" w:sz="4" w:space="0"/>
            </w:tcBorders>
            <w:vAlign w:val="center"/>
          </w:tcPr>
          <w:p>
            <w:pPr>
              <w:jc w:val="right"/>
              <w:rPr>
                <w:rFonts w:ascii="宋体" w:hAnsi="宋体" w:cs="宋体"/>
                <w:b/>
                <w:color w:val="000000"/>
                <w:sz w:val="20"/>
                <w:szCs w:val="20"/>
              </w:rPr>
            </w:pPr>
          </w:p>
        </w:tc>
      </w:tr>
      <w:tr>
        <w:tblPrEx>
          <w:tblLayout w:type="fixed"/>
          <w:tblCellMar>
            <w:top w:w="15" w:type="dxa"/>
            <w:left w:w="15" w:type="dxa"/>
            <w:bottom w:w="15" w:type="dxa"/>
            <w:right w:w="15" w:type="dxa"/>
          </w:tblCellMar>
        </w:tblPrEx>
        <w:trPr>
          <w:trHeight w:val="300" w:hRule="atLeast"/>
        </w:trPr>
        <w:tc>
          <w:tcPr>
            <w:tcW w:w="874" w:type="dxa"/>
            <w:gridSpan w:val="2"/>
            <w:tcBorders>
              <w:left w:val="single" w:color="000000" w:sz="4" w:space="0"/>
              <w:bottom w:val="single" w:color="000000" w:sz="4" w:space="0"/>
              <w:right w:val="single" w:color="000000" w:sz="4" w:space="0"/>
            </w:tcBorders>
            <w:vAlign w:val="center"/>
          </w:tcPr>
          <w:p>
            <w:pPr>
              <w:jc w:val="left"/>
              <w:rPr>
                <w:rFonts w:ascii="宋体" w:hAnsi="宋体" w:cs="宋体"/>
                <w:color w:val="000000"/>
                <w:sz w:val="20"/>
                <w:szCs w:val="20"/>
              </w:rPr>
            </w:pPr>
          </w:p>
        </w:tc>
        <w:tc>
          <w:tcPr>
            <w:tcW w:w="2325" w:type="dxa"/>
            <w:gridSpan w:val="3"/>
            <w:tcBorders>
              <w:bottom w:val="single" w:color="000000" w:sz="4" w:space="0"/>
              <w:right w:val="single" w:color="000000" w:sz="4" w:space="0"/>
            </w:tcBorders>
            <w:vAlign w:val="center"/>
          </w:tcPr>
          <w:p>
            <w:pPr>
              <w:jc w:val="left"/>
              <w:rPr>
                <w:rFonts w:ascii="宋体" w:hAnsi="宋体" w:cs="宋体"/>
                <w:color w:val="000000"/>
                <w:sz w:val="20"/>
                <w:szCs w:val="20"/>
              </w:rPr>
            </w:pPr>
          </w:p>
        </w:tc>
        <w:tc>
          <w:tcPr>
            <w:tcW w:w="219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222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40" w:type="dxa"/>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640" w:type="dxa"/>
            <w:gridSpan w:val="2"/>
            <w:tcBorders>
              <w:bottom w:val="single" w:color="000000" w:sz="4" w:space="0"/>
              <w:right w:val="single" w:color="000000" w:sz="4" w:space="0"/>
            </w:tcBorders>
            <w:vAlign w:val="center"/>
          </w:tcPr>
          <w:p>
            <w:pPr>
              <w:jc w:val="right"/>
              <w:rPr>
                <w:rFonts w:ascii="宋体" w:hAnsi="宋体" w:cs="宋体"/>
                <w:color w:val="000000"/>
                <w:sz w:val="20"/>
                <w:szCs w:val="20"/>
              </w:rPr>
            </w:pPr>
          </w:p>
        </w:tc>
        <w:tc>
          <w:tcPr>
            <w:tcW w:w="1450" w:type="dxa"/>
            <w:tcBorders>
              <w:bottom w:val="single" w:color="000000" w:sz="4" w:space="0"/>
              <w:right w:val="single" w:color="000000" w:sz="4" w:space="0"/>
            </w:tcBorders>
            <w:vAlign w:val="center"/>
          </w:tcPr>
          <w:p>
            <w:pPr>
              <w:jc w:val="right"/>
              <w:rPr>
                <w:rFonts w:ascii="宋体" w:hAnsi="宋体" w:cs="宋体"/>
                <w:color w:val="000000"/>
                <w:sz w:val="20"/>
                <w:szCs w:val="20"/>
              </w:rPr>
            </w:pPr>
          </w:p>
        </w:tc>
      </w:tr>
      <w:tr>
        <w:tblPrEx>
          <w:tblLayout w:type="fixed"/>
          <w:tblCellMar>
            <w:top w:w="15" w:type="dxa"/>
            <w:left w:w="15" w:type="dxa"/>
            <w:bottom w:w="15" w:type="dxa"/>
            <w:right w:w="15" w:type="dxa"/>
          </w:tblCellMar>
        </w:tblPrEx>
        <w:trPr>
          <w:trHeight w:val="300" w:hRule="atLeast"/>
        </w:trPr>
        <w:tc>
          <w:tcPr>
            <w:tcW w:w="13979" w:type="dxa"/>
            <w:gridSpan w:val="13"/>
            <w:vAlign w:val="center"/>
          </w:tcPr>
          <w:p>
            <w:pPr>
              <w:widowControl/>
              <w:jc w:val="left"/>
              <w:textAlignment w:val="center"/>
              <w:rPr>
                <w:rFonts w:ascii="宋体" w:hAnsi="宋体" w:cs="宋体"/>
                <w:color w:val="000000"/>
                <w:kern w:val="0"/>
                <w:sz w:val="20"/>
                <w:szCs w:val="20"/>
              </w:rPr>
            </w:pPr>
            <w:r>
              <w:rPr>
                <w:rFonts w:hint="eastAsia" w:ascii="宋体" w:hAnsi="宋体" w:cs="宋体"/>
                <w:color w:val="000000"/>
                <w:kern w:val="0"/>
                <w:sz w:val="20"/>
                <w:szCs w:val="20"/>
              </w:rPr>
              <w:t>注：本表反映部门本年度政府性基金预算财政拨款收入、支出及结转和结余情况。</w:t>
            </w:r>
          </w:p>
          <w:p>
            <w:pPr>
              <w:widowControl/>
              <w:jc w:val="left"/>
              <w:textAlignment w:val="center"/>
              <w:rPr>
                <w:rFonts w:ascii="宋体" w:hAnsi="宋体" w:cs="宋体"/>
                <w:color w:val="000000"/>
                <w:sz w:val="20"/>
                <w:szCs w:val="20"/>
              </w:rPr>
            </w:pPr>
            <w:r>
              <w:rPr>
                <w:rFonts w:hint="eastAsia" w:ascii="宋体" w:hAnsi="宋体" w:cs="宋体"/>
                <w:b/>
                <w:color w:val="000000"/>
                <w:kern w:val="0"/>
                <w:sz w:val="20"/>
                <w:szCs w:val="20"/>
              </w:rPr>
              <w:t>（该报表全部数据为零时）说明：</w:t>
            </w:r>
            <w:r>
              <w:rPr>
                <w:rFonts w:hint="eastAsia" w:ascii="宋体" w:hAnsi="宋体" w:cs="宋体"/>
                <w:b/>
                <w:bCs/>
                <w:color w:val="000000"/>
                <w:kern w:val="0"/>
                <w:sz w:val="20"/>
                <w:szCs w:val="20"/>
                <w:lang w:eastAsia="zh-CN"/>
              </w:rPr>
              <w:t>中共西华县委宣传部</w:t>
            </w:r>
            <w:r>
              <w:rPr>
                <w:rFonts w:hint="eastAsia" w:ascii="宋体" w:hAnsi="宋体" w:cs="宋体"/>
                <w:b/>
                <w:color w:val="000000"/>
                <w:kern w:val="0"/>
                <w:sz w:val="20"/>
                <w:szCs w:val="20"/>
              </w:rPr>
              <w:t>没有政府性基金收入，也没有使用政府性基金安排的支出，故本表无数据。</w:t>
            </w:r>
          </w:p>
        </w:tc>
      </w:tr>
    </w:tbl>
    <w:p>
      <w:pPr>
        <w:rPr>
          <w:rFonts w:ascii="仿宋_GB2312" w:hAnsi="仿宋_GB2312" w:eastAsia="仿宋_GB2312" w:cs="仿宋_GB2312"/>
          <w:sz w:val="32"/>
          <w:szCs w:val="32"/>
        </w:rPr>
        <w:sectPr>
          <w:pgSz w:w="16838" w:h="11906" w:orient="landscape"/>
          <w:pgMar w:top="2098" w:right="1474" w:bottom="1984" w:left="1587" w:header="720" w:footer="720" w:gutter="0"/>
          <w:pgNumType w:fmt="numberInDash"/>
          <w:cols w:space="720" w:num="1"/>
          <w:docGrid w:type="lines" w:linePitch="312" w:charSpace="0"/>
        </w:sect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jc w:val="center"/>
        <w:rPr>
          <w:rFonts w:hint="eastAsia" w:ascii="仿宋" w:hAnsi="仿宋" w:eastAsia="仿宋"/>
          <w:b/>
          <w:sz w:val="44"/>
          <w:szCs w:val="44"/>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center"/>
        <w:rPr>
          <w:rFonts w:ascii="黑体" w:eastAsia="黑体"/>
          <w:sz w:val="48"/>
        </w:rPr>
      </w:pPr>
    </w:p>
    <w:p>
      <w:pPr>
        <w:tabs>
          <w:tab w:val="left" w:pos="3993"/>
        </w:tabs>
        <w:spacing w:before="32" w:line="520" w:lineRule="exact"/>
        <w:ind w:firstLine="1080" w:firstLineChars="225"/>
        <w:jc w:val="both"/>
        <w:rPr>
          <w:rFonts w:ascii="黑体" w:eastAsia="黑体"/>
          <w:sz w:val="48"/>
        </w:rPr>
      </w:pPr>
    </w:p>
    <w:p>
      <w:pPr>
        <w:tabs>
          <w:tab w:val="left" w:pos="3993"/>
        </w:tabs>
        <w:spacing w:before="32" w:line="520" w:lineRule="exact"/>
        <w:ind w:firstLine="1080" w:firstLineChars="225"/>
        <w:jc w:val="center"/>
        <w:rPr>
          <w:rFonts w:ascii="黑体" w:eastAsia="黑体"/>
          <w:sz w:val="48"/>
        </w:rPr>
      </w:pPr>
      <w:r>
        <w:rPr>
          <w:rFonts w:hint="eastAsia" w:ascii="黑体" w:eastAsia="黑体"/>
          <w:sz w:val="48"/>
        </w:rPr>
        <w:t>第</w:t>
      </w:r>
      <w:r>
        <w:rPr>
          <w:rFonts w:hint="eastAsia" w:ascii="黑体" w:eastAsia="黑体"/>
          <w:sz w:val="48"/>
          <w:lang w:val="en-US" w:eastAsia="zh-CN"/>
        </w:rPr>
        <w:t>三</w:t>
      </w:r>
      <w:r>
        <w:rPr>
          <w:rFonts w:hint="eastAsia" w:ascii="黑体" w:eastAsia="黑体"/>
          <w:sz w:val="48"/>
        </w:rPr>
        <w:t>部分</w:t>
      </w:r>
      <w:r>
        <w:rPr>
          <w:rFonts w:ascii="黑体" w:eastAsia="黑体"/>
          <w:sz w:val="48"/>
        </w:rPr>
        <w:t xml:space="preserve"> 名词解释</w:t>
      </w: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b/>
          <w:lang w:val="en-US"/>
        </w:rPr>
      </w:pPr>
    </w:p>
    <w:p>
      <w:pPr>
        <w:pStyle w:val="2"/>
        <w:spacing w:before="2" w:line="520" w:lineRule="exact"/>
        <w:ind w:right="270" w:firstLine="723" w:firstLineChars="225"/>
        <w:jc w:val="both"/>
        <w:rPr>
          <w:lang w:val="en-US"/>
        </w:rPr>
      </w:pPr>
      <w:r>
        <w:rPr>
          <w:rFonts w:hint="eastAsia"/>
          <w:b/>
          <w:lang w:val="en-US"/>
        </w:rPr>
        <w:t>一、财政拨款收入</w:t>
      </w:r>
      <w:r>
        <w:rPr>
          <w:rFonts w:hint="eastAsia"/>
          <w:lang w:val="en-US"/>
        </w:rPr>
        <w:t>：指省级财政当年拨付的资金。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二、事业收入</w:t>
      </w:r>
      <w:r>
        <w:rPr>
          <w:rFonts w:hint="eastAsia"/>
          <w:lang w:val="en-US"/>
        </w:rPr>
        <w:t>：指事业单位开展专业活动及辅助活动所取得的收入。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三、其他收入</w:t>
      </w:r>
      <w:r>
        <w:rPr>
          <w:rFonts w:hint="eastAsia"/>
          <w:lang w:val="en-US"/>
        </w:rPr>
        <w:t>：指部门取得的除“财政拨款”、“事业收入”、“事业单位经营收入”等以外的收入。</w:t>
      </w:r>
      <w:r>
        <w:rPr>
          <w:lang w:val="en-US"/>
        </w:rPr>
        <w:t xml:space="preserve"> </w:t>
      </w:r>
    </w:p>
    <w:p>
      <w:pPr>
        <w:pStyle w:val="2"/>
        <w:spacing w:before="2" w:line="520" w:lineRule="exact"/>
        <w:ind w:right="270" w:firstLine="723" w:firstLineChars="225"/>
        <w:jc w:val="both"/>
        <w:rPr>
          <w:lang w:val="en-US"/>
        </w:rPr>
      </w:pPr>
      <w:r>
        <w:rPr>
          <w:rFonts w:hint="eastAsia"/>
          <w:b/>
          <w:lang w:val="en-US"/>
        </w:rPr>
        <w:t>四、年初结转和结余</w:t>
      </w:r>
      <w:r>
        <w:rPr>
          <w:rFonts w:hint="eastAsia"/>
          <w:lang w:val="en-US"/>
        </w:rPr>
        <w:t>：指以前年度尚未完成、结转到本年</w:t>
      </w:r>
    </w:p>
    <w:p>
      <w:pPr>
        <w:pStyle w:val="2"/>
        <w:spacing w:before="2" w:line="520" w:lineRule="exact"/>
        <w:ind w:right="270" w:firstLine="720" w:firstLineChars="225"/>
        <w:jc w:val="both"/>
        <w:rPr>
          <w:lang w:val="en-US"/>
        </w:rPr>
      </w:pPr>
      <w:r>
        <w:rPr>
          <w:rFonts w:hint="eastAsia"/>
          <w:lang w:val="en-US"/>
        </w:rPr>
        <w:t>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五、社会保障和就业（类）行政事业单位离退休（款）归口管理的行政单位离退休（项）</w:t>
      </w:r>
      <w:r>
        <w:rPr>
          <w:rFonts w:hint="eastAsia"/>
          <w:lang w:val="en-US"/>
        </w:rPr>
        <w:t>：反映实行归口管理的行政单位（包括实行公务员管理的事业单位）开支的离退休经费。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六、社会保障和就业（类）行政事业单位离退休（款）事业单位离退休（项）</w:t>
      </w:r>
      <w:r>
        <w:rPr>
          <w:rFonts w:hint="eastAsia"/>
          <w:lang w:val="en-US"/>
        </w:rPr>
        <w:t>：反映实行归口管理的事业单位开支的离退休经费。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七、社会保障和就业（类）行政事业单位离退休（款）</w:t>
      </w:r>
    </w:p>
    <w:p>
      <w:pPr>
        <w:pStyle w:val="2"/>
        <w:spacing w:before="2" w:line="520" w:lineRule="exact"/>
        <w:ind w:right="270" w:firstLine="720" w:firstLineChars="225"/>
        <w:jc w:val="both"/>
        <w:rPr>
          <w:lang w:val="en-US"/>
        </w:rPr>
      </w:pPr>
      <w:r>
        <w:rPr>
          <w:rFonts w:hint="eastAsia"/>
          <w:lang w:val="en-US"/>
        </w:rPr>
        <w:t>机关事业单位基本养老保险缴费支出（项）：反映机关事业单位实施养老保险制度由单位缴纳的基本养老保险费支出。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八、社会保障和就业（类）抚恤（款）死亡抚恤（项）</w:t>
      </w:r>
      <w:r>
        <w:rPr>
          <w:rFonts w:hint="eastAsia"/>
          <w:lang w:val="en-US"/>
        </w:rPr>
        <w:t>：反映按规定用于烈士和牺牲、病故人员家属的一次性和定期抚恤金以及丧葬补助费。</w:t>
      </w:r>
      <w:r>
        <w:rPr>
          <w:lang w:val="en-US"/>
        </w:rPr>
        <w:t xml:space="preserve"> </w:t>
      </w:r>
    </w:p>
    <w:p>
      <w:pPr>
        <w:pStyle w:val="2"/>
        <w:spacing w:before="2" w:line="520" w:lineRule="exact"/>
        <w:ind w:right="270" w:firstLine="723" w:firstLineChars="225"/>
        <w:jc w:val="both"/>
        <w:rPr>
          <w:b/>
          <w:lang w:val="en-US"/>
        </w:rPr>
      </w:pPr>
      <w:r>
        <w:rPr>
          <w:rFonts w:hint="eastAsia"/>
          <w:b/>
          <w:lang w:val="en-US"/>
        </w:rPr>
        <w:t>九、医疗卫生与计划生育（类）医疗保障（款）行政单位医疗（项）</w:t>
      </w:r>
      <w:r>
        <w:rPr>
          <w:rFonts w:hint="eastAsia"/>
          <w:lang w:val="en-US"/>
        </w:rPr>
        <w:t>：反映财政部门集中安排的行政单位基本医疗保险缴费经费，未参加医疗保险的行政单位的公费医疗经费，按国家规定享受离休人员待遇的医疗经费。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十、医疗卫生与计划生育（类）医疗保障（款）事业单位医疗（项）</w:t>
      </w:r>
      <w:r>
        <w:rPr>
          <w:rFonts w:hint="eastAsia"/>
          <w:lang w:val="en-US"/>
        </w:rPr>
        <w:t>：反映财政部门集中安排的行政单位基本医疗保险缴费经费，未参加医疗保险的事业单位的公费医疗经费，按国家规定享受离休人员待遇的医疗经费。</w:t>
      </w:r>
      <w:r>
        <w:rPr>
          <w:lang w:val="en-US"/>
        </w:rPr>
        <w:t xml:space="preserve"> </w:t>
      </w:r>
    </w:p>
    <w:p>
      <w:pPr>
        <w:pStyle w:val="2"/>
        <w:spacing w:before="2" w:line="520" w:lineRule="exact"/>
        <w:ind w:right="270" w:firstLine="723" w:firstLineChars="225"/>
        <w:jc w:val="both"/>
        <w:rPr>
          <w:lang w:val="en-US"/>
        </w:rPr>
      </w:pPr>
      <w:r>
        <w:rPr>
          <w:rFonts w:hint="eastAsia"/>
          <w:b/>
          <w:lang w:val="en-US"/>
        </w:rPr>
        <w:t>十一、住房保障（类）住房改革支出（款）住房公积金（项）：</w:t>
      </w:r>
      <w:r>
        <w:rPr>
          <w:rFonts w:hint="eastAsia"/>
          <w:lang w:val="en-US"/>
        </w:rPr>
        <w:t>反映行政事业单位按人力资源和社会保障部、财政部规定的基本工资和津贴补贴以及规定比例为职工缴纳的住房公积金。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十二、年末结转和结余：</w:t>
      </w:r>
      <w:r>
        <w:rPr>
          <w:rFonts w:hint="eastAsia"/>
          <w:lang w:val="en-US"/>
        </w:rPr>
        <w:t>指本年度或以前年度预算安排、因客观条件发生变化无法按原计划实施，需要延迟到以后年度按有关规定继续使用的资金。</w:t>
      </w:r>
      <w:r>
        <w:rPr>
          <w:lang w:val="en-US"/>
        </w:rPr>
        <w:t xml:space="preserve"> </w:t>
      </w:r>
    </w:p>
    <w:p>
      <w:pPr>
        <w:pStyle w:val="2"/>
        <w:spacing w:before="2" w:line="520" w:lineRule="exact"/>
        <w:ind w:right="270" w:firstLine="723" w:firstLineChars="225"/>
        <w:jc w:val="both"/>
        <w:rPr>
          <w:lang w:val="en-US"/>
        </w:rPr>
      </w:pPr>
      <w:r>
        <w:rPr>
          <w:rFonts w:hint="eastAsia"/>
          <w:b/>
          <w:lang w:val="en-US"/>
        </w:rPr>
        <w:t>十三、基本支出</w:t>
      </w:r>
      <w:r>
        <w:rPr>
          <w:rFonts w:hint="eastAsia"/>
          <w:lang w:val="en-US"/>
        </w:rPr>
        <w:t>：指为保障机构正常运转、完成日常工作任务而发生的人员支出和公用支出。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十四、项目支出：</w:t>
      </w:r>
      <w:r>
        <w:rPr>
          <w:rFonts w:hint="eastAsia"/>
          <w:lang w:val="en-US"/>
        </w:rPr>
        <w:t>指在基本支出之外为完成特定行政任务和事业发展目标所发生的支出。</w:t>
      </w:r>
      <w:r>
        <w:rPr>
          <w:lang w:val="en-US"/>
        </w:rPr>
        <w:t xml:space="preserve"> </w:t>
      </w:r>
    </w:p>
    <w:p>
      <w:pPr>
        <w:pStyle w:val="2"/>
        <w:spacing w:before="2" w:line="520" w:lineRule="exact"/>
        <w:ind w:right="270" w:firstLine="723" w:firstLineChars="225"/>
        <w:jc w:val="both"/>
        <w:rPr>
          <w:lang w:val="en-US"/>
        </w:rPr>
      </w:pPr>
      <w:r>
        <w:rPr>
          <w:rFonts w:hint="eastAsia"/>
          <w:b/>
          <w:lang w:val="en-US"/>
        </w:rPr>
        <w:t>十五、“三公”经费</w:t>
      </w:r>
      <w:r>
        <w:rPr>
          <w:rFonts w:hint="eastAsia"/>
          <w:lang w:val="en-US"/>
        </w:rPr>
        <w:t>：指纳入省级财政预算管理，部门使</w:t>
      </w:r>
    </w:p>
    <w:p>
      <w:pPr>
        <w:pStyle w:val="2"/>
        <w:spacing w:before="2" w:line="520" w:lineRule="exact"/>
        <w:ind w:right="270" w:firstLine="720" w:firstLineChars="225"/>
        <w:jc w:val="both"/>
        <w:rPr>
          <w:lang w:val="en-US"/>
        </w:rPr>
      </w:pPr>
      <w:r>
        <w:rPr>
          <w:rFonts w:hint="eastAsia"/>
          <w:lang w:val="en-US"/>
        </w:rPr>
        <w:t>用财政拨款安排的因公出国（境）费、公务用车购置及运行费和公务接待费。其中，因公出国（境）费反映单位公务出国（境）的住宿费、</w:t>
      </w:r>
      <w:r>
        <w:rPr>
          <w:rFonts w:hint="eastAsia"/>
          <w:lang w:val="en-US" w:eastAsia="zh-CN"/>
        </w:rPr>
        <w:t>差</w:t>
      </w:r>
      <w:r>
        <w:rPr>
          <w:rFonts w:hint="eastAsia"/>
          <w:lang w:val="en-US"/>
        </w:rPr>
        <w:t>旅费、伙食补助费、</w:t>
      </w:r>
      <w:r>
        <w:rPr>
          <w:rFonts w:hint="eastAsia"/>
          <w:lang w:val="en-US" w:eastAsia="zh-CN"/>
        </w:rPr>
        <w:t>公</w:t>
      </w:r>
      <w:r>
        <w:rPr>
          <w:rFonts w:hint="eastAsia"/>
          <w:lang w:val="en-US"/>
        </w:rPr>
        <w:t xml:space="preserve">杂费、培训费等支出；公务用车购置及运行费反映单位公务用车购置费及租用费、燃料费、维修费、过路过桥费、保险费、安全奖励费用等支出；公务接待费反映单位按规定开支的各类公务接待（含外宾接待）支出。 </w:t>
      </w:r>
    </w:p>
    <w:p>
      <w:pPr>
        <w:pStyle w:val="2"/>
        <w:numPr>
          <w:ilvl w:val="0"/>
          <w:numId w:val="1"/>
        </w:numPr>
        <w:spacing w:before="2" w:line="520" w:lineRule="exact"/>
        <w:ind w:right="270" w:firstLine="723" w:firstLineChars="225"/>
        <w:jc w:val="both"/>
        <w:rPr>
          <w:rFonts w:hint="eastAsia"/>
          <w:lang w:val="en-US"/>
        </w:rPr>
      </w:pPr>
      <w:r>
        <w:rPr>
          <w:rFonts w:hint="eastAsia"/>
          <w:b/>
          <w:lang w:val="en-US"/>
        </w:rPr>
        <w:t>机关运行经费：</w:t>
      </w:r>
      <w:r>
        <w:rPr>
          <w:rFonts w:hint="eastAsia"/>
          <w:lang w:val="en-US"/>
        </w:rPr>
        <w:t>指为保障行政单位（含参照公务员法管理的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pPr>
        <w:pStyle w:val="2"/>
        <w:spacing w:before="2" w:line="520" w:lineRule="exact"/>
        <w:ind w:left="317" w:right="270" w:firstLine="640" w:firstLineChars="200"/>
        <w:jc w:val="both"/>
        <w:rPr>
          <w:lang w:val="en-US"/>
        </w:rPr>
      </w:pPr>
      <w:bookmarkStart w:id="0" w:name="_GoBack"/>
      <w:bookmarkEnd w:id="0"/>
    </w:p>
    <w:sectPr>
      <w:footerReference r:id="rId6" w:type="default"/>
      <w:pgSz w:w="11910" w:h="16840"/>
      <w:pgMar w:top="1520" w:right="1278" w:bottom="1180" w:left="1480" w:header="0" w:footer="999"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0F3C52" w:usb2="00000016" w:usb3="00000000" w:csb0="0004001F" w:csb1="00000000"/>
  </w:font>
  <w:font w:name="仿宋">
    <w:altName w:val="微软雅黑"/>
    <w:panose1 w:val="02010609060101010101"/>
    <w:charset w:val="86"/>
    <w:family w:val="modern"/>
    <w:pitch w:val="default"/>
    <w:sig w:usb0="00000000" w:usb1="00000000"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rPr>
        <w:rFonts w:ascii="仿宋_GB2312" w:hAnsi="仿宋_GB2312" w:eastAsia="仿宋_GB2312" w:cs="仿宋_GB2312"/>
        <w:sz w:val="18"/>
        <w:szCs w:val="18"/>
        <w:lang w:val="zh-CN" w:eastAsia="zh-CN" w:bidi="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jc w:val="center"/>
                          </w:pPr>
                          <w:r>
                            <w:fldChar w:fldCharType="begin"/>
                          </w:r>
                          <w:r>
                            <w:instrText xml:space="preserve"> PAGE   \* MERGEFORMAT </w:instrText>
                          </w:r>
                          <w:r>
                            <w:fldChar w:fldCharType="separate"/>
                          </w:r>
                          <w:r>
                            <w:t>3</w:t>
                          </w:r>
                          <w:r>
                            <w:fldChar w:fldCharType="end"/>
                          </w:r>
                        </w:p>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L4t8fq5AQAAVwMAAA4AAAAAAAAAAQAgAAAAHgEAAGRycy9lMm9Eb2MueG1sUEsFBgAAAAAGAAYA&#10;WQEAAEkFAAAAAA==&#10;">
              <v:fill on="f" focussize="0,0"/>
              <v:stroke on="f"/>
              <v:imagedata o:title=""/>
              <o:lock v:ext="edit" aspectratio="f"/>
              <v:textbox inset="0mm,0mm,0mm,0mm" style="mso-fit-shape-to-text:t;">
                <w:txbxContent>
                  <w:p>
                    <w:pPr>
                      <w:pStyle w:val="3"/>
                      <w:jc w:val="center"/>
                    </w:pPr>
                    <w:r>
                      <w:fldChar w:fldCharType="begin"/>
                    </w:r>
                    <w:r>
                      <w:instrText xml:space="preserve"> PAGE   \* MERGEFORMAT </w:instrText>
                    </w:r>
                    <w:r>
                      <w:fldChar w:fldCharType="separate"/>
                    </w:r>
                    <w:r>
                      <w:t>3</w:t>
                    </w:r>
                    <w:r>
                      <w:fldChar w:fldCharType="end"/>
                    </w:r>
                  </w:p>
                  <w:p/>
                </w:txbxContent>
              </v:textbox>
            </v:shape>
          </w:pict>
        </mc:Fallback>
      </mc:AlternateContent>
    </w:r>
  </w:p>
  <w:p>
    <w:pPr>
      <w:pStyle w:val="2"/>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wrap="none" lIns="0" tIns="0" rIns="0" bIns="0" upright="1">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CDrqmeugEAAFcDAAAOAAAAAAAAAAEAIAAAAB4BAABkcnMvZTJvRG9jLnhtbFBLBQYAAAAABgAG&#10;AFkBAABKBQAAAAA=&#10;">
              <v:fill on="f" focussize="0,0"/>
              <v:stroke on="f"/>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58240" behindDoc="1" locked="0" layoutInCell="1" allowOverlap="1">
              <wp:simplePos x="0" y="0"/>
              <wp:positionH relativeFrom="page">
                <wp:posOffset>3672205</wp:posOffset>
              </wp:positionH>
              <wp:positionV relativeFrom="page">
                <wp:posOffset>10092690</wp:posOffset>
              </wp:positionV>
              <wp:extent cx="217170" cy="1524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217170" cy="152400"/>
                      </a:xfrm>
                      <a:prstGeom prst="rect">
                        <a:avLst/>
                      </a:prstGeom>
                      <a:noFill/>
                      <a:ln w="9525">
                        <a:noFill/>
                      </a:ln>
                    </wps:spPr>
                    <wps:txbx>
                      <w:txbxContent>
                        <w:p>
                          <w:pPr>
                            <w:spacing w:before="12"/>
                            <w:rPr>
                              <w:rFonts w:ascii="Times New Roman"/>
                              <w:sz w:val="18"/>
                            </w:rPr>
                          </w:pPr>
                        </w:p>
                      </w:txbxContent>
                    </wps:txbx>
                    <wps:bodyPr lIns="0" tIns="0" rIns="0" bIns="0" upright="1"/>
                  </wps:wsp>
                </a:graphicData>
              </a:graphic>
            </wp:anchor>
          </w:drawing>
        </mc:Choice>
        <mc:Fallback>
          <w:pict>
            <v:shape id="文本框 1027" o:spid="_x0000_s1026" o:spt="202" type="#_x0000_t202" style="position:absolute;left:0pt;margin-left:289.15pt;margin-top:794.7pt;height:12pt;width:17.1pt;mso-position-horizontal-relative:page;mso-position-vertical-relative:page;z-index:-251658240;mso-width-relative:page;mso-height-relative:page;" filled="f" stroked="f" coordsize="21600,21600" o:gfxdata="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hp&#10;gkvTAAAABQEAAA8AAAAAAAAAAQAgAAAAIgAAAGRycy9kb3ducmV2LnhtbFBLAQIUABQAAAAIAIdO&#10;4kBTq7yXtgEAAFUDAAAOAAAAAAAAAAEAIAAAACIBAABkcnMvZTJvRG9jLnhtbFBLBQYAAAAABgAG&#10;AFkBAABKBQAAAAA=&#10;">
              <v:fill on="f" focussize="0,0"/>
              <v:stroke on="f" weight="1.25pt"/>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rPr>
        <w:sz w:val="20"/>
      </w:rPr>
    </w:pP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wps:txbx>
                    <wps:bodyPr wrap="none" lIns="0" tIns="0" rIns="0" bIns="0" upright="1">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zql5&#10;uc8AAAAFAQAADwAAAAAAAAABACAAAAAiAAAAZHJzL2Rvd25yZXYueG1sUEsBAhQAFAAAAAgAh07i&#10;QMIhm0O5AQAAVwMAAA4AAAAAAAAAAQAgAAAAHgEAAGRycy9lMm9Eb2MueG1sUEsFBgAAAAAGAAYA&#10;WQEAAEkFAAAAAA==&#10;">
              <v:fill on="f" focussize="0,0"/>
              <v:stroke on="f"/>
              <v:imagedata o:title=""/>
              <o:lock v:ext="edit" aspectratio="f"/>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21</w:t>
                    </w:r>
                    <w:r>
                      <w:rPr>
                        <w:rFonts w:hint="eastAsia"/>
                      </w:rPr>
                      <w:fldChar w:fldCharType="end"/>
                    </w:r>
                  </w:p>
                </w:txbxContent>
              </v:textbox>
            </v:shape>
          </w:pict>
        </mc:Fallback>
      </mc:AlternateContent>
    </w:r>
    <w:r>
      <w:rPr>
        <w:rFonts w:ascii="仿宋_GB2312" w:hAnsi="仿宋_GB2312" w:eastAsia="仿宋_GB2312" w:cs="仿宋_GB2312"/>
        <w:sz w:val="32"/>
        <w:szCs w:val="32"/>
        <w:lang w:val="zh-CN" w:eastAsia="zh-CN" w:bidi="zh-CN"/>
      </w:rPr>
      <mc:AlternateContent>
        <mc:Choice Requires="wps">
          <w:drawing>
            <wp:anchor distT="0" distB="0" distL="114300" distR="114300" simplePos="0" relativeHeight="251659264" behindDoc="1" locked="0" layoutInCell="1" allowOverlap="1">
              <wp:simplePos x="0" y="0"/>
              <wp:positionH relativeFrom="page">
                <wp:posOffset>3748405</wp:posOffset>
              </wp:positionH>
              <wp:positionV relativeFrom="page">
                <wp:posOffset>9919335</wp:posOffset>
              </wp:positionV>
              <wp:extent cx="82550" cy="152400"/>
              <wp:effectExtent l="0" t="0" r="0" b="0"/>
              <wp:wrapNone/>
              <wp:docPr id="2" name="文本框 1029"/>
              <wp:cNvGraphicFramePr/>
              <a:graphic xmlns:a="http://schemas.openxmlformats.org/drawingml/2006/main">
                <a:graphicData uri="http://schemas.microsoft.com/office/word/2010/wordprocessingShape">
                  <wps:wsp>
                    <wps:cNvSpPr txBox="1"/>
                    <wps:spPr>
                      <a:xfrm>
                        <a:off x="0" y="0"/>
                        <a:ext cx="82550" cy="152400"/>
                      </a:xfrm>
                      <a:prstGeom prst="rect">
                        <a:avLst/>
                      </a:prstGeom>
                      <a:noFill/>
                      <a:ln w="9525">
                        <a:noFill/>
                      </a:ln>
                    </wps:spPr>
                    <wps:txbx>
                      <w:txbxContent>
                        <w:p>
                          <w:pPr>
                            <w:spacing w:before="12"/>
                            <w:rPr>
                              <w:rFonts w:ascii="Times New Roman"/>
                              <w:sz w:val="18"/>
                            </w:rPr>
                          </w:pPr>
                        </w:p>
                      </w:txbxContent>
                    </wps:txbx>
                    <wps:bodyPr lIns="0" tIns="0" rIns="0" bIns="0" upright="1"/>
                  </wps:wsp>
                </a:graphicData>
              </a:graphic>
            </wp:anchor>
          </w:drawing>
        </mc:Choice>
        <mc:Fallback>
          <w:pict>
            <v:shape id="文本框 1029" o:spid="_x0000_s1026" o:spt="202" type="#_x0000_t202" style="position:absolute;left:0pt;margin-left:295.15pt;margin-top:781.05pt;height:12pt;width:6.5pt;mso-position-horizontal-relative:page;mso-position-vertical-relative:page;z-index:-251657216;mso-width-relative:page;mso-height-relative:page;" filled="f" stroked="f" coordsize="21600,21600" o:gfxdata="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s1Ytd2gAAAA0B&#10;AAAPAAAAAAAAAAEAIAAAACIAAABkcnMvZG93bnJldi54bWxQSwECFAAUAAAACACHTuJA5o83racB&#10;AAAuAwAADgAAAAAAAAABACAAAAApAQAAZHJzL2Uyb0RvYy54bWxQSwUGAAAAAAYABgBZAQAAQgUA&#10;AAAA&#10;">
              <v:fill on="f" focussize="0,0"/>
              <v:stroke on="f"/>
              <v:imagedata o:title=""/>
              <o:lock v:ext="edit" aspectratio="f"/>
              <v:textbox inset="0mm,0mm,0mm,0mm">
                <w:txbxContent>
                  <w:p>
                    <w:pPr>
                      <w:spacing w:before="12"/>
                      <w:rPr>
                        <w:rFonts w:ascii="Times New Roman"/>
                        <w:sz w:val="1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0359FC"/>
    <w:multiLevelType w:val="singleLevel"/>
    <w:tmpl w:val="4D0359FC"/>
    <w:lvl w:ilvl="0" w:tentative="0">
      <w:start w:val="1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drawingGridHorizontalSpacing w:val="110"/>
  <w:displayHorizontalDrawingGridEvery w:val="2"/>
  <w:displayVerticalDrawingGridEvery w:val="1"/>
  <w:characterSpacingControl w:val="doNotCompress"/>
  <w:hdrShapeDefaults>
    <o:shapelayout v:ext="edit">
      <o:idmap v:ext="edit" data="3,4"/>
    </o:shapelayout>
  </w:hdrShapeDefaults>
  <w:compat>
    <w:spaceForUL/>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19B39C5"/>
    <w:rsid w:val="23A02CB7"/>
    <w:rsid w:val="314F3E97"/>
    <w:rsid w:val="36371B05"/>
    <w:rsid w:val="4EF745A9"/>
    <w:rsid w:val="5E4A1E32"/>
    <w:rsid w:val="67BF2FCC"/>
    <w:rsid w:val="7FBB5465"/>
    <w:rsid w:val="7FD95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autoSpaceDE w:val="0"/>
      <w:autoSpaceDN w:val="0"/>
    </w:pPr>
    <w:rPr>
      <w:rFonts w:ascii="仿宋_GB2312" w:hAnsi="仿宋_GB2312" w:eastAsia="仿宋_GB2312" w:cs="仿宋_GB2312"/>
      <w:sz w:val="22"/>
      <w:szCs w:val="22"/>
      <w:lang w:val="zh-CN" w:eastAsia="zh-CN" w:bidi="zh-CN"/>
    </w:rPr>
  </w:style>
  <w:style w:type="character" w:default="1" w:styleId="5">
    <w:name w:val="Default Paragraph Font"/>
    <w:uiPriority w:val="0"/>
  </w:style>
  <w:style w:type="table" w:default="1" w:styleId="7">
    <w:name w:val="Normal Table"/>
    <w:semiHidden/>
    <w:uiPriority w:val="0"/>
    <w:tblPr>
      <w:tblLayout w:type="fixed"/>
      <w:tblCellMar>
        <w:top w:w="0" w:type="dxa"/>
        <w:left w:w="108" w:type="dxa"/>
        <w:bottom w:w="0" w:type="dxa"/>
        <w:right w:w="108" w:type="dxa"/>
      </w:tblCellMar>
    </w:tblPr>
  </w:style>
  <w:style w:type="paragraph" w:styleId="2">
    <w:name w:val="Body Text"/>
    <w:basedOn w:val="1"/>
    <w:qFormat/>
    <w:uiPriority w:val="0"/>
    <w:rPr>
      <w:sz w:val="32"/>
      <w:szCs w:val="32"/>
    </w:rPr>
  </w:style>
  <w:style w:type="paragraph" w:styleId="3">
    <w:name w:val="footer"/>
    <w:basedOn w:val="1"/>
    <w:link w:val="10"/>
    <w:qFormat/>
    <w:uiPriority w:val="0"/>
    <w:pPr>
      <w:tabs>
        <w:tab w:val="center" w:pos="4153"/>
        <w:tab w:val="right" w:pos="8306"/>
      </w:tabs>
      <w:snapToGrid w:val="0"/>
    </w:pPr>
    <w:rPr>
      <w:rFonts w:ascii="仿宋_GB2312" w:hAnsi="仿宋_GB2312" w:eastAsia="仿宋_GB2312" w:cs="仿宋_GB2312"/>
      <w:sz w:val="18"/>
      <w:szCs w:val="18"/>
      <w:lang w:val="zh-CN" w:eastAsia="zh-CN" w:bidi="zh-CN"/>
    </w:rPr>
  </w:style>
  <w:style w:type="paragraph" w:styleId="4">
    <w:name w:val="header"/>
    <w:basedOn w:val="1"/>
    <w:link w:val="11"/>
    <w:qFormat/>
    <w:uiPriority w:val="0"/>
    <w:pPr>
      <w:pBdr>
        <w:bottom w:val="single" w:color="auto" w:sz="6" w:space="1"/>
      </w:pBdr>
      <w:tabs>
        <w:tab w:val="center" w:pos="4153"/>
        <w:tab w:val="right" w:pos="8306"/>
      </w:tabs>
      <w:snapToGrid w:val="0"/>
      <w:jc w:val="center"/>
    </w:pPr>
    <w:rPr>
      <w:rFonts w:ascii="仿宋_GB2312" w:hAnsi="仿宋_GB2312" w:eastAsia="仿宋_GB2312" w:cs="仿宋_GB2312"/>
      <w:sz w:val="18"/>
      <w:szCs w:val="18"/>
      <w:lang w:val="zh-CN" w:eastAsia="zh-CN" w:bidi="zh-CN"/>
    </w:rPr>
  </w:style>
  <w:style w:type="character" w:styleId="6">
    <w:name w:val="FollowedHyperlink"/>
    <w:basedOn w:val="5"/>
    <w:uiPriority w:val="0"/>
    <w:rPr>
      <w:color w:val="800080"/>
      <w:u w:val="single"/>
    </w:rPr>
  </w:style>
  <w:style w:type="paragraph" w:customStyle="1" w:styleId="8">
    <w:name w:val="批注框文本1"/>
    <w:basedOn w:val="1"/>
    <w:link w:val="9"/>
    <w:qFormat/>
    <w:uiPriority w:val="0"/>
    <w:rPr>
      <w:rFonts w:ascii="仿宋_GB2312" w:hAnsi="仿宋_GB2312" w:eastAsia="仿宋_GB2312" w:cs="仿宋_GB2312"/>
      <w:sz w:val="18"/>
      <w:szCs w:val="18"/>
      <w:lang w:val="zh-CN" w:bidi="zh-CN"/>
    </w:rPr>
  </w:style>
  <w:style w:type="character" w:customStyle="1" w:styleId="9">
    <w:name w:val="批注框文本 Char"/>
    <w:basedOn w:val="5"/>
    <w:link w:val="8"/>
    <w:semiHidden/>
    <w:uiPriority w:val="0"/>
    <w:rPr>
      <w:rFonts w:ascii="仿宋_GB2312" w:hAnsi="仿宋_GB2312" w:eastAsia="仿宋_GB2312" w:cs="仿宋_GB2312"/>
      <w:sz w:val="18"/>
      <w:szCs w:val="18"/>
      <w:lang w:val="zh-CN" w:bidi="zh-CN"/>
    </w:rPr>
  </w:style>
  <w:style w:type="character" w:customStyle="1" w:styleId="10">
    <w:name w:val="页脚 Char"/>
    <w:basedOn w:val="5"/>
    <w:link w:val="3"/>
    <w:semiHidden/>
    <w:qFormat/>
    <w:uiPriority w:val="0"/>
    <w:rPr>
      <w:rFonts w:ascii="仿宋_GB2312" w:hAnsi="仿宋_GB2312" w:eastAsia="仿宋_GB2312" w:cs="仿宋_GB2312"/>
      <w:sz w:val="18"/>
      <w:szCs w:val="18"/>
      <w:lang w:val="zh-CN" w:eastAsia="zh-CN" w:bidi="zh-CN"/>
    </w:rPr>
  </w:style>
  <w:style w:type="character" w:customStyle="1" w:styleId="11">
    <w:name w:val="页眉 Char"/>
    <w:basedOn w:val="5"/>
    <w:link w:val="4"/>
    <w:semiHidden/>
    <w:qFormat/>
    <w:uiPriority w:val="0"/>
    <w:rPr>
      <w:rFonts w:ascii="仿宋_GB2312" w:hAnsi="仿宋_GB2312" w:eastAsia="仿宋_GB2312" w:cs="仿宋_GB2312"/>
      <w:sz w:val="18"/>
      <w:szCs w:val="18"/>
      <w:lang w:val="zh-CN" w:eastAsia="zh-CN" w:bidi="zh-CN"/>
    </w:rPr>
  </w:style>
  <w:style w:type="paragraph" w:customStyle="1" w:styleId="12">
    <w:name w:val="Normal (Web)"/>
    <w:basedOn w:val="1"/>
    <w:qFormat/>
    <w:uiPriority w:val="0"/>
    <w:pPr>
      <w:widowControl/>
      <w:spacing w:before="100" w:beforeAutospacing="1" w:after="100" w:afterAutospacing="1"/>
    </w:pPr>
    <w:rPr>
      <w:rFonts w:ascii="宋体" w:hAnsi="宋体" w:eastAsia="宋体" w:cs="宋体"/>
      <w:sz w:val="24"/>
      <w:szCs w:val="24"/>
      <w:lang w:val="en-US" w:bidi="ar-SA"/>
    </w:rPr>
  </w:style>
  <w:style w:type="paragraph" w:customStyle="1" w:styleId="13">
    <w:name w:val="标题 11"/>
    <w:basedOn w:val="1"/>
    <w:qFormat/>
    <w:uiPriority w:val="0"/>
    <w:pPr>
      <w:spacing w:before="27"/>
      <w:ind w:left="2273" w:right="2175"/>
      <w:jc w:val="center"/>
      <w:outlineLvl w:val="1"/>
    </w:pPr>
    <w:rPr>
      <w:rFonts w:ascii="黑体" w:hAnsi="黑体" w:eastAsia="黑体" w:cs="黑体"/>
      <w:sz w:val="52"/>
      <w:szCs w:val="52"/>
    </w:rPr>
  </w:style>
  <w:style w:type="paragraph" w:customStyle="1" w:styleId="14">
    <w:name w:val="List Paragraph"/>
    <w:basedOn w:val="1"/>
    <w:uiPriority w:val="0"/>
  </w:style>
  <w:style w:type="paragraph" w:customStyle="1" w:styleId="15">
    <w:name w:val="Table Paragraph"/>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36</Pages>
  <Words>3381</Words>
  <Characters>19276</Characters>
  <Lines>160</Lines>
  <Paragraphs>45</Paragraphs>
  <TotalTime>0</TotalTime>
  <ScaleCrop>false</ScaleCrop>
  <LinksUpToDate>false</LinksUpToDate>
  <CharactersWithSpaces>0</CharactersWithSpaces>
  <Application>WPS Office_10.1.0.7521_F1E327BC-269C-435d-A152-05C5408002CA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2018-09-06T16:10:00Z</dcterms:created>
  <dc:creator>Administrator</dc:creator>
  <cp:lastModifiedBy>空心竹</cp:lastModifiedBy>
  <dcterms:modified xsi:type="dcterms:W3CDTF">2019-02-02T07:27:43Z</dcterms:modified>
  <dc:title>&lt;4D6963726F736F667420576F7264202D20BAD3C4CFCAA1B2C6D5FECCFC32303137C4EABEF6CBE3B9ABBFAACBB5C3F7205F382E3238B2CCD6F7C8CEB8C45F&gt;</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2018-08-31T00:00:00Z</vt:filetime>
  </property>
  <property fmtid="{D5CDD505-2E9C-101B-9397-08002B2CF9AE}" pid="3" name="Creator">
    <vt:lpwstr>PScript5.dll Version 5.2</vt:lpwstr>
  </property>
  <property fmtid="{D5CDD505-2E9C-101B-9397-08002B2CF9AE}" pid="4" name="LastSaved">
    <vt:filetime>2018-09-06T00:00:00Z</vt:filetime>
  </property>
  <property fmtid="{D5CDD505-2E9C-101B-9397-08002B2CF9AE}" pid="5" name="KSOProductBuildVer">
    <vt:lpwstr>2052-10.1.0.7521</vt:lpwstr>
  </property>
</Properties>
</file>