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18"/>
        <w:ind w:left="-708" w:leftChars="-322" w:right="-63"/>
      </w:pPr>
      <w:r>
        <w:rPr>
          <w:rFonts w:hint="eastAsia"/>
        </w:rPr>
        <w:t>西华县科学技术协会</w:t>
      </w:r>
    </w:p>
    <w:p>
      <w:pPr>
        <w:spacing w:before="285"/>
        <w:ind w:left="2273" w:right="-63"/>
        <w:rPr>
          <w:rFonts w:ascii="黑体" w:eastAsia="黑体"/>
          <w:sz w:val="52"/>
        </w:rPr>
      </w:pPr>
      <w:r>
        <w:rPr>
          <w:rFonts w:hint="eastAsia" w:ascii="黑体" w:eastAsia="黑体"/>
          <w:sz w:val="52"/>
        </w:rPr>
        <w:t>2017 年度部门决算</w:t>
      </w:r>
    </w:p>
    <w:p>
      <w:pPr>
        <w:pStyle w:val="3"/>
        <w:jc w:val="center"/>
        <w:rPr>
          <w:rFonts w:ascii="黑体"/>
          <w:sz w:val="52"/>
        </w:rPr>
      </w:pPr>
    </w:p>
    <w:p>
      <w:pPr>
        <w:pStyle w:val="3"/>
        <w:rPr>
          <w:rFonts w:ascii="黑体"/>
          <w:sz w:val="52"/>
        </w:rPr>
      </w:pPr>
    </w:p>
    <w:p>
      <w:pPr>
        <w:pStyle w:val="3"/>
        <w:rPr>
          <w:rFonts w:ascii="黑体"/>
          <w:sz w:val="52"/>
        </w:rPr>
      </w:pPr>
    </w:p>
    <w:p>
      <w:pPr>
        <w:pStyle w:val="3"/>
        <w:rPr>
          <w:rFonts w:ascii="黑体"/>
          <w:sz w:val="52"/>
        </w:rPr>
      </w:pPr>
    </w:p>
    <w:p>
      <w:pPr>
        <w:pStyle w:val="3"/>
        <w:rPr>
          <w:rFonts w:ascii="黑体"/>
          <w:sz w:val="52"/>
        </w:rPr>
      </w:pPr>
    </w:p>
    <w:p>
      <w:pPr>
        <w:pStyle w:val="3"/>
        <w:rPr>
          <w:rFonts w:ascii="黑体"/>
          <w:sz w:val="52"/>
        </w:rPr>
      </w:pPr>
    </w:p>
    <w:p>
      <w:pPr>
        <w:pStyle w:val="3"/>
        <w:rPr>
          <w:rFonts w:ascii="黑体"/>
          <w:sz w:val="52"/>
        </w:rPr>
      </w:pPr>
    </w:p>
    <w:p>
      <w:pPr>
        <w:pStyle w:val="3"/>
        <w:rPr>
          <w:rFonts w:ascii="黑体"/>
          <w:sz w:val="52"/>
        </w:rPr>
      </w:pPr>
    </w:p>
    <w:p>
      <w:pPr>
        <w:pStyle w:val="3"/>
        <w:spacing w:before="2"/>
        <w:rPr>
          <w:rFonts w:ascii="黑体"/>
          <w:sz w:val="49"/>
        </w:rPr>
      </w:pPr>
    </w:p>
    <w:p>
      <w:pPr>
        <w:pStyle w:val="3"/>
        <w:ind w:left="2273" w:right="2175"/>
        <w:jc w:val="center"/>
        <w:rPr>
          <w:rFonts w:ascii="黑体" w:eastAsia="黑体"/>
        </w:rPr>
      </w:pPr>
      <w:r>
        <w:rPr>
          <w:rFonts w:hint="eastAsia" w:ascii="黑体" w:eastAsia="黑体"/>
        </w:rPr>
        <w:t>二〇一八年</w:t>
      </w:r>
      <w:r>
        <w:rPr>
          <w:rFonts w:hint="eastAsia" w:ascii="黑体" w:eastAsia="黑体"/>
          <w:lang w:val="en-US"/>
        </w:rPr>
        <w:t>八</w:t>
      </w:r>
      <w:r>
        <w:rPr>
          <w:rFonts w:hint="eastAsia" w:ascii="黑体" w:eastAsia="黑体"/>
        </w:rPr>
        <w:t>月</w:t>
      </w:r>
    </w:p>
    <w:p>
      <w:pPr>
        <w:jc w:val="center"/>
        <w:sectPr>
          <w:footerReference r:id="rId3" w:type="default"/>
          <w:type w:val="continuous"/>
          <w:pgSz w:w="11910" w:h="16840"/>
          <w:pgMar w:top="1600" w:right="570" w:bottom="1180" w:left="1480" w:header="720" w:footer="999" w:gutter="0"/>
          <w:pgNumType w:start="1"/>
          <w:cols w:space="720" w:num="1"/>
        </w:sectPr>
      </w:pPr>
    </w:p>
    <w:p>
      <w:pPr>
        <w:tabs>
          <w:tab w:val="left" w:pos="3420"/>
        </w:tabs>
        <w:spacing w:before="26"/>
        <w:jc w:val="center"/>
        <w:rPr>
          <w:rFonts w:ascii="黑体" w:eastAsia="黑体"/>
          <w:sz w:val="36"/>
        </w:rPr>
      </w:pPr>
      <w:r>
        <w:rPr>
          <w:rFonts w:hint="eastAsia" w:ascii="黑体" w:eastAsia="黑体"/>
          <w:sz w:val="36"/>
        </w:rPr>
        <w:t>目    录</w:t>
      </w:r>
    </w:p>
    <w:p>
      <w:pPr>
        <w:pStyle w:val="3"/>
        <w:tabs>
          <w:tab w:val="left" w:pos="2027"/>
        </w:tabs>
        <w:spacing w:before="198"/>
        <w:ind w:left="108" w:leftChars="49" w:firstLine="640" w:firstLineChars="200"/>
        <w:rPr>
          <w:rFonts w:ascii="黑体" w:eastAsia="黑体"/>
        </w:rPr>
      </w:pPr>
      <w:r>
        <w:rPr>
          <w:rFonts w:hint="eastAsia" w:ascii="黑体" w:eastAsia="黑体"/>
        </w:rPr>
        <w:t>第一部分 西华县科学技术协会概况</w:t>
      </w:r>
    </w:p>
    <w:p>
      <w:pPr>
        <w:pStyle w:val="3"/>
        <w:spacing w:before="225" w:line="372" w:lineRule="auto"/>
        <w:ind w:left="747" w:right="6233"/>
        <w:rPr>
          <w:rFonts w:ascii="宋体" w:eastAsia="宋体"/>
        </w:rPr>
      </w:pPr>
      <w:r>
        <w:rPr>
          <w:rFonts w:hint="eastAsia" w:ascii="宋体" w:eastAsia="宋体"/>
        </w:rPr>
        <w:t>一、部门职责二、机构设置</w:t>
      </w:r>
    </w:p>
    <w:p>
      <w:pPr>
        <w:pStyle w:val="3"/>
        <w:tabs>
          <w:tab w:val="left" w:pos="2026"/>
        </w:tabs>
        <w:spacing w:line="406" w:lineRule="exact"/>
        <w:ind w:left="108" w:leftChars="49" w:firstLine="640" w:firstLineChars="200"/>
        <w:rPr>
          <w:rFonts w:ascii="黑体" w:eastAsia="黑体"/>
        </w:rPr>
      </w:pPr>
      <w:r>
        <w:rPr>
          <w:rFonts w:hint="eastAsia" w:ascii="黑体" w:eastAsia="黑体"/>
        </w:rPr>
        <w:t>第</w:t>
      </w:r>
      <w:r>
        <w:rPr>
          <w:rFonts w:hint="eastAsia" w:ascii="黑体" w:eastAsia="黑体"/>
          <w:lang w:val="en-US"/>
        </w:rPr>
        <w:t>二</w:t>
      </w:r>
      <w:r>
        <w:rPr>
          <w:rFonts w:hint="eastAsia" w:ascii="黑体" w:eastAsia="黑体"/>
        </w:rPr>
        <w:t>部分</w:t>
      </w:r>
      <w:r>
        <w:rPr>
          <w:rFonts w:hint="eastAsia" w:ascii="黑体" w:eastAsia="黑体"/>
        </w:rPr>
        <w:tab/>
      </w:r>
      <w:r>
        <w:rPr>
          <w:rFonts w:hint="eastAsia" w:ascii="黑体" w:eastAsia="黑体"/>
        </w:rPr>
        <w:t xml:space="preserve"> 2017</w:t>
      </w:r>
      <w:r>
        <w:rPr>
          <w:rFonts w:hint="eastAsia" w:ascii="黑体" w:eastAsia="黑体"/>
          <w:spacing w:val="-82"/>
        </w:rPr>
        <w:t xml:space="preserve"> </w:t>
      </w:r>
      <w:r>
        <w:rPr>
          <w:rFonts w:hint="eastAsia" w:ascii="黑体" w:eastAsia="黑体"/>
        </w:rPr>
        <w:t>年度部门决算情况说明</w:t>
      </w:r>
    </w:p>
    <w:p>
      <w:pPr>
        <w:pStyle w:val="3"/>
        <w:spacing w:before="225" w:line="372" w:lineRule="auto"/>
        <w:ind w:left="747" w:right="3675"/>
        <w:rPr>
          <w:rFonts w:ascii="宋体" w:eastAsia="宋体"/>
        </w:rPr>
      </w:pPr>
      <w:r>
        <w:rPr>
          <w:rFonts w:hint="eastAsia" w:ascii="宋体" w:eastAsia="宋体"/>
          <w:spacing w:val="-1"/>
        </w:rPr>
        <w:t>一、收入支出决算总体情况说明二、收入决算情况说明</w:t>
      </w:r>
    </w:p>
    <w:p>
      <w:pPr>
        <w:pStyle w:val="3"/>
        <w:spacing w:line="406" w:lineRule="exact"/>
        <w:ind w:left="747"/>
        <w:rPr>
          <w:rFonts w:ascii="宋体" w:eastAsia="宋体"/>
        </w:rPr>
      </w:pPr>
      <w:r>
        <w:rPr>
          <w:rFonts w:hint="eastAsia" w:ascii="宋体" w:eastAsia="宋体"/>
          <w:spacing w:val="-1"/>
        </w:rPr>
        <w:t>三、支出决算情况说明</w:t>
      </w:r>
    </w:p>
    <w:p>
      <w:pPr>
        <w:pStyle w:val="3"/>
        <w:spacing w:before="225" w:line="360" w:lineRule="auto"/>
        <w:ind w:left="747"/>
        <w:rPr>
          <w:rFonts w:ascii="宋体" w:eastAsia="宋体"/>
        </w:rPr>
      </w:pPr>
      <w:r>
        <w:rPr>
          <w:rFonts w:hint="eastAsia" w:ascii="宋体" w:eastAsia="宋体"/>
        </w:rPr>
        <w:t>四、财政拨款收入支出决算总体情况说明</w:t>
      </w:r>
    </w:p>
    <w:p>
      <w:pPr>
        <w:pStyle w:val="3"/>
        <w:spacing w:before="224" w:line="360" w:lineRule="auto"/>
        <w:ind w:left="747"/>
        <w:rPr>
          <w:rFonts w:ascii="宋体" w:eastAsia="宋体"/>
        </w:rPr>
      </w:pPr>
      <w:r>
        <w:rPr>
          <w:rFonts w:hint="eastAsia" w:ascii="宋体" w:eastAsia="宋体"/>
        </w:rPr>
        <w:t>五、一般公共预算财政拨款支出决算情况说明</w:t>
      </w:r>
    </w:p>
    <w:p>
      <w:pPr>
        <w:pStyle w:val="3"/>
        <w:spacing w:before="223" w:line="360" w:lineRule="auto"/>
        <w:ind w:left="747"/>
        <w:rPr>
          <w:rFonts w:ascii="宋体" w:eastAsia="宋体"/>
        </w:rPr>
      </w:pPr>
      <w:r>
        <w:rPr>
          <w:rFonts w:hint="eastAsia" w:ascii="宋体" w:eastAsia="宋体"/>
        </w:rPr>
        <w:t>六、一般公共预算财政拨款基本支出决算情况说明</w:t>
      </w:r>
    </w:p>
    <w:p>
      <w:pPr>
        <w:pStyle w:val="3"/>
        <w:spacing w:before="225" w:line="360" w:lineRule="auto"/>
        <w:ind w:left="747"/>
        <w:rPr>
          <w:rFonts w:ascii="宋体" w:hAnsi="宋体" w:eastAsia="宋体"/>
          <w:spacing w:val="-20"/>
          <w:lang w:val="en-US"/>
        </w:rPr>
      </w:pPr>
      <w:r>
        <w:rPr>
          <w:rFonts w:hint="eastAsia" w:ascii="宋体" w:hAnsi="宋体" w:eastAsia="宋体"/>
          <w:spacing w:val="-20"/>
        </w:rPr>
        <w:t>七、一般公共预算财政拨款“三公”经费支出决算情况说</w:t>
      </w:r>
      <w:r>
        <w:rPr>
          <w:rFonts w:hint="eastAsia" w:ascii="宋体" w:hAnsi="宋体" w:eastAsia="宋体"/>
          <w:spacing w:val="-20"/>
          <w:lang w:val="en-US"/>
        </w:rPr>
        <w:t>明</w:t>
      </w:r>
    </w:p>
    <w:p>
      <w:pPr>
        <w:pStyle w:val="3"/>
        <w:spacing w:before="225" w:line="360" w:lineRule="auto"/>
        <w:ind w:left="747"/>
        <w:rPr>
          <w:rFonts w:ascii="宋体" w:hAnsi="宋体" w:eastAsia="宋体"/>
          <w:color w:val="auto"/>
          <w:spacing w:val="-20"/>
          <w:lang w:val="en-US"/>
        </w:rPr>
      </w:pPr>
      <w:r>
        <w:rPr>
          <w:rFonts w:hint="eastAsia" w:ascii="宋体" w:hAnsi="宋体" w:eastAsia="宋体"/>
          <w:color w:val="auto"/>
          <w:spacing w:val="-20"/>
          <w:lang w:val="en-US"/>
        </w:rPr>
        <w:t>八、重点绩效评价结果等预算绩效情况说明</w:t>
      </w:r>
    </w:p>
    <w:p>
      <w:pPr>
        <w:pStyle w:val="3"/>
        <w:spacing w:line="372" w:lineRule="auto"/>
        <w:ind w:left="747" w:right="-110" w:rightChars="0"/>
        <w:rPr>
          <w:rFonts w:hint="eastAsia" w:ascii="宋体" w:eastAsia="宋体"/>
        </w:rPr>
      </w:pPr>
      <w:r>
        <w:rPr>
          <w:rFonts w:hint="eastAsia" w:ascii="宋体" w:eastAsia="宋体"/>
        </w:rPr>
        <w:t>九、政府性基金预算财政拨款支出决算情况说明</w:t>
      </w:r>
    </w:p>
    <w:p>
      <w:pPr>
        <w:pStyle w:val="3"/>
        <w:spacing w:line="372" w:lineRule="auto"/>
        <w:ind w:left="747" w:right="-110" w:rightChars="0"/>
        <w:rPr>
          <w:rFonts w:ascii="宋体" w:eastAsia="宋体"/>
        </w:rPr>
      </w:pPr>
      <w:r>
        <w:rPr>
          <w:rFonts w:hint="eastAsia" w:ascii="宋体" w:eastAsia="宋体"/>
        </w:rPr>
        <w:t>十、机关运行经费支出情况说明</w:t>
      </w:r>
    </w:p>
    <w:p>
      <w:pPr>
        <w:pStyle w:val="3"/>
        <w:spacing w:before="223" w:line="360" w:lineRule="auto"/>
        <w:ind w:left="747" w:right="1434"/>
        <w:rPr>
          <w:rFonts w:ascii="宋体" w:hAnsi="宋体" w:eastAsia="宋体"/>
          <w:spacing w:val="-20"/>
          <w:lang w:val="en-US"/>
        </w:rPr>
        <w:sectPr>
          <w:pgSz w:w="11910" w:h="16840"/>
          <w:pgMar w:top="1500" w:right="1520" w:bottom="1180" w:left="1480" w:header="0" w:footer="999" w:gutter="0"/>
          <w:cols w:space="720" w:num="1"/>
        </w:sectPr>
      </w:pPr>
      <w:r>
        <w:rPr>
          <w:rFonts w:hint="eastAsia" w:ascii="宋体" w:eastAsia="宋体"/>
        </w:rPr>
        <w:t>十一、政府采购支出情况说明十二、国有资产占用情况说明</w:t>
      </w:r>
    </w:p>
    <w:p>
      <w:pPr>
        <w:pStyle w:val="3"/>
        <w:tabs>
          <w:tab w:val="left" w:pos="2027"/>
        </w:tabs>
        <w:spacing w:line="407" w:lineRule="exact"/>
        <w:ind w:left="108" w:leftChars="49" w:firstLine="640" w:firstLineChars="200"/>
        <w:rPr>
          <w:rFonts w:ascii="黑体" w:eastAsia="黑体"/>
        </w:rPr>
      </w:pPr>
      <w:r>
        <w:rPr>
          <w:rFonts w:hint="eastAsia" w:ascii="黑体" w:eastAsia="黑体"/>
        </w:rPr>
        <w:t>第</w:t>
      </w:r>
      <w:r>
        <w:rPr>
          <w:rFonts w:hint="eastAsia" w:ascii="黑体" w:eastAsia="黑体"/>
          <w:lang w:val="en-US"/>
        </w:rPr>
        <w:t>三</w:t>
      </w:r>
      <w:r>
        <w:rPr>
          <w:rFonts w:hint="eastAsia" w:ascii="黑体" w:eastAsia="黑体"/>
        </w:rPr>
        <w:t>部分</w:t>
      </w:r>
      <w:r>
        <w:rPr>
          <w:rFonts w:hint="eastAsia" w:ascii="黑体" w:eastAsia="黑体"/>
        </w:rPr>
        <w:tab/>
      </w:r>
      <w:r>
        <w:rPr>
          <w:rFonts w:hint="eastAsia" w:ascii="黑体" w:eastAsia="黑体"/>
        </w:rPr>
        <w:t>名词解释</w:t>
      </w:r>
    </w:p>
    <w:p>
      <w:pPr>
        <w:pStyle w:val="3"/>
        <w:tabs>
          <w:tab w:val="left" w:pos="2027"/>
        </w:tabs>
        <w:spacing w:line="406" w:lineRule="exact"/>
        <w:ind w:left="108" w:leftChars="49" w:firstLine="640" w:firstLineChars="200"/>
        <w:rPr>
          <w:rFonts w:eastAsia="黑体"/>
          <w:lang w:val="en-US"/>
        </w:rPr>
      </w:pPr>
    </w:p>
    <w:p>
      <w:pPr>
        <w:pStyle w:val="3"/>
        <w:tabs>
          <w:tab w:val="left" w:pos="2027"/>
        </w:tabs>
        <w:spacing w:line="406" w:lineRule="exact"/>
        <w:ind w:left="108" w:leftChars="49" w:firstLine="640" w:firstLineChars="200"/>
        <w:rPr>
          <w:rFonts w:ascii="黑体" w:eastAsia="黑体"/>
        </w:rPr>
      </w:pPr>
      <w:r>
        <w:rPr>
          <w:rFonts w:hint="eastAsia" w:eastAsia="黑体"/>
          <w:lang w:val="en-US"/>
        </w:rPr>
        <w:t>附件：</w:t>
      </w:r>
      <w:r>
        <w:rPr>
          <w:rFonts w:hint="eastAsia" w:ascii="黑体" w:eastAsia="黑体"/>
        </w:rPr>
        <w:t>2017</w:t>
      </w:r>
      <w:r>
        <w:rPr>
          <w:rFonts w:hint="eastAsia" w:ascii="黑体" w:eastAsia="黑体"/>
          <w:spacing w:val="-82"/>
        </w:rPr>
        <w:t xml:space="preserve"> </w:t>
      </w:r>
      <w:r>
        <w:rPr>
          <w:rFonts w:hint="eastAsia" w:ascii="黑体" w:eastAsia="黑体"/>
        </w:rPr>
        <w:t>年度部门决算表</w:t>
      </w:r>
    </w:p>
    <w:p>
      <w:pPr>
        <w:pStyle w:val="3"/>
        <w:spacing w:before="225" w:line="372" w:lineRule="auto"/>
        <w:ind w:left="747" w:right="4954"/>
        <w:rPr>
          <w:rFonts w:ascii="宋体" w:eastAsia="宋体"/>
        </w:rPr>
      </w:pPr>
      <w:r>
        <w:rPr>
          <w:rFonts w:hint="eastAsia" w:ascii="宋体" w:eastAsia="宋体"/>
          <w:spacing w:val="-2"/>
        </w:rPr>
        <w:t>一、收入支出决算总表</w:t>
      </w:r>
      <w:r>
        <w:rPr>
          <w:rFonts w:hint="eastAsia" w:ascii="宋体" w:eastAsia="宋体"/>
        </w:rPr>
        <w:t>二、收入决算表</w:t>
      </w:r>
    </w:p>
    <w:p>
      <w:pPr>
        <w:pStyle w:val="3"/>
        <w:spacing w:line="406" w:lineRule="exact"/>
        <w:ind w:left="747"/>
        <w:rPr>
          <w:rFonts w:ascii="宋体" w:eastAsia="宋体"/>
        </w:rPr>
      </w:pPr>
      <w:r>
        <w:rPr>
          <w:rFonts w:hint="eastAsia" w:ascii="宋体" w:eastAsia="宋体"/>
          <w:spacing w:val="-1"/>
        </w:rPr>
        <w:t>三、支出决算表</w:t>
      </w:r>
    </w:p>
    <w:p>
      <w:pPr>
        <w:pStyle w:val="3"/>
        <w:spacing w:before="224"/>
        <w:ind w:left="747"/>
        <w:rPr>
          <w:rFonts w:ascii="宋体" w:eastAsia="宋体"/>
        </w:rPr>
      </w:pPr>
      <w:r>
        <w:rPr>
          <w:rFonts w:hint="eastAsia" w:ascii="宋体" w:eastAsia="宋体"/>
        </w:rPr>
        <w:t>四、财政拨款收入支出决算总表</w:t>
      </w:r>
    </w:p>
    <w:p>
      <w:pPr>
        <w:pStyle w:val="3"/>
        <w:spacing w:before="224"/>
        <w:ind w:left="747"/>
        <w:rPr>
          <w:rFonts w:ascii="宋体" w:eastAsia="宋体"/>
        </w:rPr>
      </w:pPr>
      <w:r>
        <w:rPr>
          <w:rFonts w:hint="eastAsia" w:ascii="宋体" w:eastAsia="宋体"/>
        </w:rPr>
        <w:t>五、一般公共预算财政拨款支出决算表</w:t>
      </w:r>
    </w:p>
    <w:p>
      <w:pPr>
        <w:pStyle w:val="3"/>
        <w:spacing w:before="224"/>
        <w:ind w:left="747"/>
        <w:rPr>
          <w:rFonts w:ascii="宋体" w:eastAsia="宋体"/>
        </w:rPr>
      </w:pPr>
      <w:r>
        <w:rPr>
          <w:rFonts w:hint="eastAsia" w:ascii="宋体" w:eastAsia="宋体"/>
        </w:rPr>
        <w:t>六、一般公共预算财政拨款基本支出决算表</w:t>
      </w:r>
    </w:p>
    <w:p>
      <w:pPr>
        <w:pStyle w:val="3"/>
        <w:spacing w:before="224" w:line="372" w:lineRule="auto"/>
        <w:ind w:left="747" w:right="795"/>
        <w:rPr>
          <w:rFonts w:ascii="宋体" w:hAnsi="宋体" w:eastAsia="宋体"/>
        </w:rPr>
      </w:pPr>
      <w:r>
        <w:rPr>
          <w:rFonts w:hint="eastAsia" w:ascii="宋体" w:hAnsi="宋体" w:eastAsia="宋体"/>
        </w:rPr>
        <w:t>七、一般公共预算财政拨款“三公”经费支出决算表八、政府性基金预算财政拨款收入支出决算表</w:t>
      </w:r>
    </w:p>
    <w:p>
      <w:pPr>
        <w:spacing w:line="407" w:lineRule="exact"/>
        <w:sectPr>
          <w:pgSz w:w="11910" w:h="16840"/>
          <w:pgMar w:top="1520" w:right="1520" w:bottom="1180" w:left="1480" w:header="0" w:footer="999" w:gutter="0"/>
          <w:cols w:space="720" w:num="1"/>
        </w:sectPr>
      </w:pPr>
    </w:p>
    <w:p>
      <w:pPr>
        <w:pStyle w:val="3"/>
        <w:rPr>
          <w:rFonts w:ascii="黑体"/>
          <w:sz w:val="20"/>
        </w:rPr>
      </w:pPr>
    </w:p>
    <w:p>
      <w:pPr>
        <w:tabs>
          <w:tab w:val="left" w:pos="3993"/>
        </w:tabs>
        <w:spacing w:before="32"/>
        <w:jc w:val="center"/>
        <w:rPr>
          <w:rFonts w:ascii="黑体" w:eastAsia="黑体"/>
          <w:sz w:val="48"/>
        </w:rPr>
      </w:pPr>
      <w:r>
        <w:rPr>
          <w:rFonts w:hint="eastAsia" w:ascii="黑体" w:eastAsia="黑体"/>
          <w:sz w:val="48"/>
        </w:rPr>
        <w:t>第一部分</w:t>
      </w:r>
    </w:p>
    <w:p>
      <w:pPr>
        <w:tabs>
          <w:tab w:val="left" w:pos="3993"/>
        </w:tabs>
        <w:spacing w:before="32"/>
        <w:jc w:val="center"/>
        <w:rPr>
          <w:rFonts w:ascii="黑体" w:eastAsia="黑体"/>
          <w:sz w:val="48"/>
        </w:rPr>
      </w:pPr>
      <w:r>
        <w:rPr>
          <w:rFonts w:hint="eastAsia" w:ascii="黑体" w:eastAsia="黑体"/>
          <w:sz w:val="48"/>
        </w:rPr>
        <w:t>西华县科学技术协会概况</w:t>
      </w:r>
    </w:p>
    <w:p>
      <w:pPr>
        <w:pStyle w:val="3"/>
        <w:spacing w:before="26"/>
        <w:ind w:left="957"/>
        <w:rPr>
          <w:rFonts w:ascii="黑体" w:eastAsia="黑体"/>
        </w:rPr>
      </w:pPr>
      <w:r>
        <w:rPr>
          <w:rFonts w:hint="eastAsia" w:ascii="黑体" w:eastAsia="黑体"/>
        </w:rPr>
        <w:t>一、部门职责</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根据《中共周口市委机构编制委员会关于印发西华县科学技术协会主要职责内设机构和人员编制规定的通知》（周编〔2015〕25号）文件规定，西华县科学技术协会为市政府组成部门，主要职责是：</w:t>
      </w:r>
    </w:p>
    <w:p>
      <w:pPr>
        <w:rPr>
          <w:rFonts w:hint="eastAsia" w:ascii="仿宋" w:hAnsi="仿宋" w:eastAsia="仿宋" w:cs="仿宋"/>
          <w:sz w:val="32"/>
          <w:szCs w:val="32"/>
        </w:rPr>
      </w:pPr>
      <w:r>
        <w:rPr>
          <w:rFonts w:hint="eastAsia" w:ascii="仿宋" w:hAnsi="仿宋" w:eastAsia="仿宋" w:cs="仿宋"/>
          <w:sz w:val="32"/>
          <w:szCs w:val="32"/>
        </w:rPr>
        <w:t>（一）、组织学术活动，开展学术交流，活跃学术思想，促进学科发展，推动决策的科学化和民主化。</w:t>
      </w:r>
    </w:p>
    <w:p>
      <w:pPr>
        <w:rPr>
          <w:rFonts w:hint="eastAsia" w:ascii="仿宋" w:hAnsi="仿宋" w:eastAsia="仿宋" w:cs="仿宋"/>
          <w:sz w:val="32"/>
          <w:szCs w:val="32"/>
        </w:rPr>
      </w:pPr>
      <w:r>
        <w:rPr>
          <w:rFonts w:hint="eastAsia" w:ascii="仿宋" w:hAnsi="仿宋" w:eastAsia="仿宋" w:cs="仿宋"/>
          <w:sz w:val="32"/>
          <w:szCs w:val="32"/>
        </w:rPr>
        <w:t>（二）、弘扬科学精神，普及科学知识，传播科学思想和科学方法，捍卫科学尊严，推广先进技术，开展青少年科学技术教育活动，提高全民的科学文化素质。</w:t>
      </w:r>
    </w:p>
    <w:p>
      <w:pPr>
        <w:rPr>
          <w:rFonts w:hint="eastAsia" w:ascii="仿宋" w:hAnsi="仿宋" w:eastAsia="仿宋" w:cs="仿宋"/>
          <w:sz w:val="32"/>
          <w:szCs w:val="32"/>
        </w:rPr>
      </w:pPr>
      <w:r>
        <w:rPr>
          <w:rFonts w:hint="eastAsia" w:ascii="仿宋" w:hAnsi="仿宋" w:eastAsia="仿宋" w:cs="仿宋"/>
          <w:sz w:val="32"/>
          <w:szCs w:val="32"/>
        </w:rPr>
        <w:t>（三）、反映科学技术工作者的意见和要求，维护科技工作者的合法权益，为科技团体和科技工作者服务；表彰奖励优秀科学技术工作者，举荐人才，促进尊重知识、尊重人才社会风气的形成。</w:t>
      </w:r>
    </w:p>
    <w:p>
      <w:pPr>
        <w:rPr>
          <w:rFonts w:hint="eastAsia" w:ascii="仿宋" w:hAnsi="仿宋" w:eastAsia="仿宋" w:cs="仿宋"/>
          <w:sz w:val="32"/>
          <w:szCs w:val="32"/>
        </w:rPr>
      </w:pPr>
      <w:r>
        <w:rPr>
          <w:rFonts w:hint="eastAsia" w:ascii="仿宋" w:hAnsi="仿宋" w:eastAsia="仿宋" w:cs="仿宋"/>
          <w:sz w:val="32"/>
          <w:szCs w:val="32"/>
        </w:rPr>
        <w:t>（四）、开展继续教育和技术培训工作，促进科技人才的成长和知识更新。</w:t>
      </w:r>
    </w:p>
    <w:p>
      <w:pPr>
        <w:rPr>
          <w:rFonts w:hint="eastAsia" w:ascii="仿宋" w:hAnsi="仿宋" w:eastAsia="仿宋" w:cs="仿宋"/>
          <w:sz w:val="32"/>
          <w:szCs w:val="32"/>
        </w:rPr>
      </w:pPr>
      <w:r>
        <w:rPr>
          <w:rFonts w:hint="eastAsia" w:ascii="仿宋" w:hAnsi="仿宋" w:eastAsia="仿宋" w:cs="仿宋"/>
          <w:sz w:val="32"/>
          <w:szCs w:val="32"/>
        </w:rPr>
        <w:t>（五）、组织、指导并开展科学论证、科技咨询服务，推动科技成果向现实生产力转化。</w:t>
      </w:r>
    </w:p>
    <w:p>
      <w:pPr>
        <w:rPr>
          <w:rFonts w:hint="eastAsia" w:ascii="仿宋" w:hAnsi="仿宋" w:eastAsia="仿宋" w:cs="仿宋"/>
          <w:sz w:val="32"/>
          <w:szCs w:val="32"/>
        </w:rPr>
      </w:pPr>
      <w:r>
        <w:rPr>
          <w:rFonts w:hint="eastAsia" w:ascii="仿宋" w:hAnsi="仿宋" w:eastAsia="仿宋" w:cs="仿宋"/>
          <w:sz w:val="32"/>
          <w:szCs w:val="32"/>
        </w:rPr>
        <w:t>（六）、开展民间的科学技术交流活动。</w:t>
      </w:r>
    </w:p>
    <w:p>
      <w:pPr>
        <w:pStyle w:val="3"/>
        <w:spacing w:before="2" w:line="364" w:lineRule="auto"/>
        <w:ind w:right="270" w:firstLine="851"/>
        <w:jc w:val="both"/>
        <w:rPr>
          <w:rFonts w:ascii="黑体" w:hAnsi="黑体" w:eastAsia="黑体"/>
        </w:rPr>
      </w:pPr>
      <w:r>
        <w:rPr>
          <w:rFonts w:hint="eastAsia" w:ascii="黑体" w:hAnsi="黑体" w:eastAsia="黑体"/>
        </w:rPr>
        <w:t>二、机构设置</w:t>
      </w:r>
      <w:r>
        <w:rPr>
          <w:rFonts w:ascii="黑体" w:hAnsi="黑体" w:eastAsia="黑体"/>
        </w:rPr>
        <w:t xml:space="preserve"> </w:t>
      </w:r>
    </w:p>
    <w:p>
      <w:pPr>
        <w:widowControl/>
        <w:ind w:firstLine="640"/>
        <w:rPr>
          <w:rFonts w:ascii="宋体" w:hAnsi="宋体" w:cs="宋体"/>
          <w:color w:val="000000"/>
          <w:sz w:val="32"/>
          <w:szCs w:val="32"/>
        </w:rPr>
      </w:pPr>
      <w:r>
        <w:rPr>
          <w:rFonts w:hint="eastAsia" w:ascii="宋体" w:hAnsi="宋体" w:cs="宋体"/>
          <w:color w:val="1D1D1D"/>
          <w:sz w:val="32"/>
          <w:szCs w:val="32"/>
        </w:rPr>
        <w:t>西华县科学技术协会</w:t>
      </w:r>
      <w:r>
        <w:rPr>
          <w:rFonts w:hint="eastAsia" w:ascii="宋体" w:hAnsi="宋体" w:cs="宋体"/>
          <w:color w:val="000000"/>
          <w:sz w:val="32"/>
          <w:szCs w:val="32"/>
        </w:rPr>
        <w:t>是正科级单位，内设三部一室（普及部、学会部、咨询部、办公室）。在职人员18人，其中：公务员编制0人，参照公务员管理编制4人，行政编制14人。事业编制0人；离退休人员9人。</w:t>
      </w:r>
    </w:p>
    <w:p>
      <w:pPr>
        <w:pStyle w:val="3"/>
        <w:spacing w:before="2" w:line="364" w:lineRule="auto"/>
        <w:ind w:left="142" w:right="270" w:firstLine="468"/>
        <w:jc w:val="both"/>
        <w:rPr>
          <w:rFonts w:hint="eastAsia"/>
        </w:rPr>
        <w:sectPr>
          <w:footerReference r:id="rId4" w:type="default"/>
          <w:pgSz w:w="11910" w:h="16840"/>
          <w:pgMar w:top="1520" w:right="1278" w:bottom="1180" w:left="1480" w:header="0" w:footer="999" w:gutter="0"/>
          <w:cols w:space="720" w:num="1"/>
          <w:docGrid w:linePitch="299" w:charSpace="0"/>
        </w:sectPr>
      </w:pPr>
    </w:p>
    <w:p>
      <w:pPr>
        <w:tabs>
          <w:tab w:val="left" w:pos="3993"/>
        </w:tabs>
        <w:spacing w:before="32"/>
        <w:ind w:right="-53" w:rightChars="-24"/>
        <w:jc w:val="center"/>
        <w:rPr>
          <w:rFonts w:ascii="黑体" w:eastAsia="黑体"/>
          <w:sz w:val="48"/>
        </w:rPr>
      </w:pPr>
      <w:r>
        <w:rPr>
          <w:rFonts w:hint="eastAsia" w:ascii="黑体" w:eastAsia="黑体"/>
          <w:sz w:val="48"/>
        </w:rPr>
        <w:t>第</w:t>
      </w:r>
      <w:r>
        <w:rPr>
          <w:rFonts w:hint="eastAsia" w:ascii="黑体" w:eastAsia="黑体"/>
          <w:sz w:val="48"/>
          <w:lang w:val="en-US"/>
        </w:rPr>
        <w:t>二</w:t>
      </w:r>
      <w:r>
        <w:rPr>
          <w:rFonts w:hint="eastAsia" w:ascii="黑体" w:eastAsia="黑体"/>
          <w:sz w:val="48"/>
        </w:rPr>
        <w:t>部分</w:t>
      </w:r>
    </w:p>
    <w:p>
      <w:pPr>
        <w:tabs>
          <w:tab w:val="left" w:pos="3993"/>
        </w:tabs>
        <w:spacing w:before="32"/>
        <w:ind w:right="-53" w:rightChars="-24"/>
        <w:jc w:val="center"/>
        <w:rPr>
          <w:spacing w:val="-6"/>
        </w:rPr>
      </w:pPr>
      <w:r>
        <w:rPr>
          <w:rFonts w:ascii="黑体" w:eastAsia="黑体"/>
          <w:sz w:val="48"/>
        </w:rPr>
        <w:t>2017 年度部门决算情况说明</w:t>
      </w:r>
    </w:p>
    <w:p>
      <w:pPr>
        <w:pStyle w:val="3"/>
        <w:spacing w:before="214" w:line="520" w:lineRule="exact"/>
        <w:ind w:right="-53" w:rightChars="-24" w:firstLine="693" w:firstLineChars="225"/>
        <w:rPr>
          <w:rFonts w:ascii="黑体" w:hAnsi="黑体" w:eastAsia="黑体"/>
          <w:spacing w:val="-6"/>
        </w:rPr>
      </w:pPr>
      <w:r>
        <w:rPr>
          <w:rFonts w:hint="eastAsia" w:ascii="黑体" w:hAnsi="黑体" w:eastAsia="黑体"/>
          <w:spacing w:val="-6"/>
        </w:rPr>
        <w:t>一、收入支出决算总体情况说明</w:t>
      </w:r>
      <w:r>
        <w:rPr>
          <w:rFonts w:ascii="黑体" w:hAnsi="黑体" w:eastAsia="黑体"/>
          <w:spacing w:val="-6"/>
        </w:rPr>
        <w:t xml:space="preserve"> </w:t>
      </w:r>
    </w:p>
    <w:p>
      <w:pPr>
        <w:autoSpaceDE/>
        <w:autoSpaceDN/>
        <w:ind w:right="-53" w:rightChars="-24" w:firstLine="640" w:firstLineChars="200"/>
        <w:jc w:val="both"/>
        <w:rPr>
          <w:rFonts w:ascii="仿宋" w:hAnsi="仿宋" w:eastAsia="仿宋" w:cs="Times New Roman"/>
          <w:kern w:val="2"/>
          <w:sz w:val="32"/>
          <w:szCs w:val="32"/>
          <w:lang w:val="en-US" w:bidi="ar-SA"/>
        </w:rPr>
      </w:pPr>
      <w:r>
        <w:rPr>
          <w:rFonts w:hint="eastAsia" w:ascii="仿宋" w:hAnsi="仿宋" w:eastAsia="仿宋" w:cs="Times New Roman"/>
          <w:kern w:val="2"/>
          <w:sz w:val="32"/>
          <w:szCs w:val="32"/>
          <w:lang w:val="en-US" w:bidi="ar-SA"/>
        </w:rPr>
        <w:t>西华县科学技术协会2017年收入总计152.24万元，支出总计152.54万元，与2016年相比，收入总计减少7.63万元，减少4.77%。支出总计减少7.63万元，减少4.77%。主要原因：人员退休，工资减少。</w:t>
      </w:r>
    </w:p>
    <w:p>
      <w:pPr>
        <w:pStyle w:val="3"/>
        <w:spacing w:before="2" w:line="520" w:lineRule="exact"/>
        <w:ind w:right="-53" w:rightChars="-24" w:firstLine="720" w:firstLineChars="225"/>
        <w:jc w:val="both"/>
        <w:rPr>
          <w:rFonts w:ascii="黑体" w:hAnsi="黑体" w:eastAsia="黑体"/>
          <w:lang w:val="en-US"/>
        </w:rPr>
      </w:pPr>
      <w:r>
        <w:rPr>
          <w:rFonts w:hint="eastAsia" w:ascii="黑体" w:hAnsi="黑体" w:eastAsia="黑体"/>
          <w:lang w:val="en-US"/>
        </w:rPr>
        <w:t>二、收入决算情况说明</w:t>
      </w:r>
      <w:r>
        <w:rPr>
          <w:rFonts w:ascii="黑体" w:hAnsi="黑体" w:eastAsia="黑体"/>
          <w:lang w:val="en-US"/>
        </w:rPr>
        <w:t xml:space="preserve"> </w:t>
      </w:r>
    </w:p>
    <w:p>
      <w:pPr>
        <w:autoSpaceDE/>
        <w:autoSpaceDN/>
        <w:ind w:right="-53" w:rightChars="-24" w:firstLine="640" w:firstLineChars="200"/>
        <w:jc w:val="both"/>
        <w:rPr>
          <w:rFonts w:ascii="仿宋" w:hAnsi="仿宋" w:eastAsia="仿宋" w:cs="Times New Roman"/>
          <w:kern w:val="2"/>
          <w:sz w:val="32"/>
          <w:szCs w:val="32"/>
          <w:lang w:val="en-US" w:bidi="ar-SA"/>
        </w:rPr>
      </w:pPr>
      <w:r>
        <w:rPr>
          <w:rFonts w:hint="eastAsia" w:ascii="仿宋" w:hAnsi="仿宋" w:eastAsia="仿宋" w:cs="Times New Roman"/>
          <w:kern w:val="2"/>
          <w:sz w:val="32"/>
          <w:szCs w:val="32"/>
          <w:lang w:val="en-US" w:bidi="ar-SA"/>
        </w:rPr>
        <w:t>西华县科学技术协会本年收入合计152.24元，其中：财政拨款收入152.24万元，占总收入的100%；政府性基金收入0万元，事业收入0万元，其它收入0万元。</w:t>
      </w:r>
    </w:p>
    <w:p>
      <w:pPr>
        <w:pStyle w:val="3"/>
        <w:spacing w:before="2" w:line="520" w:lineRule="exact"/>
        <w:ind w:right="-53" w:rightChars="-24" w:firstLine="720" w:firstLineChars="225"/>
        <w:jc w:val="both"/>
        <w:rPr>
          <w:rFonts w:ascii="黑体" w:hAnsi="黑体" w:eastAsia="黑体"/>
          <w:lang w:val="en-US"/>
        </w:rPr>
      </w:pPr>
      <w:r>
        <w:rPr>
          <w:rFonts w:hint="eastAsia" w:ascii="黑体" w:hAnsi="黑体" w:eastAsia="黑体"/>
          <w:lang w:val="en-US"/>
        </w:rPr>
        <w:t>三、支出决算情况说明</w:t>
      </w:r>
      <w:r>
        <w:rPr>
          <w:rFonts w:ascii="黑体" w:hAnsi="黑体" w:eastAsia="黑体"/>
          <w:lang w:val="en-US"/>
        </w:rPr>
        <w:t xml:space="preserve"> </w:t>
      </w:r>
    </w:p>
    <w:p>
      <w:pPr>
        <w:autoSpaceDE/>
        <w:autoSpaceDN/>
        <w:ind w:right="-53" w:rightChars="-24" w:firstLine="640" w:firstLineChars="200"/>
        <w:jc w:val="both"/>
        <w:rPr>
          <w:rFonts w:ascii="仿宋" w:hAnsi="仿宋" w:eastAsia="仿宋" w:cs="Times New Roman"/>
          <w:kern w:val="2"/>
          <w:sz w:val="32"/>
          <w:szCs w:val="32"/>
          <w:lang w:val="en-US" w:bidi="ar-SA"/>
        </w:rPr>
      </w:pPr>
      <w:r>
        <w:rPr>
          <w:rFonts w:hint="eastAsia" w:ascii="仿宋" w:hAnsi="仿宋" w:eastAsia="仿宋" w:cs="Times New Roman"/>
          <w:kern w:val="2"/>
          <w:sz w:val="32"/>
          <w:szCs w:val="32"/>
          <w:lang w:val="en-US" w:bidi="ar-SA"/>
        </w:rPr>
        <w:t>西华县科学技术协会本年支出合计152.24万元，其中：基本支出152.24万元，占总支出的100%，比2016年减少支出7.63万元，下降4.77%；项目支出0万元，占总支出的0%，比2016年增加（减少）支出0万元，增长（下降）0%。</w:t>
      </w:r>
    </w:p>
    <w:p>
      <w:pPr>
        <w:pStyle w:val="3"/>
        <w:spacing w:before="2" w:line="520" w:lineRule="exact"/>
        <w:ind w:right="-53" w:rightChars="-24" w:firstLine="720" w:firstLineChars="225"/>
        <w:jc w:val="both"/>
        <w:rPr>
          <w:rFonts w:ascii="黑体" w:hAnsi="黑体" w:eastAsia="黑体"/>
          <w:lang w:val="en-US"/>
        </w:rPr>
      </w:pPr>
      <w:r>
        <w:rPr>
          <w:rFonts w:hint="eastAsia" w:ascii="黑体" w:hAnsi="黑体" w:eastAsia="黑体"/>
          <w:lang w:val="en-US"/>
        </w:rPr>
        <w:t>四、财政拨款收入支出决算总体情况说明</w:t>
      </w:r>
      <w:r>
        <w:rPr>
          <w:rFonts w:ascii="黑体" w:hAnsi="黑体" w:eastAsia="黑体"/>
          <w:lang w:val="en-US"/>
        </w:rPr>
        <w:t xml:space="preserve"> </w:t>
      </w:r>
    </w:p>
    <w:p>
      <w:pPr>
        <w:autoSpaceDE/>
        <w:autoSpaceDN/>
        <w:ind w:right="-53" w:rightChars="-24" w:firstLine="640" w:firstLineChars="200"/>
        <w:jc w:val="both"/>
        <w:rPr>
          <w:rFonts w:ascii="仿宋" w:hAnsi="仿宋" w:eastAsia="仿宋" w:cs="Times New Roman"/>
          <w:kern w:val="2"/>
          <w:sz w:val="32"/>
          <w:szCs w:val="32"/>
          <w:lang w:val="en-US" w:bidi="ar-SA"/>
        </w:rPr>
      </w:pPr>
      <w:r>
        <w:rPr>
          <w:rFonts w:hint="eastAsia" w:ascii="仿宋" w:hAnsi="仿宋" w:eastAsia="仿宋" w:cs="Times New Roman"/>
          <w:kern w:val="2"/>
          <w:sz w:val="32"/>
          <w:szCs w:val="32"/>
          <w:lang w:val="en-US" w:bidi="ar-SA"/>
        </w:rPr>
        <w:t>西华县科学技术协会2017年收入总计152.24万元，支出总计152.54万元，与2016年相比，收入总计减少7.63万元，减少4.77%。支出总计减少7.63万元，减少4.77%。主要原因：人员退休，工资减少。</w:t>
      </w:r>
    </w:p>
    <w:p>
      <w:pPr>
        <w:pStyle w:val="3"/>
        <w:spacing w:before="2" w:line="520" w:lineRule="exact"/>
        <w:ind w:right="-53" w:rightChars="-24" w:firstLine="720" w:firstLineChars="225"/>
        <w:jc w:val="both"/>
        <w:rPr>
          <w:rFonts w:ascii="黑体" w:hAnsi="黑体" w:eastAsia="黑体"/>
          <w:lang w:val="en-US"/>
        </w:rPr>
      </w:pPr>
      <w:r>
        <w:rPr>
          <w:rFonts w:hint="eastAsia" w:ascii="黑体" w:hAnsi="黑体" w:eastAsia="黑体"/>
          <w:lang w:val="en-US"/>
        </w:rPr>
        <w:t>五、一般公共预算财政拨款支出决算情况说明</w:t>
      </w:r>
      <w:r>
        <w:rPr>
          <w:rFonts w:ascii="黑体" w:hAnsi="黑体" w:eastAsia="黑体"/>
          <w:lang w:val="en-US"/>
        </w:rPr>
        <w:t xml:space="preserve"> </w:t>
      </w:r>
    </w:p>
    <w:p>
      <w:pPr>
        <w:pStyle w:val="3"/>
        <w:spacing w:before="2" w:line="520" w:lineRule="exact"/>
        <w:ind w:right="-53" w:rightChars="-24" w:firstLine="696" w:firstLineChars="225"/>
        <w:jc w:val="both"/>
        <w:rPr>
          <w:b/>
          <w:spacing w:val="-6"/>
        </w:rPr>
      </w:pPr>
      <w:r>
        <w:rPr>
          <w:rFonts w:hint="eastAsia"/>
          <w:b/>
          <w:spacing w:val="-6"/>
        </w:rPr>
        <w:t>（一）总体情况</w:t>
      </w:r>
    </w:p>
    <w:p>
      <w:pPr>
        <w:pStyle w:val="3"/>
        <w:spacing w:before="2" w:line="520" w:lineRule="exact"/>
        <w:ind w:right="-53" w:rightChars="-24" w:firstLine="720" w:firstLineChars="225"/>
        <w:jc w:val="both"/>
        <w:rPr>
          <w:rFonts w:hint="eastAsia" w:ascii="仿宋" w:hAnsi="仿宋" w:eastAsia="仿宋"/>
        </w:rPr>
      </w:pPr>
      <w:r>
        <w:rPr>
          <w:rFonts w:hint="eastAsia" w:ascii="仿宋" w:hAnsi="仿宋" w:eastAsia="仿宋"/>
        </w:rPr>
        <w:t>西华县科学技术协会2017年一般公共预算财政拨款支出152.24万元，占支出合计的100%，</w:t>
      </w:r>
      <w:r>
        <w:rPr>
          <w:rFonts w:hint="eastAsia" w:ascii="仿宋" w:hAnsi="仿宋" w:eastAsia="仿宋" w:cs="Times New Roman"/>
          <w:kern w:val="2"/>
          <w:lang w:val="en-US" w:bidi="ar-SA"/>
        </w:rPr>
        <w:t>与2016年相比,</w:t>
      </w:r>
      <w:r>
        <w:rPr>
          <w:rFonts w:hint="eastAsia" w:ascii="仿宋" w:hAnsi="仿宋" w:eastAsia="仿宋"/>
        </w:rPr>
        <w:t xml:space="preserve"> 一般公共预算财政拨款支出减少7.63万元，下降4.77%。</w:t>
      </w:r>
    </w:p>
    <w:p>
      <w:pPr>
        <w:pStyle w:val="3"/>
        <w:spacing w:before="2" w:line="520" w:lineRule="exact"/>
        <w:ind w:right="-53" w:rightChars="-24" w:firstLine="696" w:firstLineChars="225"/>
        <w:jc w:val="both"/>
        <w:rPr>
          <w:b/>
          <w:spacing w:val="-6"/>
        </w:rPr>
      </w:pPr>
      <w:r>
        <w:rPr>
          <w:rFonts w:hint="eastAsia"/>
          <w:b/>
          <w:spacing w:val="-6"/>
        </w:rPr>
        <w:t>（二）结构情况</w:t>
      </w:r>
    </w:p>
    <w:p>
      <w:pPr>
        <w:pStyle w:val="3"/>
        <w:spacing w:before="2" w:line="520" w:lineRule="exact"/>
        <w:ind w:right="-53" w:rightChars="-24" w:firstLine="693" w:firstLineChars="225"/>
        <w:jc w:val="both"/>
        <w:rPr>
          <w:spacing w:val="-6"/>
        </w:rPr>
      </w:pPr>
      <w:r>
        <w:rPr>
          <w:spacing w:val="-6"/>
        </w:rPr>
        <w:t>2017 年度一般公共预算财政拨款支出</w:t>
      </w:r>
      <w:r>
        <w:rPr>
          <w:rFonts w:hint="eastAsia" w:ascii="仿宋" w:hAnsi="仿宋" w:eastAsia="仿宋"/>
        </w:rPr>
        <w:t>152.24</w:t>
      </w:r>
      <w:r>
        <w:rPr>
          <w:spacing w:val="-6"/>
        </w:rPr>
        <w:t>万元，主</w:t>
      </w:r>
      <w:r>
        <w:rPr>
          <w:rFonts w:hint="eastAsia"/>
          <w:spacing w:val="-6"/>
        </w:rPr>
        <w:t>要用于以下方面：一般公共服务（类）支出0</w:t>
      </w:r>
      <w:r>
        <w:rPr>
          <w:spacing w:val="-6"/>
        </w:rPr>
        <w:t>万元，</w:t>
      </w:r>
      <w:r>
        <w:rPr>
          <w:rFonts w:hint="eastAsia"/>
          <w:spacing w:val="-6"/>
        </w:rPr>
        <w:t>占0</w:t>
      </w:r>
      <w:r>
        <w:rPr>
          <w:spacing w:val="-6"/>
        </w:rPr>
        <w:t>%；</w:t>
      </w:r>
      <w:r>
        <w:rPr>
          <w:rFonts w:hint="eastAsia"/>
          <w:spacing w:val="-6"/>
        </w:rPr>
        <w:t>社会保障和就业支出20.16</w:t>
      </w:r>
      <w:r>
        <w:rPr>
          <w:spacing w:val="-6"/>
        </w:rPr>
        <w:t xml:space="preserve">万元，占 </w:t>
      </w:r>
      <w:r>
        <w:rPr>
          <w:rFonts w:hint="eastAsia"/>
          <w:spacing w:val="-6"/>
        </w:rPr>
        <w:t>13</w:t>
      </w:r>
      <w:r>
        <w:rPr>
          <w:spacing w:val="-6"/>
        </w:rPr>
        <w:t>%；</w:t>
      </w:r>
      <w:r>
        <w:rPr>
          <w:rFonts w:hint="eastAsia" w:ascii="仿宋" w:hAnsi="仿宋" w:eastAsia="仿宋"/>
        </w:rPr>
        <w:t>科学技术支出126.36万元，占总支出的83%；</w:t>
      </w:r>
      <w:r>
        <w:rPr>
          <w:rFonts w:hint="eastAsia"/>
          <w:spacing w:val="-6"/>
        </w:rPr>
        <w:t>医疗卫生与计划生育支出5.71</w:t>
      </w:r>
      <w:r>
        <w:rPr>
          <w:spacing w:val="-6"/>
        </w:rPr>
        <w:t xml:space="preserve"> 万元，占</w:t>
      </w:r>
      <w:r>
        <w:rPr>
          <w:rFonts w:hint="eastAsia"/>
          <w:spacing w:val="-6"/>
        </w:rPr>
        <w:t>3</w:t>
      </w:r>
      <w:r>
        <w:rPr>
          <w:spacing w:val="-6"/>
        </w:rPr>
        <w:t>%</w:t>
      </w:r>
      <w:r>
        <w:rPr>
          <w:rFonts w:hint="eastAsia"/>
          <w:spacing w:val="-6"/>
        </w:rPr>
        <w:t>。</w:t>
      </w:r>
      <w:r>
        <w:rPr>
          <w:spacing w:val="-6"/>
        </w:rPr>
        <w:t xml:space="preserve"> </w:t>
      </w:r>
    </w:p>
    <w:p>
      <w:pPr>
        <w:pStyle w:val="3"/>
        <w:spacing w:before="2" w:line="520" w:lineRule="exact"/>
        <w:ind w:right="-53" w:rightChars="-24" w:firstLine="696" w:firstLineChars="225"/>
        <w:jc w:val="both"/>
        <w:rPr>
          <w:b/>
          <w:spacing w:val="-6"/>
        </w:rPr>
      </w:pPr>
      <w:r>
        <w:rPr>
          <w:rFonts w:hint="eastAsia"/>
          <w:b/>
          <w:spacing w:val="-6"/>
        </w:rPr>
        <w:t>（三）具体情况</w:t>
      </w:r>
    </w:p>
    <w:p>
      <w:pPr>
        <w:pStyle w:val="3"/>
        <w:spacing w:before="2" w:line="520" w:lineRule="exact"/>
        <w:ind w:right="-53" w:rightChars="-24" w:firstLine="693" w:firstLineChars="225"/>
        <w:jc w:val="both"/>
        <w:rPr>
          <w:spacing w:val="-6"/>
        </w:rPr>
      </w:pPr>
      <w:r>
        <w:rPr>
          <w:spacing w:val="-6"/>
        </w:rPr>
        <w:t>2017 年度一般公共预算财政拨款支出年初预算为</w:t>
      </w:r>
      <w:r>
        <w:rPr>
          <w:rFonts w:hint="eastAsia"/>
          <w:spacing w:val="-6"/>
        </w:rPr>
        <w:t>152.24万元，支出决算为152.24</w:t>
      </w:r>
      <w:r>
        <w:rPr>
          <w:spacing w:val="-6"/>
        </w:rPr>
        <w:t>万元，完成年初预算的</w:t>
      </w:r>
      <w:r>
        <w:rPr>
          <w:rFonts w:hint="eastAsia"/>
          <w:spacing w:val="-6"/>
        </w:rPr>
        <w:t>100</w:t>
      </w:r>
      <w:r>
        <w:rPr>
          <w:spacing w:val="-6"/>
        </w:rPr>
        <w:t xml:space="preserve">%。 </w:t>
      </w:r>
    </w:p>
    <w:p>
      <w:pPr>
        <w:pStyle w:val="3"/>
        <w:spacing w:before="2" w:line="520" w:lineRule="exact"/>
        <w:ind w:right="-53" w:rightChars="-24" w:firstLine="696" w:firstLineChars="225"/>
        <w:jc w:val="both"/>
        <w:rPr>
          <w:spacing w:val="-6"/>
        </w:rPr>
      </w:pPr>
      <w:r>
        <w:rPr>
          <w:b/>
          <w:spacing w:val="-6"/>
        </w:rPr>
        <w:t>1．一般公共服务（类）</w:t>
      </w:r>
      <w:r>
        <w:rPr>
          <w:rFonts w:hint="eastAsia"/>
          <w:b/>
          <w:spacing w:val="-6"/>
        </w:rPr>
        <w:t>发展和改革事物</w:t>
      </w:r>
      <w:r>
        <w:rPr>
          <w:b/>
          <w:spacing w:val="-6"/>
        </w:rPr>
        <w:t>（款）行政运行（项）</w:t>
      </w:r>
      <w:r>
        <w:rPr>
          <w:spacing w:val="-6"/>
        </w:rPr>
        <w:t>。</w:t>
      </w:r>
      <w:r>
        <w:rPr>
          <w:rFonts w:hint="eastAsia"/>
          <w:spacing w:val="-6"/>
        </w:rPr>
        <w:t>年初预算为0</w:t>
      </w:r>
      <w:r>
        <w:rPr>
          <w:spacing w:val="-6"/>
        </w:rPr>
        <w:t xml:space="preserve">万元，支出决算为 </w:t>
      </w:r>
      <w:r>
        <w:rPr>
          <w:rFonts w:hint="eastAsia"/>
          <w:spacing w:val="-6"/>
        </w:rPr>
        <w:t>0</w:t>
      </w:r>
      <w:r>
        <w:rPr>
          <w:spacing w:val="-6"/>
        </w:rPr>
        <w:t>万元。</w:t>
      </w:r>
    </w:p>
    <w:p>
      <w:pPr>
        <w:pStyle w:val="3"/>
        <w:spacing w:before="2" w:line="520" w:lineRule="exact"/>
        <w:ind w:right="-53" w:rightChars="-24" w:firstLine="696" w:firstLineChars="225"/>
        <w:jc w:val="both"/>
        <w:rPr>
          <w:spacing w:val="-6"/>
        </w:rPr>
      </w:pPr>
      <w:r>
        <w:rPr>
          <w:b/>
          <w:bCs/>
          <w:spacing w:val="-6"/>
        </w:rPr>
        <w:t>2</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归口管理的行政单位离退休（项）。</w:t>
      </w:r>
      <w:r>
        <w:rPr>
          <w:rFonts w:hint="eastAsia"/>
          <w:spacing w:val="-6"/>
        </w:rPr>
        <w:t>年初预算为9.46</w:t>
      </w:r>
      <w:r>
        <w:rPr>
          <w:spacing w:val="-6"/>
        </w:rPr>
        <w:t>元，支出决算为</w:t>
      </w:r>
      <w:r>
        <w:rPr>
          <w:rFonts w:hint="eastAsia"/>
          <w:spacing w:val="-6"/>
        </w:rPr>
        <w:t>9.46</w:t>
      </w:r>
      <w:r>
        <w:rPr>
          <w:spacing w:val="-6"/>
        </w:rPr>
        <w:t>万元，完</w:t>
      </w:r>
      <w:r>
        <w:rPr>
          <w:rFonts w:hint="eastAsia"/>
          <w:spacing w:val="-6"/>
        </w:rPr>
        <w:t>成年初预算的100</w:t>
      </w:r>
      <w:r>
        <w:rPr>
          <w:spacing w:val="-6"/>
        </w:rPr>
        <w:t>%。</w:t>
      </w:r>
    </w:p>
    <w:p>
      <w:pPr>
        <w:pStyle w:val="3"/>
        <w:spacing w:before="2" w:line="520" w:lineRule="exact"/>
        <w:ind w:right="-53" w:rightChars="-24" w:firstLine="696" w:firstLineChars="225"/>
        <w:jc w:val="both"/>
        <w:rPr>
          <w:spacing w:val="-6"/>
        </w:rPr>
      </w:pPr>
      <w:r>
        <w:rPr>
          <w:rFonts w:hint="eastAsia"/>
          <w:b/>
          <w:bCs/>
          <w:spacing w:val="-6"/>
        </w:rPr>
        <w:t>3</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机关事业单位基本养老保险缴费支出（项）。</w:t>
      </w:r>
      <w:r>
        <w:rPr>
          <w:rFonts w:hint="eastAsia"/>
          <w:spacing w:val="-6"/>
        </w:rPr>
        <w:t>年初预算为</w:t>
      </w:r>
      <w:r>
        <w:rPr>
          <w:spacing w:val="-6"/>
        </w:rPr>
        <w:t xml:space="preserve"> </w:t>
      </w:r>
      <w:r>
        <w:rPr>
          <w:rFonts w:hint="eastAsia"/>
          <w:spacing w:val="-6"/>
        </w:rPr>
        <w:t>10.05</w:t>
      </w:r>
      <w:r>
        <w:rPr>
          <w:spacing w:val="-6"/>
        </w:rPr>
        <w:t>万元，支出决算为</w:t>
      </w:r>
      <w:r>
        <w:rPr>
          <w:rFonts w:hint="eastAsia"/>
          <w:spacing w:val="-6"/>
        </w:rPr>
        <w:t>10.05</w:t>
      </w:r>
      <w:r>
        <w:rPr>
          <w:spacing w:val="-6"/>
        </w:rPr>
        <w:t>万元，完成年初预</w:t>
      </w:r>
      <w:r>
        <w:rPr>
          <w:rFonts w:hint="eastAsia"/>
          <w:spacing w:val="-6"/>
        </w:rPr>
        <w:t>算的100</w:t>
      </w:r>
      <w:r>
        <w:rPr>
          <w:spacing w:val="-6"/>
        </w:rPr>
        <w:t>%。</w:t>
      </w:r>
    </w:p>
    <w:p>
      <w:pPr>
        <w:pStyle w:val="3"/>
        <w:spacing w:before="2" w:line="520" w:lineRule="exact"/>
        <w:ind w:right="-53" w:rightChars="-24" w:firstLine="696" w:firstLineChars="225"/>
        <w:jc w:val="both"/>
        <w:rPr>
          <w:spacing w:val="-6"/>
        </w:rPr>
      </w:pPr>
      <w:r>
        <w:rPr>
          <w:rFonts w:hint="eastAsia"/>
          <w:b/>
          <w:spacing w:val="-6"/>
        </w:rPr>
        <w:t>4</w:t>
      </w:r>
      <w:r>
        <w:rPr>
          <w:b/>
          <w:spacing w:val="-6"/>
        </w:rPr>
        <w:t>．</w:t>
      </w:r>
      <w:r>
        <w:rPr>
          <w:rFonts w:hint="eastAsia"/>
          <w:b/>
          <w:spacing w:val="-6"/>
        </w:rPr>
        <w:t>社会保障和就业支出</w:t>
      </w:r>
      <w:r>
        <w:rPr>
          <w:b/>
          <w:spacing w:val="-6"/>
        </w:rPr>
        <w:t>（类）</w:t>
      </w:r>
      <w:r>
        <w:rPr>
          <w:rFonts w:hint="eastAsia"/>
          <w:b/>
          <w:spacing w:val="-6"/>
        </w:rPr>
        <w:t>其他社会保障和就业支出</w:t>
      </w:r>
      <w:r>
        <w:rPr>
          <w:b/>
          <w:spacing w:val="-6"/>
        </w:rPr>
        <w:t>（款）</w:t>
      </w:r>
      <w:r>
        <w:rPr>
          <w:rFonts w:hint="eastAsia"/>
          <w:b/>
          <w:spacing w:val="-6"/>
        </w:rPr>
        <w:t>其他社会保障和就业支出（项）</w:t>
      </w:r>
      <w:r>
        <w:rPr>
          <w:rFonts w:hint="eastAsia"/>
          <w:spacing w:val="-6"/>
        </w:rPr>
        <w:t>年初预算为0.66</w:t>
      </w:r>
      <w:r>
        <w:rPr>
          <w:spacing w:val="-6"/>
        </w:rPr>
        <w:t>万元，支出决算为</w:t>
      </w:r>
      <w:r>
        <w:rPr>
          <w:rFonts w:hint="eastAsia"/>
          <w:spacing w:val="-6"/>
        </w:rPr>
        <w:t>0.66</w:t>
      </w:r>
      <w:r>
        <w:rPr>
          <w:spacing w:val="-6"/>
        </w:rPr>
        <w:t>万元，完成年</w:t>
      </w:r>
      <w:r>
        <w:rPr>
          <w:rFonts w:hint="eastAsia"/>
          <w:spacing w:val="-6"/>
        </w:rPr>
        <w:t>初预算的</w:t>
      </w:r>
      <w:r>
        <w:rPr>
          <w:spacing w:val="-6"/>
        </w:rPr>
        <w:t xml:space="preserve"> </w:t>
      </w:r>
      <w:r>
        <w:rPr>
          <w:rFonts w:hint="eastAsia"/>
          <w:spacing w:val="-6"/>
        </w:rPr>
        <w:t>100</w:t>
      </w:r>
      <w:r>
        <w:rPr>
          <w:spacing w:val="-6"/>
        </w:rPr>
        <w:t xml:space="preserve"> %。</w:t>
      </w:r>
    </w:p>
    <w:p>
      <w:pPr>
        <w:pStyle w:val="3"/>
        <w:spacing w:before="2" w:line="520" w:lineRule="exact"/>
        <w:ind w:right="-53" w:rightChars="-24" w:firstLine="696" w:firstLineChars="225"/>
        <w:jc w:val="both"/>
        <w:rPr>
          <w:spacing w:val="-6"/>
        </w:rPr>
      </w:pPr>
      <w:r>
        <w:rPr>
          <w:rFonts w:hint="eastAsia"/>
          <w:b/>
          <w:spacing w:val="-6"/>
        </w:rPr>
        <w:t>5</w:t>
      </w:r>
      <w:r>
        <w:rPr>
          <w:b/>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行政单位医疗（项）。</w:t>
      </w:r>
      <w:r>
        <w:rPr>
          <w:rFonts w:hint="eastAsia"/>
          <w:spacing w:val="-6"/>
        </w:rPr>
        <w:t>年初预算为5.71</w:t>
      </w:r>
      <w:r>
        <w:rPr>
          <w:spacing w:val="-6"/>
        </w:rPr>
        <w:t>万元，支出决算为</w:t>
      </w:r>
      <w:r>
        <w:rPr>
          <w:rFonts w:hint="eastAsia"/>
          <w:spacing w:val="-6"/>
        </w:rPr>
        <w:t>5.71</w:t>
      </w:r>
      <w:r>
        <w:rPr>
          <w:spacing w:val="-6"/>
        </w:rPr>
        <w:t>万元，完</w:t>
      </w:r>
      <w:r>
        <w:rPr>
          <w:rFonts w:hint="eastAsia"/>
          <w:spacing w:val="-6"/>
        </w:rPr>
        <w:t>成年初预算的100</w:t>
      </w:r>
      <w:r>
        <w:rPr>
          <w:spacing w:val="-6"/>
        </w:rPr>
        <w:t>%。</w:t>
      </w:r>
    </w:p>
    <w:p>
      <w:pPr>
        <w:pStyle w:val="3"/>
        <w:spacing w:before="2" w:line="520" w:lineRule="exact"/>
        <w:ind w:right="-53" w:rightChars="-24" w:firstLine="720" w:firstLineChars="225"/>
        <w:jc w:val="both"/>
        <w:rPr>
          <w:rFonts w:ascii="黑体" w:hAnsi="黑体" w:eastAsia="黑体"/>
          <w:lang w:val="en-US"/>
        </w:rPr>
      </w:pPr>
      <w:r>
        <w:rPr>
          <w:rFonts w:hint="eastAsia" w:ascii="黑体" w:hAnsi="黑体" w:eastAsia="黑体"/>
          <w:lang w:val="en-US"/>
        </w:rPr>
        <w:t>六、一般公共预算财政拨款基本支出决算情况说明</w:t>
      </w:r>
      <w:r>
        <w:rPr>
          <w:rFonts w:ascii="黑体" w:hAnsi="黑体" w:eastAsia="黑体"/>
          <w:lang w:val="en-US"/>
        </w:rPr>
        <w:t xml:space="preserve"> </w:t>
      </w:r>
    </w:p>
    <w:p>
      <w:pPr>
        <w:autoSpaceDE/>
        <w:autoSpaceDN/>
        <w:ind w:right="-53" w:rightChars="-24" w:firstLine="640" w:firstLineChars="200"/>
        <w:jc w:val="both"/>
        <w:rPr>
          <w:rFonts w:ascii="仿宋" w:hAnsi="仿宋" w:eastAsia="仿宋" w:cs="Times New Roman"/>
          <w:kern w:val="2"/>
          <w:sz w:val="32"/>
          <w:szCs w:val="32"/>
          <w:lang w:val="en-US" w:bidi="ar-SA"/>
        </w:rPr>
      </w:pPr>
      <w:r>
        <w:rPr>
          <w:rFonts w:hint="eastAsia" w:ascii="仿宋" w:hAnsi="仿宋" w:eastAsia="仿宋" w:cs="Times New Roman"/>
          <w:kern w:val="2"/>
          <w:sz w:val="32"/>
          <w:szCs w:val="32"/>
          <w:lang w:val="en-US" w:bidi="ar-SA"/>
        </w:rPr>
        <w:t>西华县科学技术协会2017年一般公共预算财政拨款基本支出152.24万元，同比减少支出7.63万元，下降4.77%。其中：人员经费111万元，同比增加支出24.53万元，增长28.37%。主要包括：基本工资、津贴补贴、 奖金、社会保障缴费、绩效工资、其他工资福利 支出、离休费、退休费、抚恤金、生活补助、 医疗费、住房公积金、 其他对个人和家庭的补助支出；公用经费41.23万元，同比减少支出32.17万元，下降43.82%。主要包括：办公费、印刷费、咨询费、水费、电费、邮电费、物业管理费、差旅费、维 修（护）费、租赁费、会议费、培训费、公务接待费、专用材料费、劳务费、委托业务费、福利费、公务用车运行维护费、其他交通费用、其他商品和服务 支出、办公设备购置、专用设备购置、大型修缮、信息网络及软件购置更新、其他资本性支出。</w:t>
      </w:r>
    </w:p>
    <w:p>
      <w:pPr>
        <w:pStyle w:val="3"/>
        <w:spacing w:before="2" w:line="520" w:lineRule="exact"/>
        <w:ind w:right="-53" w:rightChars="-24" w:firstLine="630" w:firstLineChars="225"/>
        <w:jc w:val="both"/>
        <w:rPr>
          <w:lang w:val="en-US"/>
        </w:rPr>
      </w:pPr>
      <w:r>
        <w:rPr>
          <w:rFonts w:hint="eastAsia" w:ascii="黑体" w:hAnsi="黑体" w:eastAsia="黑体"/>
          <w:spacing w:val="-20"/>
          <w:lang w:val="en-US"/>
        </w:rPr>
        <w:t>七、一般公共预算财政拨款“三公”经费支出决算情况说明</w:t>
      </w:r>
      <w:r>
        <w:rPr>
          <w:lang w:val="en-US"/>
        </w:rPr>
        <w:t xml:space="preserve"> </w:t>
      </w:r>
    </w:p>
    <w:p>
      <w:pPr>
        <w:pStyle w:val="3"/>
        <w:spacing w:before="2" w:line="520" w:lineRule="exact"/>
        <w:ind w:right="-53" w:rightChars="-24" w:firstLine="723" w:firstLineChars="225"/>
        <w:jc w:val="both"/>
        <w:rPr>
          <w:b/>
          <w:lang w:val="en-US"/>
        </w:rPr>
      </w:pPr>
      <w:r>
        <w:rPr>
          <w:rFonts w:hint="eastAsia"/>
          <w:b/>
          <w:lang w:val="en-US"/>
        </w:rPr>
        <w:t>（一）“三公”经费财政拨款支出决算总体情况说明。</w:t>
      </w:r>
      <w:r>
        <w:rPr>
          <w:b/>
          <w:lang w:val="en-US"/>
        </w:rPr>
        <w:t xml:space="preserve"> </w:t>
      </w:r>
    </w:p>
    <w:p>
      <w:pPr>
        <w:pStyle w:val="3"/>
        <w:spacing w:before="2" w:line="520" w:lineRule="exact"/>
        <w:ind w:right="-53" w:rightChars="-24" w:firstLine="720" w:firstLineChars="225"/>
        <w:jc w:val="both"/>
        <w:rPr>
          <w:lang w:val="en-US"/>
        </w:rPr>
      </w:pPr>
      <w:r>
        <w:rPr>
          <w:lang w:val="en-US"/>
        </w:rPr>
        <w:t>2017 年度“三公”经费财政拨款支出预算为</w:t>
      </w:r>
      <w:r>
        <w:rPr>
          <w:rFonts w:hint="eastAsia"/>
          <w:lang w:val="en-US"/>
        </w:rPr>
        <w:t>0</w:t>
      </w:r>
      <w:r>
        <w:rPr>
          <w:lang w:val="en-US"/>
        </w:rPr>
        <w:t>万元</w:t>
      </w:r>
      <w:r>
        <w:rPr>
          <w:rFonts w:hint="eastAsia"/>
          <w:lang w:val="en-US"/>
        </w:rPr>
        <w:t>，支出决算为0</w:t>
      </w:r>
      <w:r>
        <w:rPr>
          <w:lang w:val="en-US"/>
        </w:rPr>
        <w:t>万元，完成预算的</w:t>
      </w:r>
      <w:r>
        <w:rPr>
          <w:rFonts w:hint="eastAsia"/>
          <w:lang w:val="en-US"/>
        </w:rPr>
        <w:t>0</w:t>
      </w:r>
      <w:r>
        <w:rPr>
          <w:lang w:val="en-US"/>
        </w:rPr>
        <w:t>%。</w:t>
      </w:r>
    </w:p>
    <w:p>
      <w:pPr>
        <w:pStyle w:val="3"/>
        <w:spacing w:before="2" w:line="520" w:lineRule="exact"/>
        <w:ind w:right="-53" w:rightChars="-24" w:firstLine="723" w:firstLineChars="225"/>
        <w:jc w:val="both"/>
        <w:rPr>
          <w:b/>
          <w:lang w:val="en-US"/>
        </w:rPr>
      </w:pPr>
      <w:r>
        <w:rPr>
          <w:rFonts w:hint="eastAsia"/>
          <w:b/>
          <w:lang w:val="en-US"/>
        </w:rPr>
        <w:t>（二）“三公”经费财政拨款支出决算具体情况说明。</w:t>
      </w:r>
      <w:r>
        <w:rPr>
          <w:b/>
          <w:lang w:val="en-US"/>
        </w:rPr>
        <w:t xml:space="preserve"> </w:t>
      </w:r>
    </w:p>
    <w:p>
      <w:pPr>
        <w:pStyle w:val="3"/>
        <w:spacing w:before="2" w:line="520" w:lineRule="exact"/>
        <w:ind w:right="-53" w:rightChars="-24" w:firstLine="720" w:firstLineChars="225"/>
        <w:jc w:val="both"/>
        <w:rPr>
          <w:lang w:val="en-US"/>
        </w:rPr>
      </w:pPr>
      <w:r>
        <w:rPr>
          <w:lang w:val="en-US"/>
        </w:rPr>
        <w:t>2017 年度“三公”经费财政拨款支出决算中，因公出国（境）</w:t>
      </w:r>
      <w:r>
        <w:rPr>
          <w:rFonts w:hint="eastAsia"/>
          <w:lang w:val="en-US"/>
        </w:rPr>
        <w:t>费支出决算0</w:t>
      </w:r>
      <w:r>
        <w:rPr>
          <w:lang w:val="en-US"/>
        </w:rPr>
        <w:t>万元，占</w:t>
      </w:r>
      <w:r>
        <w:rPr>
          <w:rFonts w:hint="eastAsia"/>
          <w:lang w:val="en-US"/>
        </w:rPr>
        <w:t>0</w:t>
      </w:r>
      <w:r>
        <w:rPr>
          <w:lang w:val="en-US"/>
        </w:rPr>
        <w:t>%，完成预算的</w:t>
      </w:r>
      <w:r>
        <w:rPr>
          <w:rFonts w:hint="eastAsia"/>
          <w:lang w:val="en-US"/>
        </w:rPr>
        <w:t>0</w:t>
      </w:r>
      <w:r>
        <w:rPr>
          <w:lang w:val="en-US"/>
        </w:rPr>
        <w:t>%；公务</w:t>
      </w:r>
      <w:r>
        <w:rPr>
          <w:rFonts w:hint="eastAsia"/>
          <w:lang w:val="en-US"/>
        </w:rPr>
        <w:t>用车购置及运行费支出决算0</w:t>
      </w:r>
      <w:r>
        <w:rPr>
          <w:lang w:val="en-US"/>
        </w:rPr>
        <w:t>万元，占</w:t>
      </w:r>
      <w:r>
        <w:rPr>
          <w:rFonts w:hint="eastAsia"/>
          <w:lang w:val="en-US"/>
        </w:rPr>
        <w:t>0</w:t>
      </w:r>
      <w:r>
        <w:rPr>
          <w:lang w:val="en-US"/>
        </w:rPr>
        <w:t>%，完成预算</w:t>
      </w:r>
      <w:r>
        <w:rPr>
          <w:rFonts w:hint="eastAsia"/>
          <w:lang w:val="en-US"/>
        </w:rPr>
        <w:t>的0</w:t>
      </w:r>
      <w:r>
        <w:rPr>
          <w:lang w:val="en-US"/>
        </w:rPr>
        <w:t>%；公务接待费支出决算</w:t>
      </w:r>
      <w:r>
        <w:rPr>
          <w:rFonts w:hint="eastAsia"/>
          <w:lang w:val="en-US"/>
        </w:rPr>
        <w:t>0</w:t>
      </w:r>
      <w:r>
        <w:rPr>
          <w:lang w:val="en-US"/>
        </w:rPr>
        <w:t>万元，占</w:t>
      </w:r>
      <w:r>
        <w:rPr>
          <w:rFonts w:hint="eastAsia"/>
          <w:lang w:val="en-US"/>
        </w:rPr>
        <w:t>0</w:t>
      </w:r>
      <w:r>
        <w:rPr>
          <w:lang w:val="en-US"/>
        </w:rPr>
        <w:t>%，完成</w:t>
      </w:r>
      <w:r>
        <w:rPr>
          <w:rFonts w:hint="eastAsia"/>
          <w:lang w:val="en-US"/>
        </w:rPr>
        <w:t>预算的0</w:t>
      </w:r>
      <w:r>
        <w:rPr>
          <w:lang w:val="en-US"/>
        </w:rPr>
        <w:t xml:space="preserve">%。具体情况如下： </w:t>
      </w:r>
    </w:p>
    <w:p>
      <w:pPr>
        <w:pStyle w:val="3"/>
        <w:spacing w:before="2" w:line="520" w:lineRule="exact"/>
        <w:ind w:right="-53" w:rightChars="-24" w:firstLine="723" w:firstLineChars="225"/>
        <w:jc w:val="both"/>
        <w:rPr>
          <w:lang w:val="en-US"/>
        </w:rPr>
      </w:pPr>
      <w:r>
        <w:rPr>
          <w:b/>
          <w:bCs/>
          <w:lang w:val="en-US"/>
        </w:rPr>
        <w:t>1</w:t>
      </w:r>
      <w:r>
        <w:rPr>
          <w:lang w:val="en-US"/>
        </w:rPr>
        <w:t>.</w:t>
      </w:r>
      <w:r>
        <w:rPr>
          <w:b/>
          <w:lang w:val="en-US"/>
        </w:rPr>
        <w:t>因公出国（境）费</w:t>
      </w:r>
      <w:r>
        <w:rPr>
          <w:lang w:val="en-US"/>
        </w:rPr>
        <w:t xml:space="preserve">支出 </w:t>
      </w:r>
      <w:r>
        <w:rPr>
          <w:rFonts w:hint="eastAsia"/>
          <w:lang w:val="en-US"/>
        </w:rPr>
        <w:t>0</w:t>
      </w:r>
      <w:r>
        <w:rPr>
          <w:lang w:val="en-US"/>
        </w:rPr>
        <w:t xml:space="preserve">万元。 </w:t>
      </w:r>
    </w:p>
    <w:p>
      <w:pPr>
        <w:pStyle w:val="3"/>
        <w:spacing w:before="2" w:line="520" w:lineRule="exact"/>
        <w:ind w:right="-53" w:rightChars="-24" w:firstLine="723" w:firstLineChars="225"/>
        <w:jc w:val="both"/>
        <w:rPr>
          <w:rFonts w:hint="eastAsia"/>
          <w:lang w:val="en-US"/>
        </w:rPr>
      </w:pPr>
      <w:r>
        <w:rPr>
          <w:b/>
          <w:bCs/>
          <w:lang w:val="en-US"/>
        </w:rPr>
        <w:t>2</w:t>
      </w:r>
      <w:r>
        <w:rPr>
          <w:lang w:val="en-US"/>
        </w:rPr>
        <w:t>.</w:t>
      </w:r>
      <w:r>
        <w:rPr>
          <w:b/>
          <w:lang w:val="en-US"/>
        </w:rPr>
        <w:t>公务用车购置及运行费</w:t>
      </w:r>
      <w:r>
        <w:rPr>
          <w:rFonts w:hint="eastAsia"/>
          <w:lang w:val="en-US"/>
        </w:rPr>
        <w:t>0</w:t>
      </w:r>
      <w:r>
        <w:rPr>
          <w:lang w:val="en-US"/>
        </w:rPr>
        <w:t>万元。其中</w:t>
      </w:r>
      <w:r>
        <w:rPr>
          <w:rFonts w:hint="eastAsia"/>
          <w:lang w:val="en-US"/>
        </w:rPr>
        <w:t>：公务用车购置支出为</w:t>
      </w:r>
      <w:r>
        <w:rPr>
          <w:lang w:val="en-US"/>
        </w:rPr>
        <w:t xml:space="preserve"> 0.00 万元</w:t>
      </w:r>
      <w:r>
        <w:rPr>
          <w:rFonts w:hint="eastAsia"/>
          <w:lang w:val="en-US"/>
        </w:rPr>
        <w:t>。公务用车运行支出0</w:t>
      </w:r>
      <w:r>
        <w:rPr>
          <w:lang w:val="en-US"/>
        </w:rPr>
        <w:t>万元。</w:t>
      </w:r>
    </w:p>
    <w:p>
      <w:pPr>
        <w:pStyle w:val="3"/>
        <w:spacing w:before="2" w:line="520" w:lineRule="exact"/>
        <w:ind w:right="-53" w:rightChars="-24" w:firstLine="723" w:firstLineChars="225"/>
        <w:jc w:val="both"/>
        <w:rPr>
          <w:lang w:val="en-US"/>
        </w:rPr>
      </w:pPr>
      <w:r>
        <w:rPr>
          <w:b/>
          <w:bCs/>
          <w:lang w:val="en-US"/>
        </w:rPr>
        <w:t>3</w:t>
      </w:r>
      <w:r>
        <w:rPr>
          <w:lang w:val="en-US"/>
        </w:rPr>
        <w:t>.</w:t>
      </w:r>
      <w:r>
        <w:rPr>
          <w:b/>
          <w:lang w:val="en-US"/>
        </w:rPr>
        <w:t>公务接待费</w:t>
      </w:r>
      <w:r>
        <w:rPr>
          <w:rFonts w:hint="eastAsia"/>
          <w:lang w:val="en-US"/>
        </w:rPr>
        <w:t>0</w:t>
      </w:r>
      <w:r>
        <w:rPr>
          <w:lang w:val="en-US"/>
        </w:rPr>
        <w:t>万元</w:t>
      </w:r>
    </w:p>
    <w:p>
      <w:pPr>
        <w:pStyle w:val="3"/>
        <w:spacing w:before="2" w:line="520" w:lineRule="exact"/>
        <w:ind w:right="-53" w:rightChars="-24" w:firstLine="720" w:firstLineChars="225"/>
        <w:jc w:val="both"/>
        <w:rPr>
          <w:rFonts w:ascii="黑体" w:hAnsi="黑体" w:eastAsia="黑体"/>
          <w:color w:val="auto"/>
          <w:lang w:val="en-US"/>
        </w:rPr>
      </w:pPr>
      <w:r>
        <w:rPr>
          <w:rFonts w:hint="eastAsia" w:ascii="黑体" w:hAnsi="黑体" w:eastAsia="黑体"/>
          <w:color w:val="auto"/>
          <w:lang w:val="en-US"/>
        </w:rPr>
        <w:t>八、重点绩效评价结果等预算绩效情况说明</w:t>
      </w:r>
      <w:r>
        <w:rPr>
          <w:rFonts w:ascii="黑体" w:hAnsi="黑体" w:eastAsia="黑体"/>
          <w:color w:val="auto"/>
          <w:lang w:val="en-US"/>
        </w:rPr>
        <w:t xml:space="preserve"> </w:t>
      </w:r>
    </w:p>
    <w:p>
      <w:pPr>
        <w:pStyle w:val="3"/>
        <w:spacing w:before="2" w:line="520" w:lineRule="exact"/>
        <w:ind w:right="-53" w:rightChars="-24" w:firstLine="720" w:firstLineChars="225"/>
        <w:jc w:val="both"/>
        <w:rPr>
          <w:rFonts w:hAnsi="宋体" w:cs="宋体"/>
          <w:lang w:val="en-US"/>
        </w:rPr>
      </w:pPr>
      <w:r>
        <w:rPr>
          <w:rFonts w:hint="eastAsia"/>
          <w:lang w:val="en-US"/>
        </w:rPr>
        <w:t>2017年度，本单位没有民生项目和重点支出项目，所以未开展预算绩效评价。</w:t>
      </w:r>
    </w:p>
    <w:p>
      <w:pPr>
        <w:pStyle w:val="3"/>
        <w:spacing w:before="2" w:line="520" w:lineRule="exact"/>
        <w:ind w:right="-53" w:rightChars="-24" w:firstLine="720" w:firstLineChars="225"/>
        <w:jc w:val="both"/>
        <w:rPr>
          <w:rFonts w:ascii="黑体" w:hAnsi="黑体" w:eastAsia="黑体"/>
          <w:lang w:val="en-US"/>
        </w:rPr>
      </w:pPr>
      <w:r>
        <w:rPr>
          <w:rFonts w:hint="eastAsia" w:ascii="黑体" w:hAnsi="黑体" w:eastAsia="黑体"/>
          <w:lang w:val="en-US"/>
        </w:rPr>
        <w:t>九、政府性基金预算财政拨款支出决算情况说明</w:t>
      </w:r>
      <w:r>
        <w:rPr>
          <w:rFonts w:ascii="黑体" w:hAnsi="黑体" w:eastAsia="黑体"/>
          <w:lang w:val="en-US"/>
        </w:rPr>
        <w:t xml:space="preserve"> </w:t>
      </w:r>
    </w:p>
    <w:p>
      <w:pPr>
        <w:pStyle w:val="3"/>
        <w:spacing w:before="2" w:line="520" w:lineRule="exact"/>
        <w:ind w:right="-53" w:rightChars="-24" w:firstLine="720" w:firstLineChars="225"/>
        <w:jc w:val="both"/>
        <w:rPr>
          <w:lang w:val="en-US"/>
        </w:rPr>
      </w:pPr>
      <w:r>
        <w:rPr>
          <w:rFonts w:hint="eastAsia"/>
          <w:lang w:val="en-US"/>
        </w:rPr>
        <w:t>2017年度，本单位没有政府性基金收入，也没有使用政府性基金安排的支出。</w:t>
      </w:r>
    </w:p>
    <w:p>
      <w:pPr>
        <w:pStyle w:val="3"/>
        <w:spacing w:before="2" w:line="520" w:lineRule="exact"/>
        <w:ind w:right="-53" w:rightChars="-24" w:firstLine="720" w:firstLineChars="225"/>
        <w:jc w:val="both"/>
        <w:rPr>
          <w:rFonts w:ascii="黑体" w:hAnsi="黑体" w:eastAsia="黑体"/>
          <w:lang w:val="en-US"/>
        </w:rPr>
      </w:pPr>
      <w:r>
        <w:rPr>
          <w:rFonts w:hint="eastAsia" w:ascii="黑体" w:hAnsi="黑体" w:eastAsia="黑体"/>
          <w:lang w:val="en-US"/>
        </w:rPr>
        <w:t>十、机关运行经费支出情况说明</w:t>
      </w:r>
      <w:r>
        <w:rPr>
          <w:rFonts w:ascii="黑体" w:hAnsi="黑体" w:eastAsia="黑体"/>
          <w:lang w:val="en-US"/>
        </w:rPr>
        <w:t xml:space="preserve"> </w:t>
      </w:r>
    </w:p>
    <w:p>
      <w:pPr>
        <w:pStyle w:val="3"/>
        <w:spacing w:before="2" w:line="520" w:lineRule="exact"/>
        <w:ind w:right="-53" w:rightChars="-24" w:firstLine="720" w:firstLineChars="225"/>
        <w:jc w:val="both"/>
        <w:rPr>
          <w:rFonts w:hint="eastAsia"/>
          <w:lang w:val="en-US"/>
        </w:rPr>
      </w:pPr>
      <w:r>
        <w:rPr>
          <w:lang w:val="en-US"/>
        </w:rPr>
        <w:t>2017年度机关运行经费支出</w:t>
      </w:r>
      <w:r>
        <w:rPr>
          <w:rFonts w:hint="eastAsia"/>
          <w:lang w:val="en-US"/>
        </w:rPr>
        <w:t>41.23</w:t>
      </w:r>
      <w:r>
        <w:rPr>
          <w:lang w:val="en-US"/>
        </w:rPr>
        <w:t>万元，较 2016 年度</w:t>
      </w:r>
      <w:r>
        <w:rPr>
          <w:rFonts w:hint="eastAsia"/>
          <w:lang w:val="en-US"/>
        </w:rPr>
        <w:t>减少32.17</w:t>
      </w:r>
      <w:r>
        <w:rPr>
          <w:lang w:val="en-US"/>
        </w:rPr>
        <w:t>万元，</w:t>
      </w:r>
      <w:r>
        <w:rPr>
          <w:rFonts w:hint="eastAsia"/>
          <w:lang w:val="en-US"/>
        </w:rPr>
        <w:t>下降43.82</w:t>
      </w:r>
      <w:r>
        <w:rPr>
          <w:lang w:val="en-US"/>
        </w:rPr>
        <w:t>%。</w:t>
      </w:r>
      <w:r>
        <w:rPr>
          <w:rFonts w:hint="eastAsia"/>
          <w:lang w:val="en-US"/>
        </w:rPr>
        <w:t>下降</w:t>
      </w:r>
      <w:r>
        <w:rPr>
          <w:lang w:val="en-US"/>
        </w:rPr>
        <w:t>的主要原因是：</w:t>
      </w:r>
      <w:r>
        <w:rPr>
          <w:rFonts w:hint="eastAsia"/>
          <w:lang w:val="en-US"/>
        </w:rPr>
        <w:t>认真贯彻落实中央八项规定精神，统筹安排日常办公性支出，厉行节约，反对浪费。</w:t>
      </w:r>
    </w:p>
    <w:p>
      <w:pPr>
        <w:pStyle w:val="3"/>
        <w:spacing w:before="2" w:line="520" w:lineRule="exact"/>
        <w:ind w:right="-53" w:rightChars="-24" w:firstLine="720" w:firstLineChars="225"/>
        <w:jc w:val="both"/>
        <w:rPr>
          <w:rFonts w:ascii="黑体" w:hAnsi="黑体" w:eastAsia="黑体"/>
          <w:lang w:val="en-US"/>
        </w:rPr>
      </w:pPr>
      <w:r>
        <w:rPr>
          <w:rFonts w:hint="eastAsia" w:ascii="黑体" w:hAnsi="黑体" w:eastAsia="黑体"/>
          <w:lang w:val="en-US"/>
        </w:rPr>
        <w:t>十一、政府采购支出情况说明</w:t>
      </w:r>
      <w:r>
        <w:rPr>
          <w:rFonts w:ascii="黑体" w:hAnsi="黑体" w:eastAsia="黑体"/>
          <w:lang w:val="en-US"/>
        </w:rPr>
        <w:t xml:space="preserve"> </w:t>
      </w:r>
    </w:p>
    <w:p>
      <w:pPr>
        <w:pStyle w:val="3"/>
        <w:spacing w:before="2" w:line="520" w:lineRule="exact"/>
        <w:ind w:right="-53" w:rightChars="-24" w:firstLine="720" w:firstLineChars="225"/>
        <w:jc w:val="both"/>
        <w:rPr>
          <w:lang w:val="en-US"/>
        </w:rPr>
      </w:pPr>
      <w:r>
        <w:rPr>
          <w:lang w:val="en-US"/>
        </w:rPr>
        <w:t>2017年度政府采购支出总额</w:t>
      </w:r>
      <w:r>
        <w:rPr>
          <w:rFonts w:hint="eastAsia"/>
          <w:lang w:val="en-US"/>
        </w:rPr>
        <w:t>0</w:t>
      </w:r>
      <w:r>
        <w:rPr>
          <w:lang w:val="en-US"/>
        </w:rPr>
        <w:t xml:space="preserve">万元。 </w:t>
      </w:r>
    </w:p>
    <w:p>
      <w:pPr>
        <w:pStyle w:val="3"/>
        <w:spacing w:before="2" w:line="520" w:lineRule="exact"/>
        <w:ind w:right="-53" w:rightChars="-24" w:firstLine="720" w:firstLineChars="225"/>
        <w:jc w:val="both"/>
        <w:rPr>
          <w:rFonts w:ascii="黑体" w:hAnsi="黑体" w:eastAsia="黑体"/>
          <w:lang w:val="en-US"/>
        </w:rPr>
      </w:pPr>
      <w:r>
        <w:rPr>
          <w:rFonts w:hint="eastAsia" w:ascii="黑体" w:hAnsi="黑体" w:eastAsia="黑体"/>
          <w:lang w:val="en-US"/>
        </w:rPr>
        <w:t>十二、国有资产占用情况说明</w:t>
      </w:r>
      <w:r>
        <w:rPr>
          <w:rFonts w:ascii="黑体" w:hAnsi="黑体" w:eastAsia="黑体"/>
          <w:lang w:val="en-US"/>
        </w:rPr>
        <w:t xml:space="preserve"> </w:t>
      </w:r>
    </w:p>
    <w:p>
      <w:pPr>
        <w:pStyle w:val="3"/>
        <w:spacing w:before="2" w:line="520" w:lineRule="exact"/>
        <w:ind w:right="-53" w:rightChars="-24" w:firstLine="720" w:firstLineChars="225"/>
        <w:jc w:val="both"/>
        <w:rPr>
          <w:lang w:val="en-US"/>
        </w:rPr>
      </w:pPr>
      <w:r>
        <w:rPr>
          <w:lang w:val="en-US"/>
        </w:rPr>
        <w:t>2017年</w:t>
      </w:r>
      <w:r>
        <w:rPr>
          <w:rFonts w:hint="eastAsia"/>
          <w:lang w:val="en-US"/>
        </w:rPr>
        <w:t>本单位公务用车0辆，单位价值50万元以上通用设备0台（套），单位价值100万元以上专用设备0台（套）。</w:t>
      </w:r>
      <w:r>
        <w:rPr>
          <w:lang w:val="en-US"/>
        </w:rPr>
        <w:t xml:space="preserve"> </w:t>
      </w:r>
    </w:p>
    <w:p>
      <w:pPr>
        <w:tabs>
          <w:tab w:val="left" w:pos="3993"/>
        </w:tabs>
        <w:spacing w:before="32" w:line="520" w:lineRule="exact"/>
        <w:ind w:right="-53" w:rightChars="-24" w:firstLine="1080" w:firstLineChars="225"/>
        <w:jc w:val="center"/>
        <w:rPr>
          <w:rFonts w:ascii="黑体" w:eastAsia="黑体"/>
          <w:sz w:val="48"/>
        </w:rPr>
      </w:pPr>
    </w:p>
    <w:p>
      <w:pPr>
        <w:tabs>
          <w:tab w:val="left" w:pos="3993"/>
        </w:tabs>
        <w:spacing w:before="32" w:line="520" w:lineRule="exact"/>
        <w:ind w:right="-53" w:rightChars="-24" w:firstLine="1080" w:firstLineChars="225"/>
        <w:jc w:val="center"/>
        <w:rPr>
          <w:rFonts w:ascii="黑体" w:eastAsia="黑体"/>
          <w:sz w:val="48"/>
        </w:rPr>
      </w:pPr>
      <w:r>
        <w:rPr>
          <w:rFonts w:hint="eastAsia" w:ascii="黑体" w:eastAsia="黑体"/>
          <w:sz w:val="48"/>
        </w:rPr>
        <w:t>第</w:t>
      </w:r>
      <w:r>
        <w:rPr>
          <w:rFonts w:hint="eastAsia" w:ascii="黑体" w:eastAsia="黑体"/>
          <w:sz w:val="48"/>
          <w:lang w:val="en-US"/>
        </w:rPr>
        <w:t>三</w:t>
      </w:r>
      <w:r>
        <w:rPr>
          <w:rFonts w:hint="eastAsia" w:ascii="黑体" w:eastAsia="黑体"/>
          <w:sz w:val="48"/>
        </w:rPr>
        <w:t>部分</w:t>
      </w:r>
      <w:r>
        <w:rPr>
          <w:rFonts w:ascii="黑体" w:eastAsia="黑体"/>
          <w:sz w:val="48"/>
        </w:rPr>
        <w:t xml:space="preserve"> 名词解释</w:t>
      </w:r>
    </w:p>
    <w:p>
      <w:pPr>
        <w:pStyle w:val="3"/>
        <w:spacing w:before="2" w:line="520" w:lineRule="exact"/>
        <w:ind w:right="-53" w:rightChars="-24" w:firstLine="723" w:firstLineChars="225"/>
        <w:jc w:val="both"/>
        <w:rPr>
          <w:lang w:val="en-US"/>
        </w:rPr>
      </w:pPr>
      <w:r>
        <w:rPr>
          <w:rFonts w:hint="eastAsia"/>
          <w:b/>
          <w:lang w:val="en-US"/>
        </w:rPr>
        <w:t>一、财政拨款收入</w:t>
      </w:r>
      <w:r>
        <w:rPr>
          <w:rFonts w:hint="eastAsia"/>
          <w:lang w:val="en-US"/>
        </w:rPr>
        <w:t>：指省级财政当年拨付的资金。</w:t>
      </w:r>
      <w:r>
        <w:rPr>
          <w:lang w:val="en-US"/>
        </w:rPr>
        <w:t xml:space="preserve"> </w:t>
      </w:r>
    </w:p>
    <w:p>
      <w:pPr>
        <w:pStyle w:val="3"/>
        <w:spacing w:before="2" w:line="520" w:lineRule="exact"/>
        <w:ind w:right="-53" w:rightChars="-24" w:firstLine="723" w:firstLineChars="225"/>
        <w:jc w:val="both"/>
        <w:rPr>
          <w:lang w:val="en-US"/>
        </w:rPr>
      </w:pPr>
      <w:r>
        <w:rPr>
          <w:rFonts w:hint="eastAsia"/>
          <w:b/>
          <w:lang w:val="en-US"/>
        </w:rPr>
        <w:t>二、事业收入</w:t>
      </w:r>
      <w:r>
        <w:rPr>
          <w:rFonts w:hint="eastAsia"/>
          <w:lang w:val="en-US"/>
        </w:rPr>
        <w:t>：指事业单位开展专业活动及辅助活动所取得的收入。</w:t>
      </w:r>
      <w:r>
        <w:rPr>
          <w:lang w:val="en-US"/>
        </w:rPr>
        <w:t xml:space="preserve"> </w:t>
      </w:r>
    </w:p>
    <w:p>
      <w:pPr>
        <w:pStyle w:val="3"/>
        <w:spacing w:before="2" w:line="520" w:lineRule="exact"/>
        <w:ind w:right="-53" w:rightChars="-24" w:firstLine="723" w:firstLineChars="225"/>
        <w:jc w:val="both"/>
        <w:rPr>
          <w:lang w:val="en-US"/>
        </w:rPr>
      </w:pPr>
      <w:r>
        <w:rPr>
          <w:rFonts w:hint="eastAsia"/>
          <w:b/>
          <w:lang w:val="en-US"/>
        </w:rPr>
        <w:t>三、其他收入</w:t>
      </w:r>
      <w:r>
        <w:rPr>
          <w:rFonts w:hint="eastAsia"/>
          <w:lang w:val="en-US"/>
        </w:rPr>
        <w:t>：指部门取得的除“财政拨款”、“事业收入”、“事业单位经营收入”等以外的收入。</w:t>
      </w:r>
      <w:r>
        <w:rPr>
          <w:lang w:val="en-US"/>
        </w:rPr>
        <w:t xml:space="preserve"> </w:t>
      </w:r>
    </w:p>
    <w:p>
      <w:pPr>
        <w:pStyle w:val="3"/>
        <w:spacing w:before="2" w:line="520" w:lineRule="exact"/>
        <w:ind w:right="-53" w:rightChars="-24" w:firstLine="723" w:firstLineChars="225"/>
        <w:jc w:val="both"/>
        <w:rPr>
          <w:lang w:val="en-US"/>
        </w:rPr>
      </w:pPr>
      <w:r>
        <w:rPr>
          <w:rFonts w:hint="eastAsia"/>
          <w:b/>
          <w:lang w:val="en-US"/>
        </w:rPr>
        <w:t>四、年初结转和结余</w:t>
      </w:r>
      <w:r>
        <w:rPr>
          <w:rFonts w:hint="eastAsia"/>
          <w:lang w:val="en-US"/>
        </w:rPr>
        <w:t>：指以前年度尚未完成、结转到本年</w:t>
      </w:r>
    </w:p>
    <w:p>
      <w:pPr>
        <w:pStyle w:val="3"/>
        <w:spacing w:before="2" w:line="520" w:lineRule="exact"/>
        <w:ind w:right="-53" w:rightChars="-24" w:firstLine="720" w:firstLineChars="225"/>
        <w:jc w:val="both"/>
        <w:rPr>
          <w:lang w:val="en-US"/>
        </w:rPr>
      </w:pPr>
      <w:r>
        <w:rPr>
          <w:rFonts w:hint="eastAsia"/>
          <w:lang w:val="en-US"/>
        </w:rPr>
        <w:t>按有关规定继续使用的资金。</w:t>
      </w:r>
      <w:r>
        <w:rPr>
          <w:lang w:val="en-US"/>
        </w:rPr>
        <w:t xml:space="preserve"> </w:t>
      </w:r>
    </w:p>
    <w:p>
      <w:pPr>
        <w:pStyle w:val="3"/>
        <w:spacing w:before="2" w:line="520" w:lineRule="exact"/>
        <w:ind w:right="-53" w:rightChars="-24" w:firstLine="723" w:firstLineChars="225"/>
        <w:jc w:val="both"/>
        <w:rPr>
          <w:lang w:val="en-US"/>
        </w:rPr>
      </w:pPr>
      <w:r>
        <w:rPr>
          <w:rFonts w:hint="eastAsia"/>
          <w:b/>
          <w:lang w:val="en-US"/>
        </w:rPr>
        <w:t>五、社会保障和就业（类）行政事业单位离退休（款）归口管理的行政单位离退休（项）</w:t>
      </w:r>
      <w:r>
        <w:rPr>
          <w:rFonts w:hint="eastAsia"/>
          <w:lang w:val="en-US"/>
        </w:rPr>
        <w:t>：反映实行归口管理的行政单位（包括实行公务员管理的事业单位）开支的离退休经费。</w:t>
      </w:r>
      <w:r>
        <w:rPr>
          <w:lang w:val="en-US"/>
        </w:rPr>
        <w:t xml:space="preserve"> </w:t>
      </w:r>
    </w:p>
    <w:p>
      <w:pPr>
        <w:pStyle w:val="3"/>
        <w:spacing w:before="2" w:line="520" w:lineRule="exact"/>
        <w:ind w:right="-53" w:rightChars="-24" w:firstLine="723" w:firstLineChars="225"/>
        <w:jc w:val="both"/>
        <w:rPr>
          <w:lang w:val="en-US"/>
        </w:rPr>
      </w:pPr>
      <w:r>
        <w:rPr>
          <w:rFonts w:hint="eastAsia"/>
          <w:b/>
          <w:lang w:val="en-US"/>
        </w:rPr>
        <w:t>六、社会保障和就业（类）行政事业单位离退休（款）事业单位离退休（项）</w:t>
      </w:r>
      <w:r>
        <w:rPr>
          <w:rFonts w:hint="eastAsia"/>
          <w:lang w:val="en-US"/>
        </w:rPr>
        <w:t>：反映实行归口管理的事业单位开支的离退休经费。</w:t>
      </w:r>
      <w:r>
        <w:rPr>
          <w:lang w:val="en-US"/>
        </w:rPr>
        <w:t xml:space="preserve"> </w:t>
      </w:r>
    </w:p>
    <w:p>
      <w:pPr>
        <w:pStyle w:val="3"/>
        <w:spacing w:before="2" w:line="520" w:lineRule="exact"/>
        <w:ind w:right="-53" w:rightChars="-24" w:firstLine="723" w:firstLineChars="225"/>
        <w:jc w:val="both"/>
        <w:rPr>
          <w:b/>
          <w:lang w:val="en-US"/>
        </w:rPr>
      </w:pPr>
      <w:r>
        <w:rPr>
          <w:rFonts w:hint="eastAsia"/>
          <w:b/>
          <w:lang w:val="en-US"/>
        </w:rPr>
        <w:t>七、社会保障和就业（类）行政事业单位离退休（款）</w:t>
      </w:r>
    </w:p>
    <w:p>
      <w:pPr>
        <w:pStyle w:val="3"/>
        <w:spacing w:before="2" w:line="520" w:lineRule="exact"/>
        <w:ind w:right="-53" w:rightChars="-24" w:firstLine="720" w:firstLineChars="225"/>
        <w:jc w:val="both"/>
        <w:rPr>
          <w:lang w:val="en-US"/>
        </w:rPr>
      </w:pPr>
      <w:r>
        <w:rPr>
          <w:rFonts w:hint="eastAsia"/>
          <w:lang w:val="en-US"/>
        </w:rPr>
        <w:t>机关事业单位基本养老保险缴费支出（项）：反映机关事业单位实施养老保险制度由单位缴纳的基本养老保险费支出。</w:t>
      </w:r>
      <w:r>
        <w:rPr>
          <w:lang w:val="en-US"/>
        </w:rPr>
        <w:t xml:space="preserve"> </w:t>
      </w:r>
    </w:p>
    <w:p>
      <w:pPr>
        <w:pStyle w:val="3"/>
        <w:spacing w:before="2" w:line="520" w:lineRule="exact"/>
        <w:ind w:right="-53" w:rightChars="-24" w:firstLine="723" w:firstLineChars="225"/>
        <w:jc w:val="both"/>
        <w:rPr>
          <w:lang w:val="en-US"/>
        </w:rPr>
      </w:pPr>
      <w:r>
        <w:rPr>
          <w:rFonts w:hint="eastAsia"/>
          <w:b/>
          <w:lang w:val="en-US"/>
        </w:rPr>
        <w:t>八、社会保障和就业（类）抚恤（款）死亡抚恤（项）</w:t>
      </w:r>
      <w:r>
        <w:rPr>
          <w:rFonts w:hint="eastAsia"/>
          <w:lang w:val="en-US"/>
        </w:rPr>
        <w:t>：反映按规定用于烈士和牺牲、病故人员家属的一次性和定期抚恤金以及丧葬补助费。</w:t>
      </w:r>
      <w:r>
        <w:rPr>
          <w:lang w:val="en-US"/>
        </w:rPr>
        <w:t xml:space="preserve"> </w:t>
      </w:r>
    </w:p>
    <w:p>
      <w:pPr>
        <w:pStyle w:val="3"/>
        <w:spacing w:before="2" w:line="520" w:lineRule="exact"/>
        <w:ind w:right="-53" w:rightChars="-24" w:firstLine="723" w:firstLineChars="225"/>
        <w:jc w:val="both"/>
        <w:rPr>
          <w:b/>
          <w:lang w:val="en-US"/>
        </w:rPr>
      </w:pPr>
      <w:r>
        <w:rPr>
          <w:rFonts w:hint="eastAsia"/>
          <w:b/>
          <w:lang w:val="en-US"/>
        </w:rPr>
        <w:t>九、医疗卫生与计划生育（类）医疗保障（款）行政单位医疗（项）</w:t>
      </w:r>
      <w:r>
        <w:rPr>
          <w:rFonts w:hint="eastAsia"/>
          <w:lang w:val="en-US"/>
        </w:rPr>
        <w:t>：反映财政部门集中安排的行政单位基本医疗保险缴费经费，未参加医疗保险的行政单位的公费医疗经费，按国家规定享受离休人员待遇的医疗经费。</w:t>
      </w:r>
      <w:r>
        <w:rPr>
          <w:lang w:val="en-US"/>
        </w:rPr>
        <w:t xml:space="preserve"> </w:t>
      </w:r>
    </w:p>
    <w:p>
      <w:pPr>
        <w:pStyle w:val="3"/>
        <w:spacing w:before="2" w:line="520" w:lineRule="exact"/>
        <w:ind w:right="-53" w:rightChars="-24" w:firstLine="723" w:firstLineChars="225"/>
        <w:jc w:val="both"/>
        <w:rPr>
          <w:lang w:val="en-US"/>
        </w:rPr>
      </w:pPr>
      <w:r>
        <w:rPr>
          <w:rFonts w:hint="eastAsia"/>
          <w:b/>
          <w:lang w:val="en-US"/>
        </w:rPr>
        <w:t>十、医疗卫生与计划生育（类）医疗保障（款）事业单位医疗（项）</w:t>
      </w:r>
      <w:r>
        <w:rPr>
          <w:rFonts w:hint="eastAsia"/>
          <w:lang w:val="en-US"/>
        </w:rPr>
        <w:t>：反映财政部门集中安排的行政单位基本医疗保险缴费经费，未参加医疗保险的事业单位的公费医疗经费，按国家规定享受离休人员待遇的医疗经费。</w:t>
      </w:r>
      <w:r>
        <w:rPr>
          <w:lang w:val="en-US"/>
        </w:rPr>
        <w:t xml:space="preserve"> </w:t>
      </w:r>
    </w:p>
    <w:p>
      <w:pPr>
        <w:pStyle w:val="3"/>
        <w:spacing w:before="2" w:line="520" w:lineRule="exact"/>
        <w:ind w:right="-53" w:rightChars="-24" w:firstLine="723" w:firstLineChars="225"/>
        <w:jc w:val="both"/>
        <w:rPr>
          <w:lang w:val="en-US"/>
        </w:rPr>
      </w:pPr>
      <w:r>
        <w:rPr>
          <w:rFonts w:hint="eastAsia"/>
          <w:b/>
          <w:lang w:val="en-US"/>
        </w:rPr>
        <w:t>十一、住房保障（类）住房改革支出（款）住房公积金（项）：</w:t>
      </w:r>
      <w:r>
        <w:rPr>
          <w:rFonts w:hint="eastAsia"/>
          <w:lang w:val="en-US"/>
        </w:rPr>
        <w:t>反映行政事业单位按人力资源和社会保障部、财政部规定的基本工资和津贴补贴以及规定比例为职工缴纳的住房公积金。</w:t>
      </w:r>
      <w:r>
        <w:rPr>
          <w:lang w:val="en-US"/>
        </w:rPr>
        <w:t xml:space="preserve"> </w:t>
      </w:r>
    </w:p>
    <w:p>
      <w:pPr>
        <w:pStyle w:val="3"/>
        <w:spacing w:before="2" w:line="520" w:lineRule="exact"/>
        <w:ind w:right="-53" w:rightChars="-24" w:firstLine="723" w:firstLineChars="225"/>
        <w:jc w:val="both"/>
        <w:rPr>
          <w:lang w:val="en-US"/>
        </w:rPr>
      </w:pPr>
      <w:r>
        <w:rPr>
          <w:rFonts w:hint="eastAsia"/>
          <w:b/>
          <w:lang w:val="en-US"/>
        </w:rPr>
        <w:t>十二、年末结转和结余：</w:t>
      </w:r>
      <w:r>
        <w:rPr>
          <w:rFonts w:hint="eastAsia"/>
          <w:lang w:val="en-US"/>
        </w:rPr>
        <w:t>指本年度或以前年度预算安排、因客观条件发生变化无法按原计划实施，需要延迟到以后年度按有关规定继续使用的资金。</w:t>
      </w:r>
      <w:r>
        <w:rPr>
          <w:lang w:val="en-US"/>
        </w:rPr>
        <w:t xml:space="preserve"> </w:t>
      </w:r>
    </w:p>
    <w:p>
      <w:pPr>
        <w:pStyle w:val="3"/>
        <w:spacing w:before="2" w:line="520" w:lineRule="exact"/>
        <w:ind w:right="-53" w:rightChars="-24" w:firstLine="723" w:firstLineChars="225"/>
        <w:jc w:val="both"/>
        <w:rPr>
          <w:lang w:val="en-US"/>
        </w:rPr>
      </w:pPr>
      <w:r>
        <w:rPr>
          <w:rFonts w:hint="eastAsia"/>
          <w:b/>
          <w:lang w:val="en-US"/>
        </w:rPr>
        <w:t>十三、基本支出</w:t>
      </w:r>
      <w:r>
        <w:rPr>
          <w:rFonts w:hint="eastAsia"/>
          <w:lang w:val="en-US"/>
        </w:rPr>
        <w:t>：指为保障机构正常运转、完成日常工作任务而发生的人员支出和公用支出。</w:t>
      </w:r>
      <w:r>
        <w:rPr>
          <w:lang w:val="en-US"/>
        </w:rPr>
        <w:t xml:space="preserve"> </w:t>
      </w:r>
    </w:p>
    <w:p>
      <w:pPr>
        <w:pStyle w:val="3"/>
        <w:spacing w:before="2" w:line="520" w:lineRule="exact"/>
        <w:ind w:right="-53" w:rightChars="-24" w:firstLine="723" w:firstLineChars="225"/>
        <w:jc w:val="both"/>
        <w:rPr>
          <w:lang w:val="en-US"/>
        </w:rPr>
      </w:pPr>
      <w:r>
        <w:rPr>
          <w:rFonts w:hint="eastAsia"/>
          <w:b/>
          <w:lang w:val="en-US"/>
        </w:rPr>
        <w:t>十四、项目支出：</w:t>
      </w:r>
      <w:r>
        <w:rPr>
          <w:rFonts w:hint="eastAsia"/>
          <w:lang w:val="en-US"/>
        </w:rPr>
        <w:t>指在基本支出之外为完成特定行政任务和事业发展目标所发生的支出。</w:t>
      </w:r>
      <w:r>
        <w:rPr>
          <w:lang w:val="en-US"/>
        </w:rPr>
        <w:t xml:space="preserve"> </w:t>
      </w:r>
    </w:p>
    <w:p>
      <w:pPr>
        <w:pStyle w:val="3"/>
        <w:spacing w:before="2" w:line="520" w:lineRule="exact"/>
        <w:ind w:right="-53" w:rightChars="-24" w:firstLine="723" w:firstLineChars="225"/>
        <w:jc w:val="both"/>
        <w:rPr>
          <w:lang w:val="en-US"/>
        </w:rPr>
      </w:pPr>
      <w:r>
        <w:rPr>
          <w:rFonts w:hint="eastAsia"/>
          <w:b/>
          <w:lang w:val="en-US"/>
        </w:rPr>
        <w:t>十五、“三公”经费</w:t>
      </w:r>
      <w:r>
        <w:rPr>
          <w:rFonts w:hint="eastAsia"/>
          <w:lang w:val="en-US"/>
        </w:rPr>
        <w:t>：指纳入省级财政预算管理，部门使</w:t>
      </w:r>
    </w:p>
    <w:p>
      <w:pPr>
        <w:pStyle w:val="3"/>
        <w:spacing w:before="2" w:line="520" w:lineRule="exact"/>
        <w:ind w:right="-53" w:rightChars="-24" w:firstLine="720" w:firstLineChars="225"/>
        <w:jc w:val="both"/>
        <w:rPr>
          <w:lang w:val="en-US"/>
        </w:rPr>
      </w:pPr>
      <w:r>
        <w:rPr>
          <w:rFonts w:hint="eastAsia"/>
          <w:lang w:val="en-US"/>
        </w:rPr>
        <w:t xml:space="preserve">用财政拨款安排的因公出国（境）费、公务用车购置及运行费和公务接待费。其中，因公出国（境）费反映单位公务出国（境）的住宿费、差旅费、伙食补助费、公杂费、培训费等支出；公务用车购置及运行费反映单位公务用车购置费及租用费、燃料费、维修费、过路过桥费、保险费、安全奖励费用等支出；公务接待费反映单位按规定开支的各类公务接待（含外宾接待）支出。 </w:t>
      </w:r>
    </w:p>
    <w:p>
      <w:pPr>
        <w:pStyle w:val="3"/>
        <w:numPr>
          <w:ilvl w:val="0"/>
          <w:numId w:val="1"/>
        </w:numPr>
        <w:spacing w:before="2" w:line="520" w:lineRule="exact"/>
        <w:ind w:right="-53" w:rightChars="-24" w:firstLine="723" w:firstLineChars="225"/>
        <w:jc w:val="both"/>
        <w:rPr>
          <w:lang w:val="en-US"/>
        </w:rPr>
      </w:pPr>
      <w:r>
        <w:rPr>
          <w:rFonts w:hint="eastAsia"/>
          <w:b/>
          <w:lang w:val="en-US"/>
        </w:rPr>
        <w:t>机关运行经费：</w:t>
      </w:r>
      <w:r>
        <w:rPr>
          <w:rFonts w:hint="eastAsia"/>
          <w:lang w:val="en-US"/>
        </w:rPr>
        <w:t>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pPr>
        <w:pStyle w:val="3"/>
        <w:tabs>
          <w:tab w:val="left" w:pos="2027"/>
        </w:tabs>
        <w:spacing w:line="406" w:lineRule="exact"/>
        <w:ind w:right="-53" w:rightChars="-24"/>
        <w:rPr>
          <w:rFonts w:hint="eastAsia"/>
          <w:lang w:val="en-US"/>
        </w:rPr>
      </w:pPr>
    </w:p>
    <w:p>
      <w:pPr>
        <w:pStyle w:val="3"/>
        <w:tabs>
          <w:tab w:val="left" w:pos="2027"/>
        </w:tabs>
        <w:spacing w:line="406" w:lineRule="exact"/>
        <w:rPr>
          <w:rFonts w:hint="eastAsia" w:ascii="黑体" w:eastAsia="黑体"/>
        </w:rPr>
      </w:pPr>
      <w:r>
        <w:rPr>
          <w:rFonts w:hint="eastAsia" w:eastAsia="黑体"/>
          <w:lang w:val="en-US"/>
        </w:rPr>
        <w:t>附件：</w:t>
      </w:r>
      <w:r>
        <w:rPr>
          <w:rFonts w:hint="eastAsia" w:ascii="黑体" w:eastAsia="黑体"/>
        </w:rPr>
        <w:t>2017</w:t>
      </w:r>
      <w:r>
        <w:rPr>
          <w:rFonts w:hint="eastAsia" w:ascii="黑体" w:eastAsia="黑体"/>
          <w:spacing w:val="-82"/>
        </w:rPr>
        <w:t xml:space="preserve"> </w:t>
      </w:r>
      <w:r>
        <w:rPr>
          <w:rFonts w:hint="eastAsia" w:ascii="黑体" w:eastAsia="黑体"/>
        </w:rPr>
        <w:t>年度部门决算表</w:t>
      </w:r>
    </w:p>
    <w:p>
      <w:pPr>
        <w:pStyle w:val="3"/>
        <w:tabs>
          <w:tab w:val="left" w:pos="2027"/>
        </w:tabs>
        <w:spacing w:line="406" w:lineRule="exact"/>
        <w:rPr>
          <w:rFonts w:hint="eastAsia" w:ascii="黑体" w:eastAsia="黑体"/>
        </w:rPr>
        <w:sectPr>
          <w:pgSz w:w="11906" w:h="16838"/>
          <w:pgMar w:top="1440" w:right="1803" w:bottom="1440" w:left="1803" w:header="720" w:footer="720" w:gutter="0"/>
          <w:paperSrc/>
          <w:pgNumType w:fmt="numberInDash"/>
          <w:cols w:space="0" w:num="1"/>
          <w:rtlGutter w:val="0"/>
          <w:docGrid w:type="lines" w:linePitch="319" w:charSpace="0"/>
        </w:sectPr>
      </w:pPr>
    </w:p>
    <w:tbl>
      <w:tblPr>
        <w:tblStyle w:val="11"/>
        <w:tblW w:w="14066" w:type="dxa"/>
        <w:tblInd w:w="0" w:type="dxa"/>
        <w:tblLayout w:type="fixed"/>
        <w:tblCellMar>
          <w:top w:w="15" w:type="dxa"/>
          <w:left w:w="15" w:type="dxa"/>
          <w:bottom w:w="15" w:type="dxa"/>
          <w:right w:w="15" w:type="dxa"/>
        </w:tblCellMar>
      </w:tblPr>
      <w:tblGrid>
        <w:gridCol w:w="3245"/>
        <w:gridCol w:w="487"/>
        <w:gridCol w:w="3301"/>
        <w:gridCol w:w="3245"/>
        <w:gridCol w:w="487"/>
        <w:gridCol w:w="3301"/>
      </w:tblGrid>
      <w:tr>
        <w:tblPrEx>
          <w:tblLayout w:type="fixed"/>
          <w:tblCellMar>
            <w:top w:w="15" w:type="dxa"/>
            <w:left w:w="15" w:type="dxa"/>
            <w:bottom w:w="15" w:type="dxa"/>
            <w:right w:w="15" w:type="dxa"/>
          </w:tblCellMar>
        </w:tblPrEx>
        <w:trPr>
          <w:trHeight w:val="390" w:hRule="atLeast"/>
        </w:trPr>
        <w:tc>
          <w:tcPr>
            <w:tcW w:w="14066" w:type="dxa"/>
            <w:gridSpan w:val="6"/>
            <w:shd w:val="clear" w:color="auto" w:fill="auto"/>
            <w:vAlign w:val="bottom"/>
          </w:tcPr>
          <w:p>
            <w:pPr>
              <w:jc w:val="center"/>
              <w:rPr>
                <w:rFonts w:ascii="Arial" w:hAnsi="Arial" w:cs="Arial"/>
                <w:color w:val="000000"/>
                <w:sz w:val="20"/>
                <w:szCs w:val="20"/>
              </w:rPr>
            </w:pPr>
            <w:r>
              <w:rPr>
                <w:rFonts w:hint="eastAsia" w:ascii="宋体" w:hAnsi="宋体" w:cs="宋体"/>
                <w:color w:val="000000"/>
                <w:sz w:val="30"/>
                <w:szCs w:val="30"/>
              </w:rPr>
              <w:t>收入支出决算总表</w:t>
            </w:r>
          </w:p>
        </w:tc>
      </w:tr>
      <w:tr>
        <w:tblPrEx>
          <w:tblLayout w:type="fixed"/>
          <w:tblCellMar>
            <w:top w:w="15" w:type="dxa"/>
            <w:left w:w="15" w:type="dxa"/>
            <w:bottom w:w="15" w:type="dxa"/>
            <w:right w:w="15" w:type="dxa"/>
          </w:tblCellMar>
        </w:tblPrEx>
        <w:trPr>
          <w:trHeight w:val="286" w:hRule="atLeast"/>
        </w:trPr>
        <w:tc>
          <w:tcPr>
            <w:tcW w:w="3245" w:type="dxa"/>
            <w:shd w:val="clear" w:color="auto" w:fill="auto"/>
            <w:vAlign w:val="bottom"/>
          </w:tcPr>
          <w:p>
            <w:pPr>
              <w:rPr>
                <w:rFonts w:ascii="Arial" w:hAnsi="Arial" w:cs="Arial"/>
                <w:color w:val="000000"/>
                <w:sz w:val="20"/>
                <w:szCs w:val="20"/>
              </w:rPr>
            </w:pPr>
          </w:p>
        </w:tc>
        <w:tc>
          <w:tcPr>
            <w:tcW w:w="487" w:type="dxa"/>
            <w:shd w:val="clear" w:color="auto" w:fill="auto"/>
            <w:vAlign w:val="bottom"/>
          </w:tcPr>
          <w:p>
            <w:pPr>
              <w:rPr>
                <w:rFonts w:ascii="Arial" w:hAnsi="Arial" w:cs="Arial"/>
                <w:color w:val="000000"/>
                <w:sz w:val="20"/>
                <w:szCs w:val="20"/>
              </w:rPr>
            </w:pPr>
          </w:p>
        </w:tc>
        <w:tc>
          <w:tcPr>
            <w:tcW w:w="3301" w:type="dxa"/>
            <w:shd w:val="clear" w:color="auto" w:fill="auto"/>
            <w:vAlign w:val="bottom"/>
          </w:tcPr>
          <w:p>
            <w:pPr>
              <w:rPr>
                <w:rFonts w:ascii="Arial" w:hAnsi="Arial" w:cs="Arial"/>
                <w:color w:val="000000"/>
                <w:sz w:val="20"/>
                <w:szCs w:val="20"/>
              </w:rPr>
            </w:pPr>
          </w:p>
        </w:tc>
        <w:tc>
          <w:tcPr>
            <w:tcW w:w="3245" w:type="dxa"/>
            <w:shd w:val="clear" w:color="auto" w:fill="auto"/>
            <w:vAlign w:val="bottom"/>
          </w:tcPr>
          <w:p>
            <w:pPr>
              <w:rPr>
                <w:rFonts w:ascii="Arial" w:hAnsi="Arial" w:cs="Arial"/>
                <w:color w:val="000000"/>
                <w:sz w:val="20"/>
                <w:szCs w:val="20"/>
              </w:rPr>
            </w:pPr>
          </w:p>
        </w:tc>
        <w:tc>
          <w:tcPr>
            <w:tcW w:w="487" w:type="dxa"/>
            <w:shd w:val="clear" w:color="auto" w:fill="auto"/>
            <w:vAlign w:val="bottom"/>
          </w:tcPr>
          <w:p>
            <w:pPr>
              <w:rPr>
                <w:rFonts w:ascii="Arial" w:hAnsi="Arial" w:cs="Arial"/>
                <w:color w:val="000000"/>
                <w:sz w:val="20"/>
                <w:szCs w:val="20"/>
              </w:rPr>
            </w:pPr>
          </w:p>
        </w:tc>
        <w:tc>
          <w:tcPr>
            <w:tcW w:w="3301" w:type="dxa"/>
            <w:shd w:val="clear" w:color="auto" w:fill="auto"/>
            <w:vAlign w:val="bottom"/>
          </w:tcPr>
          <w:p>
            <w:pPr>
              <w:widowControl/>
              <w:jc w:val="right"/>
              <w:textAlignment w:val="bottom"/>
              <w:rPr>
                <w:rFonts w:ascii="宋体" w:hAnsi="宋体" w:cs="宋体"/>
                <w:color w:val="000000"/>
                <w:sz w:val="20"/>
                <w:szCs w:val="20"/>
              </w:rPr>
            </w:pPr>
            <w:r>
              <w:rPr>
                <w:rFonts w:hint="eastAsia" w:ascii="宋体" w:hAnsi="宋体" w:cs="宋体"/>
                <w:color w:val="000000"/>
                <w:sz w:val="20"/>
                <w:szCs w:val="20"/>
              </w:rPr>
              <w:t>公开01表</w:t>
            </w:r>
          </w:p>
        </w:tc>
      </w:tr>
      <w:tr>
        <w:tblPrEx>
          <w:tblLayout w:type="fixed"/>
          <w:tblCellMar>
            <w:top w:w="15" w:type="dxa"/>
            <w:left w:w="15" w:type="dxa"/>
            <w:bottom w:w="15" w:type="dxa"/>
            <w:right w:w="15" w:type="dxa"/>
          </w:tblCellMar>
        </w:tblPrEx>
        <w:trPr>
          <w:trHeight w:val="286" w:hRule="atLeast"/>
        </w:trPr>
        <w:tc>
          <w:tcPr>
            <w:tcW w:w="3732" w:type="dxa"/>
            <w:gridSpan w:val="2"/>
            <w:shd w:val="clear" w:color="auto" w:fill="auto"/>
            <w:vAlign w:val="bottom"/>
          </w:tcPr>
          <w:p>
            <w:pPr>
              <w:rPr>
                <w:rFonts w:ascii="Arial" w:hAnsi="Arial" w:cs="Arial"/>
                <w:color w:val="000000"/>
                <w:sz w:val="20"/>
                <w:szCs w:val="20"/>
              </w:rPr>
            </w:pPr>
            <w:r>
              <w:rPr>
                <w:rFonts w:hint="eastAsia" w:ascii="宋体" w:hAnsi="宋体" w:cs="宋体"/>
                <w:color w:val="000000"/>
                <w:sz w:val="20"/>
                <w:szCs w:val="20"/>
              </w:rPr>
              <w:t>部门：河南省周口市西华县科学技术协会</w:t>
            </w:r>
          </w:p>
        </w:tc>
        <w:tc>
          <w:tcPr>
            <w:tcW w:w="3301" w:type="dxa"/>
            <w:shd w:val="clear" w:color="auto" w:fill="auto"/>
            <w:vAlign w:val="bottom"/>
          </w:tcPr>
          <w:p>
            <w:pPr>
              <w:rPr>
                <w:rFonts w:ascii="Arial" w:hAnsi="Arial" w:cs="Arial"/>
                <w:color w:val="000000"/>
                <w:sz w:val="20"/>
                <w:szCs w:val="20"/>
              </w:rPr>
            </w:pPr>
          </w:p>
        </w:tc>
        <w:tc>
          <w:tcPr>
            <w:tcW w:w="3245" w:type="dxa"/>
            <w:shd w:val="clear" w:color="auto" w:fill="auto"/>
            <w:vAlign w:val="bottom"/>
          </w:tcPr>
          <w:p>
            <w:pPr>
              <w:rPr>
                <w:rFonts w:ascii="Arial" w:hAnsi="Arial" w:cs="Arial"/>
                <w:color w:val="000000"/>
                <w:sz w:val="20"/>
                <w:szCs w:val="20"/>
              </w:rPr>
            </w:pPr>
          </w:p>
        </w:tc>
        <w:tc>
          <w:tcPr>
            <w:tcW w:w="487" w:type="dxa"/>
            <w:shd w:val="clear" w:color="auto" w:fill="auto"/>
            <w:vAlign w:val="bottom"/>
          </w:tcPr>
          <w:p>
            <w:pPr>
              <w:rPr>
                <w:rFonts w:ascii="Arial" w:hAnsi="Arial" w:cs="Arial"/>
                <w:color w:val="000000"/>
                <w:sz w:val="20"/>
                <w:szCs w:val="20"/>
              </w:rPr>
            </w:pPr>
          </w:p>
        </w:tc>
        <w:tc>
          <w:tcPr>
            <w:tcW w:w="3301" w:type="dxa"/>
            <w:shd w:val="clear" w:color="auto" w:fill="auto"/>
            <w:vAlign w:val="bottom"/>
          </w:tcPr>
          <w:p>
            <w:pPr>
              <w:widowControl/>
              <w:jc w:val="right"/>
              <w:textAlignment w:val="bottom"/>
              <w:rPr>
                <w:rFonts w:ascii="宋体" w:hAnsi="宋体" w:cs="宋体"/>
                <w:color w:val="000000"/>
                <w:sz w:val="20"/>
                <w:szCs w:val="20"/>
              </w:rPr>
            </w:pPr>
            <w:r>
              <w:rPr>
                <w:rFonts w:hint="eastAsia" w:ascii="宋体" w:hAnsi="宋体" w:cs="宋体"/>
                <w:color w:val="000000"/>
                <w:sz w:val="20"/>
                <w:szCs w:val="20"/>
              </w:rPr>
              <w:t>金额单位：万元</w:t>
            </w:r>
          </w:p>
        </w:tc>
      </w:tr>
      <w:tr>
        <w:tblPrEx>
          <w:tblLayout w:type="fixed"/>
          <w:tblCellMar>
            <w:top w:w="15" w:type="dxa"/>
            <w:left w:w="15" w:type="dxa"/>
            <w:bottom w:w="15" w:type="dxa"/>
            <w:right w:w="15" w:type="dxa"/>
          </w:tblCellMar>
        </w:tblPrEx>
        <w:trPr>
          <w:trHeight w:val="301" w:hRule="atLeast"/>
        </w:trPr>
        <w:tc>
          <w:tcPr>
            <w:tcW w:w="7033" w:type="dxa"/>
            <w:gridSpan w:val="3"/>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收入</w:t>
            </w:r>
          </w:p>
        </w:tc>
        <w:tc>
          <w:tcPr>
            <w:tcW w:w="7033" w:type="dxa"/>
            <w:gridSpan w:val="3"/>
            <w:tcBorders>
              <w:top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支出</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项目</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行次</w:t>
            </w:r>
          </w:p>
        </w:tc>
        <w:tc>
          <w:tcPr>
            <w:tcW w:w="330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金额</w:t>
            </w:r>
          </w:p>
        </w:tc>
        <w:tc>
          <w:tcPr>
            <w:tcW w:w="3245"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项目</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行次</w:t>
            </w:r>
          </w:p>
        </w:tc>
        <w:tc>
          <w:tcPr>
            <w:tcW w:w="330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金额</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栏次</w:t>
            </w:r>
          </w:p>
        </w:tc>
        <w:tc>
          <w:tcPr>
            <w:tcW w:w="487" w:type="dxa"/>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330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w:t>
            </w:r>
          </w:p>
        </w:tc>
        <w:tc>
          <w:tcPr>
            <w:tcW w:w="3245"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栏次</w:t>
            </w:r>
          </w:p>
        </w:tc>
        <w:tc>
          <w:tcPr>
            <w:tcW w:w="487" w:type="dxa"/>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330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一、财政拨款收入</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152.24</w:t>
            </w: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一、一般公共服务支出</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28</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二、上级补助收入</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二、外交支出</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29</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三、事业收入</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三、国防支出</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30</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四、经营收入</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四、公共安全支出</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31</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五、附属单位上缴收入</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5</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五、教育支出</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32</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六、其他收入</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6</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六、科学技术支出</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33</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126.36</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7</w:t>
            </w:r>
          </w:p>
        </w:tc>
        <w:tc>
          <w:tcPr>
            <w:tcW w:w="3301"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七、文化体育与传媒支出</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34</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8</w:t>
            </w:r>
          </w:p>
        </w:tc>
        <w:tc>
          <w:tcPr>
            <w:tcW w:w="3301"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八、社会保障和就业支出</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35</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20.16</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9</w:t>
            </w:r>
          </w:p>
        </w:tc>
        <w:tc>
          <w:tcPr>
            <w:tcW w:w="3301"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九、医疗卫生与计划生育支出</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36</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5.71</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10</w:t>
            </w:r>
          </w:p>
        </w:tc>
        <w:tc>
          <w:tcPr>
            <w:tcW w:w="3301"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十、节能环保支出</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37</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11</w:t>
            </w:r>
          </w:p>
        </w:tc>
        <w:tc>
          <w:tcPr>
            <w:tcW w:w="3301"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十一、城乡社区支出</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38</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12</w:t>
            </w:r>
          </w:p>
        </w:tc>
        <w:tc>
          <w:tcPr>
            <w:tcW w:w="3301"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十二、农林水支出</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39</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13</w:t>
            </w:r>
          </w:p>
        </w:tc>
        <w:tc>
          <w:tcPr>
            <w:tcW w:w="3301"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十三、交通运输支出</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40</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14</w:t>
            </w:r>
          </w:p>
        </w:tc>
        <w:tc>
          <w:tcPr>
            <w:tcW w:w="3301"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十四、资源勘探信息等支出</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41</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15</w:t>
            </w:r>
          </w:p>
        </w:tc>
        <w:tc>
          <w:tcPr>
            <w:tcW w:w="3301"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十五、商业服务业等支出</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42</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16</w:t>
            </w:r>
          </w:p>
        </w:tc>
        <w:tc>
          <w:tcPr>
            <w:tcW w:w="3301"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十六、金融支出</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43</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17</w:t>
            </w:r>
          </w:p>
        </w:tc>
        <w:tc>
          <w:tcPr>
            <w:tcW w:w="3301"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十七、援助其他地区支出</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44</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18</w:t>
            </w:r>
          </w:p>
        </w:tc>
        <w:tc>
          <w:tcPr>
            <w:tcW w:w="3301"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十八、国土海洋气象等支出</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45</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19</w:t>
            </w:r>
          </w:p>
        </w:tc>
        <w:tc>
          <w:tcPr>
            <w:tcW w:w="3301"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十九、住房保障支出</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46</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20</w:t>
            </w:r>
          </w:p>
        </w:tc>
        <w:tc>
          <w:tcPr>
            <w:tcW w:w="3301"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二十、粮油物资储备支出</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47</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21</w:t>
            </w:r>
          </w:p>
        </w:tc>
        <w:tc>
          <w:tcPr>
            <w:tcW w:w="3301"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二十一、其他支出</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48</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22</w:t>
            </w:r>
          </w:p>
        </w:tc>
        <w:tc>
          <w:tcPr>
            <w:tcW w:w="3301"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3245" w:type="dxa"/>
            <w:tcBorders>
              <w:bottom w:val="single" w:color="000000" w:sz="4" w:space="0"/>
              <w:right w:val="single" w:color="000000" w:sz="4" w:space="0"/>
            </w:tcBorders>
            <w:shd w:val="clear" w:color="FFFFFF" w:fill="FFFFFF"/>
            <w:vAlign w:val="center"/>
          </w:tcPr>
          <w:p>
            <w:pPr>
              <w:rPr>
                <w:rFonts w:ascii="宋体" w:hAnsi="宋体" w:cs="宋体"/>
                <w:color w:val="000000"/>
              </w:rPr>
            </w:pP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49</w:t>
            </w:r>
          </w:p>
        </w:tc>
        <w:tc>
          <w:tcPr>
            <w:tcW w:w="3301"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本年收入合计</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23</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152.24</w:t>
            </w:r>
          </w:p>
        </w:tc>
        <w:tc>
          <w:tcPr>
            <w:tcW w:w="3245"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本年支出合计</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50</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152.24</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用事业基金弥补收支差额</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24</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结余分配</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51</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年初结转和结余</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25</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32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年末结转和结余</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52</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26</w:t>
            </w:r>
          </w:p>
        </w:tc>
        <w:tc>
          <w:tcPr>
            <w:tcW w:w="3301"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3245" w:type="dxa"/>
            <w:tcBorders>
              <w:bottom w:val="single" w:color="000000" w:sz="4" w:space="0"/>
              <w:right w:val="single" w:color="000000" w:sz="4" w:space="0"/>
            </w:tcBorders>
            <w:shd w:val="clear" w:color="FFFFFF" w:fill="FFFFFF"/>
            <w:vAlign w:val="center"/>
          </w:tcPr>
          <w:p>
            <w:pPr>
              <w:rPr>
                <w:rFonts w:ascii="宋体" w:hAnsi="宋体" w:cs="宋体"/>
                <w:color w:val="000000"/>
              </w:rPr>
            </w:pP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53</w:t>
            </w:r>
          </w:p>
        </w:tc>
        <w:tc>
          <w:tcPr>
            <w:tcW w:w="3301"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r>
      <w:tr>
        <w:tblPrEx>
          <w:tblLayout w:type="fixed"/>
          <w:tblCellMar>
            <w:top w:w="15" w:type="dxa"/>
            <w:left w:w="15" w:type="dxa"/>
            <w:bottom w:w="15" w:type="dxa"/>
            <w:right w:w="15" w:type="dxa"/>
          </w:tblCellMar>
        </w:tblPrEx>
        <w:trPr>
          <w:trHeight w:val="301" w:hRule="atLeast"/>
        </w:trPr>
        <w:tc>
          <w:tcPr>
            <w:tcW w:w="3245" w:type="dxa"/>
            <w:tcBorders>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总计</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27</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152.24</w:t>
            </w:r>
          </w:p>
        </w:tc>
        <w:tc>
          <w:tcPr>
            <w:tcW w:w="3245"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总计</w:t>
            </w:r>
          </w:p>
        </w:tc>
        <w:tc>
          <w:tcPr>
            <w:tcW w:w="48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54</w:t>
            </w:r>
          </w:p>
        </w:tc>
        <w:tc>
          <w:tcPr>
            <w:tcW w:w="33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152.24</w:t>
            </w:r>
          </w:p>
        </w:tc>
      </w:tr>
      <w:tr>
        <w:tblPrEx>
          <w:tblLayout w:type="fixed"/>
          <w:tblCellMar>
            <w:top w:w="15" w:type="dxa"/>
            <w:left w:w="15" w:type="dxa"/>
            <w:bottom w:w="15" w:type="dxa"/>
            <w:right w:w="15" w:type="dxa"/>
          </w:tblCellMar>
        </w:tblPrEx>
        <w:trPr>
          <w:trHeight w:val="301" w:hRule="atLeast"/>
        </w:trPr>
        <w:tc>
          <w:tcPr>
            <w:tcW w:w="14066" w:type="dxa"/>
            <w:gridSpan w:val="6"/>
            <w:shd w:val="clear" w:color="auto" w:fill="auto"/>
            <w:vAlign w:val="center"/>
          </w:tcPr>
          <w:p>
            <w:pPr>
              <w:widowControl/>
              <w:textAlignment w:val="center"/>
              <w:rPr>
                <w:rFonts w:ascii="宋体" w:hAnsi="宋体" w:cs="宋体"/>
                <w:color w:val="000000"/>
              </w:rPr>
            </w:pPr>
            <w:r>
              <w:rPr>
                <w:rFonts w:hint="eastAsia" w:ascii="宋体" w:hAnsi="宋体" w:cs="宋体"/>
                <w:color w:val="000000"/>
              </w:rPr>
              <w:t>注：本表反映部门本年度的总收支和年末结转结余情况。</w:t>
            </w:r>
          </w:p>
        </w:tc>
      </w:tr>
    </w:tbl>
    <w:p>
      <w:pPr>
        <w:rPr>
          <w:sz w:val="32"/>
          <w:szCs w:val="32"/>
        </w:rPr>
      </w:pPr>
    </w:p>
    <w:p>
      <w:pPr>
        <w:rPr>
          <w:sz w:val="32"/>
          <w:szCs w:val="32"/>
        </w:rPr>
      </w:pPr>
    </w:p>
    <w:p>
      <w:pPr>
        <w:rPr>
          <w:sz w:val="32"/>
          <w:szCs w:val="32"/>
        </w:rPr>
      </w:pPr>
    </w:p>
    <w:p>
      <w:pPr>
        <w:rPr>
          <w:sz w:val="32"/>
          <w:szCs w:val="32"/>
        </w:rPr>
      </w:pPr>
    </w:p>
    <w:p>
      <w:pPr>
        <w:rPr>
          <w:sz w:val="32"/>
          <w:szCs w:val="32"/>
        </w:rPr>
      </w:pPr>
    </w:p>
    <w:tbl>
      <w:tblPr>
        <w:tblStyle w:val="11"/>
        <w:tblpPr w:leftFromText="180" w:rightFromText="180" w:vertAnchor="text" w:horzAnchor="page" w:tblpX="1460" w:tblpY="-31"/>
        <w:tblOverlap w:val="never"/>
        <w:tblW w:w="13740" w:type="dxa"/>
        <w:tblInd w:w="0" w:type="dxa"/>
        <w:tblLayout w:type="fixed"/>
        <w:tblCellMar>
          <w:top w:w="15" w:type="dxa"/>
          <w:left w:w="15" w:type="dxa"/>
          <w:bottom w:w="15" w:type="dxa"/>
          <w:right w:w="15" w:type="dxa"/>
        </w:tblCellMar>
      </w:tblPr>
      <w:tblGrid>
        <w:gridCol w:w="686"/>
        <w:gridCol w:w="754"/>
        <w:gridCol w:w="808"/>
        <w:gridCol w:w="3931"/>
        <w:gridCol w:w="1801"/>
        <w:gridCol w:w="960"/>
        <w:gridCol w:w="960"/>
        <w:gridCol w:w="960"/>
        <w:gridCol w:w="960"/>
        <w:gridCol w:w="960"/>
        <w:gridCol w:w="960"/>
      </w:tblGrid>
      <w:tr>
        <w:tblPrEx>
          <w:tblLayout w:type="fixed"/>
          <w:tblCellMar>
            <w:top w:w="15" w:type="dxa"/>
            <w:left w:w="15" w:type="dxa"/>
            <w:bottom w:w="15" w:type="dxa"/>
            <w:right w:w="15" w:type="dxa"/>
          </w:tblCellMar>
        </w:tblPrEx>
        <w:trPr>
          <w:trHeight w:val="390" w:hRule="atLeast"/>
        </w:trPr>
        <w:tc>
          <w:tcPr>
            <w:tcW w:w="13740" w:type="dxa"/>
            <w:gridSpan w:val="11"/>
            <w:shd w:val="clear" w:color="auto" w:fill="auto"/>
            <w:vAlign w:val="bottom"/>
          </w:tcPr>
          <w:p>
            <w:pPr>
              <w:jc w:val="center"/>
              <w:rPr>
                <w:rFonts w:ascii="Arial" w:hAnsi="Arial" w:cs="Arial"/>
                <w:color w:val="000000"/>
                <w:sz w:val="20"/>
                <w:szCs w:val="20"/>
              </w:rPr>
            </w:pPr>
            <w:r>
              <w:rPr>
                <w:rFonts w:hint="eastAsia" w:ascii="宋体" w:hAnsi="宋体" w:cs="宋体"/>
                <w:color w:val="000000"/>
                <w:sz w:val="30"/>
                <w:szCs w:val="30"/>
              </w:rPr>
              <w:t>收入决算表</w:t>
            </w:r>
          </w:p>
        </w:tc>
      </w:tr>
      <w:tr>
        <w:tblPrEx>
          <w:tblLayout w:type="fixed"/>
          <w:tblCellMar>
            <w:top w:w="15" w:type="dxa"/>
            <w:left w:w="15" w:type="dxa"/>
            <w:bottom w:w="15" w:type="dxa"/>
            <w:right w:w="15" w:type="dxa"/>
          </w:tblCellMar>
        </w:tblPrEx>
        <w:trPr>
          <w:trHeight w:val="286" w:hRule="atLeast"/>
        </w:trPr>
        <w:tc>
          <w:tcPr>
            <w:tcW w:w="686" w:type="dxa"/>
            <w:shd w:val="clear" w:color="auto" w:fill="auto"/>
            <w:vAlign w:val="bottom"/>
          </w:tcPr>
          <w:p>
            <w:pPr>
              <w:rPr>
                <w:rFonts w:ascii="Arial" w:hAnsi="Arial" w:cs="Arial"/>
                <w:color w:val="000000"/>
                <w:sz w:val="20"/>
                <w:szCs w:val="20"/>
              </w:rPr>
            </w:pPr>
          </w:p>
        </w:tc>
        <w:tc>
          <w:tcPr>
            <w:tcW w:w="754" w:type="dxa"/>
            <w:shd w:val="clear" w:color="auto" w:fill="auto"/>
            <w:vAlign w:val="bottom"/>
          </w:tcPr>
          <w:p>
            <w:pPr>
              <w:rPr>
                <w:rFonts w:ascii="Arial" w:hAnsi="Arial" w:cs="Arial"/>
                <w:color w:val="000000"/>
                <w:sz w:val="20"/>
                <w:szCs w:val="20"/>
              </w:rPr>
            </w:pPr>
          </w:p>
        </w:tc>
        <w:tc>
          <w:tcPr>
            <w:tcW w:w="808" w:type="dxa"/>
            <w:shd w:val="clear" w:color="auto" w:fill="auto"/>
            <w:vAlign w:val="bottom"/>
          </w:tcPr>
          <w:p>
            <w:pPr>
              <w:rPr>
                <w:rFonts w:ascii="Arial" w:hAnsi="Arial" w:cs="Arial"/>
                <w:color w:val="000000"/>
                <w:sz w:val="20"/>
                <w:szCs w:val="20"/>
              </w:rPr>
            </w:pPr>
          </w:p>
        </w:tc>
        <w:tc>
          <w:tcPr>
            <w:tcW w:w="3931" w:type="dxa"/>
            <w:shd w:val="clear" w:color="auto" w:fill="auto"/>
            <w:vAlign w:val="bottom"/>
          </w:tcPr>
          <w:p>
            <w:pPr>
              <w:rPr>
                <w:rFonts w:ascii="Arial" w:hAnsi="Arial" w:cs="Arial"/>
                <w:color w:val="000000"/>
                <w:sz w:val="20"/>
                <w:szCs w:val="20"/>
              </w:rPr>
            </w:pPr>
          </w:p>
        </w:tc>
        <w:tc>
          <w:tcPr>
            <w:tcW w:w="1801" w:type="dxa"/>
            <w:shd w:val="clear" w:color="auto" w:fill="auto"/>
            <w:vAlign w:val="bottom"/>
          </w:tcPr>
          <w:p>
            <w:pPr>
              <w:rPr>
                <w:rFonts w:ascii="Arial" w:hAnsi="Arial" w:cs="Arial"/>
                <w:color w:val="000000"/>
                <w:sz w:val="20"/>
                <w:szCs w:val="20"/>
              </w:rPr>
            </w:pPr>
          </w:p>
        </w:tc>
        <w:tc>
          <w:tcPr>
            <w:tcW w:w="960" w:type="dxa"/>
            <w:shd w:val="clear" w:color="auto" w:fill="auto"/>
            <w:vAlign w:val="bottom"/>
          </w:tcPr>
          <w:p>
            <w:pPr>
              <w:rPr>
                <w:rFonts w:ascii="Arial" w:hAnsi="Arial" w:cs="Arial"/>
                <w:color w:val="000000"/>
                <w:sz w:val="20"/>
                <w:szCs w:val="20"/>
              </w:rPr>
            </w:pPr>
          </w:p>
        </w:tc>
        <w:tc>
          <w:tcPr>
            <w:tcW w:w="960" w:type="dxa"/>
            <w:shd w:val="clear" w:color="auto" w:fill="auto"/>
            <w:vAlign w:val="bottom"/>
          </w:tcPr>
          <w:p>
            <w:pPr>
              <w:rPr>
                <w:rFonts w:ascii="Arial" w:hAnsi="Arial" w:cs="Arial"/>
                <w:color w:val="000000"/>
                <w:sz w:val="20"/>
                <w:szCs w:val="20"/>
              </w:rPr>
            </w:pPr>
          </w:p>
        </w:tc>
        <w:tc>
          <w:tcPr>
            <w:tcW w:w="960" w:type="dxa"/>
            <w:shd w:val="clear" w:color="auto" w:fill="auto"/>
            <w:vAlign w:val="bottom"/>
          </w:tcPr>
          <w:p>
            <w:pPr>
              <w:rPr>
                <w:rFonts w:ascii="Arial" w:hAnsi="Arial" w:cs="Arial"/>
                <w:color w:val="000000"/>
                <w:sz w:val="20"/>
                <w:szCs w:val="20"/>
              </w:rPr>
            </w:pPr>
          </w:p>
        </w:tc>
        <w:tc>
          <w:tcPr>
            <w:tcW w:w="960" w:type="dxa"/>
            <w:shd w:val="clear" w:color="auto" w:fill="auto"/>
            <w:vAlign w:val="bottom"/>
          </w:tcPr>
          <w:p>
            <w:pPr>
              <w:rPr>
                <w:rFonts w:ascii="Arial" w:hAnsi="Arial" w:cs="Arial"/>
                <w:color w:val="000000"/>
                <w:sz w:val="20"/>
                <w:szCs w:val="20"/>
              </w:rPr>
            </w:pPr>
          </w:p>
        </w:tc>
        <w:tc>
          <w:tcPr>
            <w:tcW w:w="960" w:type="dxa"/>
            <w:shd w:val="clear" w:color="auto" w:fill="auto"/>
            <w:vAlign w:val="bottom"/>
          </w:tcPr>
          <w:p>
            <w:pPr>
              <w:rPr>
                <w:rFonts w:ascii="Arial" w:hAnsi="Arial" w:cs="Arial"/>
                <w:color w:val="000000"/>
                <w:sz w:val="20"/>
                <w:szCs w:val="20"/>
              </w:rPr>
            </w:pPr>
          </w:p>
        </w:tc>
        <w:tc>
          <w:tcPr>
            <w:tcW w:w="960" w:type="dxa"/>
            <w:shd w:val="clear" w:color="auto" w:fill="auto"/>
            <w:vAlign w:val="bottom"/>
          </w:tcPr>
          <w:p>
            <w:pPr>
              <w:widowControl/>
              <w:jc w:val="right"/>
              <w:textAlignment w:val="bottom"/>
              <w:rPr>
                <w:rFonts w:ascii="宋体" w:hAnsi="宋体" w:cs="宋体"/>
                <w:color w:val="000000"/>
                <w:sz w:val="20"/>
                <w:szCs w:val="20"/>
              </w:rPr>
            </w:pPr>
            <w:r>
              <w:rPr>
                <w:rFonts w:hint="eastAsia" w:ascii="宋体" w:hAnsi="宋体" w:cs="宋体"/>
                <w:color w:val="000000"/>
                <w:sz w:val="20"/>
                <w:szCs w:val="20"/>
              </w:rPr>
              <w:t>公开02表</w:t>
            </w:r>
          </w:p>
        </w:tc>
      </w:tr>
      <w:tr>
        <w:tblPrEx>
          <w:tblLayout w:type="fixed"/>
          <w:tblCellMar>
            <w:top w:w="15" w:type="dxa"/>
            <w:left w:w="15" w:type="dxa"/>
            <w:bottom w:w="15" w:type="dxa"/>
            <w:right w:w="15" w:type="dxa"/>
          </w:tblCellMar>
        </w:tblPrEx>
        <w:trPr>
          <w:trHeight w:val="286" w:hRule="atLeast"/>
        </w:trPr>
        <w:tc>
          <w:tcPr>
            <w:tcW w:w="2248" w:type="dxa"/>
            <w:gridSpan w:val="3"/>
            <w:shd w:val="clear" w:color="auto" w:fill="auto"/>
            <w:vAlign w:val="bottom"/>
          </w:tcPr>
          <w:p>
            <w:pPr>
              <w:rPr>
                <w:rFonts w:ascii="Arial" w:hAnsi="Arial" w:cs="Arial"/>
                <w:color w:val="000000"/>
                <w:sz w:val="20"/>
                <w:szCs w:val="20"/>
              </w:rPr>
            </w:pPr>
            <w:r>
              <w:rPr>
                <w:rFonts w:hint="eastAsia" w:ascii="宋体" w:hAnsi="宋体" w:cs="宋体"/>
                <w:color w:val="000000"/>
                <w:sz w:val="20"/>
                <w:szCs w:val="20"/>
              </w:rPr>
              <w:t>部门：河南省周口市西华县科学技术协会</w:t>
            </w:r>
          </w:p>
        </w:tc>
        <w:tc>
          <w:tcPr>
            <w:tcW w:w="3931" w:type="dxa"/>
            <w:shd w:val="clear" w:color="auto" w:fill="auto"/>
            <w:vAlign w:val="bottom"/>
          </w:tcPr>
          <w:p>
            <w:pPr>
              <w:rPr>
                <w:rFonts w:ascii="Arial" w:hAnsi="Arial" w:cs="Arial"/>
                <w:color w:val="000000"/>
                <w:sz w:val="20"/>
                <w:szCs w:val="20"/>
              </w:rPr>
            </w:pPr>
          </w:p>
        </w:tc>
        <w:tc>
          <w:tcPr>
            <w:tcW w:w="1801" w:type="dxa"/>
            <w:shd w:val="clear" w:color="auto" w:fill="auto"/>
            <w:vAlign w:val="bottom"/>
          </w:tcPr>
          <w:p>
            <w:pPr>
              <w:rPr>
                <w:rFonts w:ascii="Arial" w:hAnsi="Arial" w:cs="Arial"/>
                <w:color w:val="000000"/>
                <w:sz w:val="20"/>
                <w:szCs w:val="20"/>
              </w:rPr>
            </w:pPr>
          </w:p>
        </w:tc>
        <w:tc>
          <w:tcPr>
            <w:tcW w:w="960" w:type="dxa"/>
            <w:shd w:val="clear" w:color="auto" w:fill="auto"/>
            <w:vAlign w:val="bottom"/>
          </w:tcPr>
          <w:p>
            <w:pPr>
              <w:rPr>
                <w:rFonts w:ascii="Arial" w:hAnsi="Arial" w:cs="Arial"/>
                <w:color w:val="000000"/>
                <w:sz w:val="20"/>
                <w:szCs w:val="20"/>
              </w:rPr>
            </w:pPr>
          </w:p>
        </w:tc>
        <w:tc>
          <w:tcPr>
            <w:tcW w:w="960" w:type="dxa"/>
            <w:shd w:val="clear" w:color="auto" w:fill="auto"/>
            <w:vAlign w:val="bottom"/>
          </w:tcPr>
          <w:p>
            <w:pPr>
              <w:rPr>
                <w:rFonts w:ascii="Arial" w:hAnsi="Arial" w:cs="Arial"/>
                <w:color w:val="000000"/>
                <w:sz w:val="20"/>
                <w:szCs w:val="20"/>
              </w:rPr>
            </w:pPr>
          </w:p>
        </w:tc>
        <w:tc>
          <w:tcPr>
            <w:tcW w:w="960" w:type="dxa"/>
            <w:shd w:val="clear" w:color="auto" w:fill="auto"/>
            <w:vAlign w:val="bottom"/>
          </w:tcPr>
          <w:p>
            <w:pPr>
              <w:rPr>
                <w:rFonts w:ascii="Arial" w:hAnsi="Arial" w:cs="Arial"/>
                <w:color w:val="000000"/>
                <w:sz w:val="20"/>
                <w:szCs w:val="20"/>
              </w:rPr>
            </w:pPr>
          </w:p>
        </w:tc>
        <w:tc>
          <w:tcPr>
            <w:tcW w:w="960" w:type="dxa"/>
            <w:shd w:val="clear" w:color="auto" w:fill="auto"/>
            <w:vAlign w:val="bottom"/>
          </w:tcPr>
          <w:p>
            <w:pPr>
              <w:rPr>
                <w:rFonts w:ascii="Arial" w:hAnsi="Arial" w:cs="Arial"/>
                <w:color w:val="000000"/>
                <w:sz w:val="20"/>
                <w:szCs w:val="20"/>
              </w:rPr>
            </w:pPr>
          </w:p>
        </w:tc>
        <w:tc>
          <w:tcPr>
            <w:tcW w:w="960" w:type="dxa"/>
            <w:shd w:val="clear" w:color="auto" w:fill="auto"/>
            <w:vAlign w:val="bottom"/>
          </w:tcPr>
          <w:p>
            <w:pPr>
              <w:rPr>
                <w:rFonts w:ascii="Arial" w:hAnsi="Arial" w:cs="Arial"/>
                <w:color w:val="000000"/>
                <w:sz w:val="20"/>
                <w:szCs w:val="20"/>
              </w:rPr>
            </w:pPr>
          </w:p>
        </w:tc>
        <w:tc>
          <w:tcPr>
            <w:tcW w:w="960" w:type="dxa"/>
            <w:shd w:val="clear" w:color="auto" w:fill="auto"/>
            <w:vAlign w:val="bottom"/>
          </w:tcPr>
          <w:p>
            <w:pPr>
              <w:widowControl/>
              <w:jc w:val="right"/>
              <w:textAlignment w:val="bottom"/>
              <w:rPr>
                <w:rFonts w:ascii="宋体" w:hAnsi="宋体" w:cs="宋体"/>
                <w:color w:val="000000"/>
                <w:sz w:val="20"/>
                <w:szCs w:val="20"/>
              </w:rPr>
            </w:pPr>
            <w:r>
              <w:rPr>
                <w:rFonts w:hint="eastAsia" w:ascii="宋体" w:hAnsi="宋体" w:cs="宋体"/>
                <w:color w:val="000000"/>
                <w:sz w:val="20"/>
                <w:szCs w:val="20"/>
              </w:rPr>
              <w:t>金额单位：万元</w:t>
            </w:r>
          </w:p>
        </w:tc>
      </w:tr>
      <w:tr>
        <w:tblPrEx>
          <w:tblLayout w:type="fixed"/>
          <w:tblCellMar>
            <w:top w:w="15" w:type="dxa"/>
            <w:left w:w="15" w:type="dxa"/>
            <w:bottom w:w="15" w:type="dxa"/>
            <w:right w:w="15" w:type="dxa"/>
          </w:tblCellMar>
        </w:tblPrEx>
        <w:trPr>
          <w:trHeight w:val="301" w:hRule="atLeast"/>
        </w:trPr>
        <w:tc>
          <w:tcPr>
            <w:tcW w:w="6179" w:type="dxa"/>
            <w:gridSpan w:val="4"/>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项目</w:t>
            </w:r>
          </w:p>
        </w:tc>
        <w:tc>
          <w:tcPr>
            <w:tcW w:w="1801" w:type="dxa"/>
            <w:vMerge w:val="restart"/>
            <w:tcBorders>
              <w:top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本年收入合计</w:t>
            </w:r>
          </w:p>
        </w:tc>
        <w:tc>
          <w:tcPr>
            <w:tcW w:w="960" w:type="dxa"/>
            <w:vMerge w:val="restart"/>
            <w:tcBorders>
              <w:top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财政拨款收入</w:t>
            </w:r>
          </w:p>
        </w:tc>
        <w:tc>
          <w:tcPr>
            <w:tcW w:w="960" w:type="dxa"/>
            <w:vMerge w:val="restart"/>
            <w:tcBorders>
              <w:top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上级补助收入</w:t>
            </w:r>
          </w:p>
        </w:tc>
        <w:tc>
          <w:tcPr>
            <w:tcW w:w="960" w:type="dxa"/>
            <w:vMerge w:val="restart"/>
            <w:tcBorders>
              <w:top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事业收入</w:t>
            </w:r>
          </w:p>
        </w:tc>
        <w:tc>
          <w:tcPr>
            <w:tcW w:w="960" w:type="dxa"/>
            <w:vMerge w:val="restart"/>
            <w:tcBorders>
              <w:top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经营收入</w:t>
            </w:r>
          </w:p>
        </w:tc>
        <w:tc>
          <w:tcPr>
            <w:tcW w:w="960" w:type="dxa"/>
            <w:vMerge w:val="restart"/>
            <w:tcBorders>
              <w:top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附属单位上缴收入</w:t>
            </w:r>
          </w:p>
        </w:tc>
        <w:tc>
          <w:tcPr>
            <w:tcW w:w="960" w:type="dxa"/>
            <w:vMerge w:val="restart"/>
            <w:tcBorders>
              <w:top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其他收入</w:t>
            </w:r>
          </w:p>
        </w:tc>
      </w:tr>
      <w:tr>
        <w:tblPrEx>
          <w:tblLayout w:type="fixed"/>
          <w:tblCellMar>
            <w:top w:w="15" w:type="dxa"/>
            <w:left w:w="15" w:type="dxa"/>
            <w:bottom w:w="15" w:type="dxa"/>
            <w:right w:w="15" w:type="dxa"/>
          </w:tblCellMar>
        </w:tblPrEx>
        <w:trPr>
          <w:trHeight w:val="312" w:hRule="atLeast"/>
        </w:trPr>
        <w:tc>
          <w:tcPr>
            <w:tcW w:w="2248" w:type="dxa"/>
            <w:gridSpan w:val="3"/>
            <w:vMerge w:val="restart"/>
            <w:tcBorders>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功能分类科目编码</w:t>
            </w:r>
          </w:p>
        </w:tc>
        <w:tc>
          <w:tcPr>
            <w:tcW w:w="3931" w:type="dxa"/>
            <w:vMerge w:val="restart"/>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科目名称</w:t>
            </w:r>
          </w:p>
        </w:tc>
        <w:tc>
          <w:tcPr>
            <w:tcW w:w="1801"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r>
      <w:tr>
        <w:tblPrEx>
          <w:tblLayout w:type="fixed"/>
          <w:tblCellMar>
            <w:top w:w="15" w:type="dxa"/>
            <w:left w:w="15" w:type="dxa"/>
            <w:bottom w:w="15" w:type="dxa"/>
            <w:right w:w="15" w:type="dxa"/>
          </w:tblCellMar>
        </w:tblPrEx>
        <w:trPr>
          <w:trHeight w:val="312" w:hRule="atLeast"/>
        </w:trPr>
        <w:tc>
          <w:tcPr>
            <w:tcW w:w="2248" w:type="dxa"/>
            <w:gridSpan w:val="3"/>
            <w:vMerge w:val="continue"/>
            <w:tcBorders>
              <w:left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3931"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1801"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r>
      <w:tr>
        <w:tblPrEx>
          <w:tblLayout w:type="fixed"/>
          <w:tblCellMar>
            <w:top w:w="15" w:type="dxa"/>
            <w:left w:w="15" w:type="dxa"/>
            <w:bottom w:w="15" w:type="dxa"/>
            <w:right w:w="15" w:type="dxa"/>
          </w:tblCellMar>
        </w:tblPrEx>
        <w:trPr>
          <w:trHeight w:val="312" w:hRule="atLeast"/>
        </w:trPr>
        <w:tc>
          <w:tcPr>
            <w:tcW w:w="2248" w:type="dxa"/>
            <w:gridSpan w:val="3"/>
            <w:vMerge w:val="continue"/>
            <w:tcBorders>
              <w:left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3931"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1801"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r>
      <w:tr>
        <w:tblPrEx>
          <w:tblLayout w:type="fixed"/>
          <w:tblCellMar>
            <w:top w:w="15" w:type="dxa"/>
            <w:left w:w="15" w:type="dxa"/>
            <w:bottom w:w="15" w:type="dxa"/>
            <w:right w:w="15" w:type="dxa"/>
          </w:tblCellMar>
        </w:tblPrEx>
        <w:trPr>
          <w:trHeight w:val="301" w:hRule="atLeast"/>
        </w:trPr>
        <w:tc>
          <w:tcPr>
            <w:tcW w:w="6179" w:type="dxa"/>
            <w:gridSpan w:val="4"/>
            <w:tcBorders>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栏次</w:t>
            </w:r>
          </w:p>
        </w:tc>
        <w:tc>
          <w:tcPr>
            <w:tcW w:w="180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w:t>
            </w:r>
          </w:p>
        </w:tc>
        <w:tc>
          <w:tcPr>
            <w:tcW w:w="960"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w:t>
            </w:r>
          </w:p>
        </w:tc>
        <w:tc>
          <w:tcPr>
            <w:tcW w:w="960"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w:t>
            </w:r>
          </w:p>
        </w:tc>
        <w:tc>
          <w:tcPr>
            <w:tcW w:w="960"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w:t>
            </w:r>
          </w:p>
        </w:tc>
        <w:tc>
          <w:tcPr>
            <w:tcW w:w="960"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5</w:t>
            </w:r>
          </w:p>
        </w:tc>
        <w:tc>
          <w:tcPr>
            <w:tcW w:w="960"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6</w:t>
            </w:r>
          </w:p>
        </w:tc>
        <w:tc>
          <w:tcPr>
            <w:tcW w:w="960"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7</w:t>
            </w:r>
          </w:p>
        </w:tc>
      </w:tr>
      <w:tr>
        <w:tblPrEx>
          <w:tblLayout w:type="fixed"/>
          <w:tblCellMar>
            <w:top w:w="15" w:type="dxa"/>
            <w:left w:w="15" w:type="dxa"/>
            <w:bottom w:w="15" w:type="dxa"/>
            <w:right w:w="15" w:type="dxa"/>
          </w:tblCellMar>
        </w:tblPrEx>
        <w:trPr>
          <w:trHeight w:val="301" w:hRule="atLeast"/>
        </w:trPr>
        <w:tc>
          <w:tcPr>
            <w:tcW w:w="6179" w:type="dxa"/>
            <w:gridSpan w:val="4"/>
            <w:tcBorders>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合计</w:t>
            </w:r>
          </w:p>
        </w:tc>
        <w:tc>
          <w:tcPr>
            <w:tcW w:w="18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b/>
                <w:color w:val="000000"/>
              </w:rPr>
            </w:pPr>
            <w:r>
              <w:rPr>
                <w:rFonts w:hint="eastAsia" w:ascii="宋体" w:hAnsi="宋体" w:cs="宋体"/>
                <w:b/>
                <w:color w:val="000000"/>
              </w:rPr>
              <w:t>152.24</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b/>
                <w:color w:val="000000"/>
              </w:rPr>
            </w:pPr>
            <w:r>
              <w:rPr>
                <w:rFonts w:hint="eastAsia" w:ascii="宋体" w:hAnsi="宋体" w:cs="宋体"/>
                <w:b/>
                <w:color w:val="000000"/>
              </w:rPr>
              <w:t>152.24</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b/>
                <w:color w:val="000000"/>
              </w:rPr>
            </w:pPr>
            <w:r>
              <w:rPr>
                <w:rFonts w:hint="eastAsia" w:ascii="宋体" w:hAnsi="宋体" w:cs="宋体"/>
                <w:b/>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b/>
                <w:color w:val="000000"/>
              </w:rPr>
            </w:pPr>
            <w:r>
              <w:rPr>
                <w:rFonts w:hint="eastAsia" w:ascii="宋体" w:hAnsi="宋体" w:cs="宋体"/>
                <w:b/>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b/>
                <w:color w:val="000000"/>
              </w:rPr>
            </w:pPr>
            <w:r>
              <w:rPr>
                <w:rFonts w:hint="eastAsia" w:ascii="宋体" w:hAnsi="宋体" w:cs="宋体"/>
                <w:b/>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b/>
                <w:color w:val="000000"/>
              </w:rPr>
            </w:pPr>
            <w:r>
              <w:rPr>
                <w:rFonts w:hint="eastAsia" w:ascii="宋体" w:hAnsi="宋体" w:cs="宋体"/>
                <w:b/>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b/>
                <w:color w:val="000000"/>
              </w:rPr>
            </w:pPr>
            <w:r>
              <w:rPr>
                <w:rFonts w:hint="eastAsia" w:ascii="宋体" w:hAnsi="宋体" w:cs="宋体"/>
                <w:b/>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206</w:t>
            </w:r>
          </w:p>
        </w:tc>
        <w:tc>
          <w:tcPr>
            <w:tcW w:w="3931" w:type="dxa"/>
            <w:tcBorders>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科学技术支出</w:t>
            </w:r>
          </w:p>
        </w:tc>
        <w:tc>
          <w:tcPr>
            <w:tcW w:w="18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126.36</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126.36</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20601</w:t>
            </w:r>
          </w:p>
        </w:tc>
        <w:tc>
          <w:tcPr>
            <w:tcW w:w="3931" w:type="dxa"/>
            <w:tcBorders>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科学技术管理事务</w:t>
            </w:r>
          </w:p>
        </w:tc>
        <w:tc>
          <w:tcPr>
            <w:tcW w:w="18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18.49</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18.49</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2060101</w:t>
            </w:r>
          </w:p>
        </w:tc>
        <w:tc>
          <w:tcPr>
            <w:tcW w:w="3931" w:type="dxa"/>
            <w:tcBorders>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 xml:space="preserve">  行政运行</w:t>
            </w:r>
          </w:p>
        </w:tc>
        <w:tc>
          <w:tcPr>
            <w:tcW w:w="18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18.49</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18.49</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20607</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科学技术普及</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107.88</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107.88</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2060701</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 xml:space="preserve">  机构运行</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94.95</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94.95</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2060702</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 xml:space="preserve">  科普活动</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12.92</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12.92</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208</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社会保障和就业支出</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20.16</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20.16</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20805</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行政事业单位离退休</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19.51</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19.51</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2080502</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 xml:space="preserve">  事业单位离退休</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9.46</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9.46</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2080505</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 xml:space="preserve">  机关事业单位基本养老保险缴费支出</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10.05</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10.05</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20899</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其他社会保障和就业支出</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0.66</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0.66</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2089901</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 xml:space="preserve">  其他社会保障和就业支出</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0.66</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0.66</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210</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医疗卫生与计划生育支出</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5.71</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5.71</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21011</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行政事业单位医疗</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5.71</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5.71</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2101102</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 xml:space="preserve">  事业单位医疗</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5.71</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5.71</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13740" w:type="dxa"/>
            <w:gridSpan w:val="11"/>
            <w:shd w:val="clear" w:color="auto" w:fill="auto"/>
            <w:vAlign w:val="center"/>
          </w:tcPr>
          <w:p>
            <w:pPr>
              <w:widowControl/>
              <w:textAlignment w:val="center"/>
              <w:rPr>
                <w:rFonts w:ascii="宋体" w:hAnsi="宋体" w:cs="宋体"/>
                <w:color w:val="000000"/>
              </w:rPr>
            </w:pPr>
            <w:r>
              <w:rPr>
                <w:rFonts w:hint="eastAsia" w:ascii="宋体" w:hAnsi="宋体" w:cs="宋体"/>
                <w:color w:val="000000"/>
              </w:rPr>
              <w:t>注：本表反映部门本年度取得的各项收入情况。</w:t>
            </w:r>
          </w:p>
        </w:tc>
      </w:tr>
    </w:tbl>
    <w:p>
      <w:pPr>
        <w:rPr>
          <w:sz w:val="32"/>
          <w:szCs w:val="32"/>
        </w:rPr>
      </w:pPr>
    </w:p>
    <w:p>
      <w:pPr>
        <w:rPr>
          <w:sz w:val="32"/>
          <w:szCs w:val="32"/>
        </w:rPr>
      </w:pPr>
    </w:p>
    <w:p>
      <w:pPr>
        <w:rPr>
          <w:sz w:val="32"/>
          <w:szCs w:val="32"/>
        </w:rPr>
      </w:pPr>
    </w:p>
    <w:tbl>
      <w:tblPr>
        <w:tblStyle w:val="11"/>
        <w:tblW w:w="12780" w:type="dxa"/>
        <w:tblInd w:w="0" w:type="dxa"/>
        <w:tblLayout w:type="fixed"/>
        <w:tblCellMar>
          <w:top w:w="15" w:type="dxa"/>
          <w:left w:w="15" w:type="dxa"/>
          <w:bottom w:w="15" w:type="dxa"/>
          <w:right w:w="15" w:type="dxa"/>
        </w:tblCellMar>
      </w:tblPr>
      <w:tblGrid>
        <w:gridCol w:w="686"/>
        <w:gridCol w:w="754"/>
        <w:gridCol w:w="808"/>
        <w:gridCol w:w="3931"/>
        <w:gridCol w:w="1801"/>
        <w:gridCol w:w="960"/>
        <w:gridCol w:w="960"/>
        <w:gridCol w:w="960"/>
        <w:gridCol w:w="960"/>
        <w:gridCol w:w="960"/>
      </w:tblGrid>
      <w:tr>
        <w:tblPrEx>
          <w:tblLayout w:type="fixed"/>
          <w:tblCellMar>
            <w:top w:w="15" w:type="dxa"/>
            <w:left w:w="15" w:type="dxa"/>
            <w:bottom w:w="15" w:type="dxa"/>
            <w:right w:w="15" w:type="dxa"/>
          </w:tblCellMar>
        </w:tblPrEx>
        <w:trPr>
          <w:trHeight w:val="390" w:hRule="atLeast"/>
        </w:trPr>
        <w:tc>
          <w:tcPr>
            <w:tcW w:w="12780" w:type="dxa"/>
            <w:gridSpan w:val="10"/>
            <w:shd w:val="clear" w:color="auto" w:fill="auto"/>
            <w:vAlign w:val="bottom"/>
          </w:tcPr>
          <w:p>
            <w:pPr>
              <w:jc w:val="center"/>
              <w:rPr>
                <w:rFonts w:ascii="Arial" w:hAnsi="Arial" w:cs="Arial"/>
                <w:color w:val="000000"/>
                <w:sz w:val="20"/>
                <w:szCs w:val="20"/>
              </w:rPr>
            </w:pPr>
            <w:r>
              <w:rPr>
                <w:rFonts w:hint="eastAsia" w:ascii="宋体" w:hAnsi="宋体" w:cs="宋体"/>
                <w:color w:val="000000"/>
                <w:sz w:val="30"/>
                <w:szCs w:val="30"/>
              </w:rPr>
              <w:t>支出决算表</w:t>
            </w:r>
          </w:p>
        </w:tc>
      </w:tr>
      <w:tr>
        <w:tblPrEx>
          <w:tblLayout w:type="fixed"/>
          <w:tblCellMar>
            <w:top w:w="15" w:type="dxa"/>
            <w:left w:w="15" w:type="dxa"/>
            <w:bottom w:w="15" w:type="dxa"/>
            <w:right w:w="15" w:type="dxa"/>
          </w:tblCellMar>
        </w:tblPrEx>
        <w:trPr>
          <w:trHeight w:val="286" w:hRule="atLeast"/>
        </w:trPr>
        <w:tc>
          <w:tcPr>
            <w:tcW w:w="686" w:type="dxa"/>
            <w:shd w:val="clear" w:color="auto" w:fill="auto"/>
            <w:vAlign w:val="bottom"/>
          </w:tcPr>
          <w:p>
            <w:pPr>
              <w:rPr>
                <w:rFonts w:ascii="Arial" w:hAnsi="Arial" w:cs="Arial"/>
                <w:color w:val="000000"/>
                <w:sz w:val="20"/>
                <w:szCs w:val="20"/>
              </w:rPr>
            </w:pPr>
          </w:p>
        </w:tc>
        <w:tc>
          <w:tcPr>
            <w:tcW w:w="754" w:type="dxa"/>
            <w:shd w:val="clear" w:color="auto" w:fill="auto"/>
            <w:vAlign w:val="bottom"/>
          </w:tcPr>
          <w:p>
            <w:pPr>
              <w:rPr>
                <w:rFonts w:ascii="Arial" w:hAnsi="Arial" w:cs="Arial"/>
                <w:color w:val="000000"/>
                <w:sz w:val="20"/>
                <w:szCs w:val="20"/>
              </w:rPr>
            </w:pPr>
          </w:p>
        </w:tc>
        <w:tc>
          <w:tcPr>
            <w:tcW w:w="808" w:type="dxa"/>
            <w:shd w:val="clear" w:color="auto" w:fill="auto"/>
            <w:vAlign w:val="bottom"/>
          </w:tcPr>
          <w:p>
            <w:pPr>
              <w:rPr>
                <w:rFonts w:ascii="Arial" w:hAnsi="Arial" w:cs="Arial"/>
                <w:color w:val="000000"/>
                <w:sz w:val="20"/>
                <w:szCs w:val="20"/>
              </w:rPr>
            </w:pPr>
          </w:p>
        </w:tc>
        <w:tc>
          <w:tcPr>
            <w:tcW w:w="3931" w:type="dxa"/>
            <w:shd w:val="clear" w:color="auto" w:fill="auto"/>
            <w:vAlign w:val="bottom"/>
          </w:tcPr>
          <w:p>
            <w:pPr>
              <w:rPr>
                <w:rFonts w:ascii="Arial" w:hAnsi="Arial" w:cs="Arial"/>
                <w:color w:val="000000"/>
                <w:sz w:val="20"/>
                <w:szCs w:val="20"/>
              </w:rPr>
            </w:pPr>
          </w:p>
        </w:tc>
        <w:tc>
          <w:tcPr>
            <w:tcW w:w="1801" w:type="dxa"/>
            <w:shd w:val="clear" w:color="auto" w:fill="auto"/>
            <w:vAlign w:val="bottom"/>
          </w:tcPr>
          <w:p>
            <w:pPr>
              <w:rPr>
                <w:rFonts w:ascii="Arial" w:hAnsi="Arial" w:cs="Arial"/>
                <w:color w:val="000000"/>
                <w:sz w:val="20"/>
                <w:szCs w:val="20"/>
              </w:rPr>
            </w:pPr>
          </w:p>
        </w:tc>
        <w:tc>
          <w:tcPr>
            <w:tcW w:w="960" w:type="dxa"/>
            <w:shd w:val="clear" w:color="auto" w:fill="auto"/>
            <w:vAlign w:val="bottom"/>
          </w:tcPr>
          <w:p>
            <w:pPr>
              <w:rPr>
                <w:rFonts w:ascii="Arial" w:hAnsi="Arial" w:cs="Arial"/>
                <w:color w:val="000000"/>
                <w:sz w:val="20"/>
                <w:szCs w:val="20"/>
              </w:rPr>
            </w:pPr>
          </w:p>
        </w:tc>
        <w:tc>
          <w:tcPr>
            <w:tcW w:w="960" w:type="dxa"/>
            <w:shd w:val="clear" w:color="auto" w:fill="auto"/>
            <w:vAlign w:val="bottom"/>
          </w:tcPr>
          <w:p>
            <w:pPr>
              <w:rPr>
                <w:rFonts w:ascii="Arial" w:hAnsi="Arial" w:cs="Arial"/>
                <w:color w:val="000000"/>
                <w:sz w:val="20"/>
                <w:szCs w:val="20"/>
              </w:rPr>
            </w:pPr>
          </w:p>
        </w:tc>
        <w:tc>
          <w:tcPr>
            <w:tcW w:w="960" w:type="dxa"/>
            <w:shd w:val="clear" w:color="auto" w:fill="auto"/>
            <w:vAlign w:val="bottom"/>
          </w:tcPr>
          <w:p>
            <w:pPr>
              <w:rPr>
                <w:rFonts w:ascii="Arial" w:hAnsi="Arial" w:cs="Arial"/>
                <w:color w:val="000000"/>
                <w:sz w:val="20"/>
                <w:szCs w:val="20"/>
              </w:rPr>
            </w:pPr>
          </w:p>
        </w:tc>
        <w:tc>
          <w:tcPr>
            <w:tcW w:w="960" w:type="dxa"/>
            <w:shd w:val="clear" w:color="auto" w:fill="auto"/>
            <w:vAlign w:val="bottom"/>
          </w:tcPr>
          <w:p>
            <w:pPr>
              <w:rPr>
                <w:rFonts w:ascii="Arial" w:hAnsi="Arial" w:cs="Arial"/>
                <w:color w:val="000000"/>
                <w:sz w:val="20"/>
                <w:szCs w:val="20"/>
              </w:rPr>
            </w:pPr>
          </w:p>
        </w:tc>
        <w:tc>
          <w:tcPr>
            <w:tcW w:w="960" w:type="dxa"/>
            <w:shd w:val="clear" w:color="auto" w:fill="auto"/>
            <w:vAlign w:val="bottom"/>
          </w:tcPr>
          <w:p>
            <w:pPr>
              <w:widowControl/>
              <w:jc w:val="right"/>
              <w:textAlignment w:val="bottom"/>
              <w:rPr>
                <w:rFonts w:ascii="宋体" w:hAnsi="宋体" w:cs="宋体"/>
                <w:color w:val="000000"/>
                <w:sz w:val="20"/>
                <w:szCs w:val="20"/>
              </w:rPr>
            </w:pPr>
            <w:r>
              <w:rPr>
                <w:rFonts w:hint="eastAsia" w:ascii="宋体" w:hAnsi="宋体" w:cs="宋体"/>
                <w:color w:val="000000"/>
                <w:sz w:val="20"/>
                <w:szCs w:val="20"/>
              </w:rPr>
              <w:t>公开03表</w:t>
            </w:r>
          </w:p>
        </w:tc>
      </w:tr>
      <w:tr>
        <w:tblPrEx>
          <w:tblLayout w:type="fixed"/>
          <w:tblCellMar>
            <w:top w:w="15" w:type="dxa"/>
            <w:left w:w="15" w:type="dxa"/>
            <w:bottom w:w="15" w:type="dxa"/>
            <w:right w:w="15" w:type="dxa"/>
          </w:tblCellMar>
        </w:tblPrEx>
        <w:trPr>
          <w:trHeight w:val="286" w:hRule="atLeast"/>
        </w:trPr>
        <w:tc>
          <w:tcPr>
            <w:tcW w:w="2248" w:type="dxa"/>
            <w:gridSpan w:val="3"/>
            <w:shd w:val="clear" w:color="auto" w:fill="auto"/>
            <w:vAlign w:val="bottom"/>
          </w:tcPr>
          <w:p>
            <w:pPr>
              <w:rPr>
                <w:rFonts w:ascii="Arial" w:hAnsi="Arial" w:cs="Arial"/>
                <w:color w:val="000000"/>
                <w:sz w:val="20"/>
                <w:szCs w:val="20"/>
              </w:rPr>
            </w:pPr>
            <w:r>
              <w:rPr>
                <w:rFonts w:hint="eastAsia" w:ascii="宋体" w:hAnsi="宋体" w:cs="宋体"/>
                <w:color w:val="000000"/>
                <w:sz w:val="20"/>
                <w:szCs w:val="20"/>
              </w:rPr>
              <w:t>部门：河南省周口市西华县科学技术协会</w:t>
            </w:r>
          </w:p>
        </w:tc>
        <w:tc>
          <w:tcPr>
            <w:tcW w:w="3931" w:type="dxa"/>
            <w:shd w:val="clear" w:color="auto" w:fill="auto"/>
            <w:vAlign w:val="bottom"/>
          </w:tcPr>
          <w:p>
            <w:pPr>
              <w:rPr>
                <w:rFonts w:ascii="Arial" w:hAnsi="Arial" w:cs="Arial"/>
                <w:color w:val="000000"/>
                <w:sz w:val="20"/>
                <w:szCs w:val="20"/>
              </w:rPr>
            </w:pPr>
          </w:p>
        </w:tc>
        <w:tc>
          <w:tcPr>
            <w:tcW w:w="1801" w:type="dxa"/>
            <w:shd w:val="clear" w:color="auto" w:fill="auto"/>
            <w:vAlign w:val="bottom"/>
          </w:tcPr>
          <w:p>
            <w:pPr>
              <w:rPr>
                <w:rFonts w:ascii="Arial" w:hAnsi="Arial" w:cs="Arial"/>
                <w:color w:val="000000"/>
                <w:sz w:val="20"/>
                <w:szCs w:val="20"/>
              </w:rPr>
            </w:pPr>
          </w:p>
        </w:tc>
        <w:tc>
          <w:tcPr>
            <w:tcW w:w="960" w:type="dxa"/>
            <w:shd w:val="clear" w:color="auto" w:fill="auto"/>
            <w:vAlign w:val="bottom"/>
          </w:tcPr>
          <w:p>
            <w:pPr>
              <w:rPr>
                <w:rFonts w:ascii="Arial" w:hAnsi="Arial" w:cs="Arial"/>
                <w:color w:val="000000"/>
                <w:sz w:val="20"/>
                <w:szCs w:val="20"/>
              </w:rPr>
            </w:pPr>
          </w:p>
        </w:tc>
        <w:tc>
          <w:tcPr>
            <w:tcW w:w="960" w:type="dxa"/>
            <w:shd w:val="clear" w:color="auto" w:fill="auto"/>
            <w:vAlign w:val="bottom"/>
          </w:tcPr>
          <w:p>
            <w:pPr>
              <w:rPr>
                <w:rFonts w:ascii="Arial" w:hAnsi="Arial" w:cs="Arial"/>
                <w:color w:val="000000"/>
                <w:sz w:val="20"/>
                <w:szCs w:val="20"/>
              </w:rPr>
            </w:pPr>
          </w:p>
        </w:tc>
        <w:tc>
          <w:tcPr>
            <w:tcW w:w="960" w:type="dxa"/>
            <w:shd w:val="clear" w:color="auto" w:fill="auto"/>
            <w:vAlign w:val="bottom"/>
          </w:tcPr>
          <w:p>
            <w:pPr>
              <w:rPr>
                <w:rFonts w:ascii="Arial" w:hAnsi="Arial" w:cs="Arial"/>
                <w:color w:val="000000"/>
                <w:sz w:val="20"/>
                <w:szCs w:val="20"/>
              </w:rPr>
            </w:pPr>
          </w:p>
        </w:tc>
        <w:tc>
          <w:tcPr>
            <w:tcW w:w="960" w:type="dxa"/>
            <w:shd w:val="clear" w:color="auto" w:fill="auto"/>
            <w:vAlign w:val="bottom"/>
          </w:tcPr>
          <w:p>
            <w:pPr>
              <w:rPr>
                <w:rFonts w:ascii="Arial" w:hAnsi="Arial" w:cs="Arial"/>
                <w:color w:val="000000"/>
                <w:sz w:val="20"/>
                <w:szCs w:val="20"/>
              </w:rPr>
            </w:pPr>
          </w:p>
        </w:tc>
        <w:tc>
          <w:tcPr>
            <w:tcW w:w="960" w:type="dxa"/>
            <w:shd w:val="clear" w:color="auto" w:fill="auto"/>
            <w:vAlign w:val="bottom"/>
          </w:tcPr>
          <w:p>
            <w:pPr>
              <w:widowControl/>
              <w:jc w:val="right"/>
              <w:textAlignment w:val="bottom"/>
              <w:rPr>
                <w:rFonts w:ascii="宋体" w:hAnsi="宋体" w:cs="宋体"/>
                <w:color w:val="000000"/>
                <w:sz w:val="20"/>
                <w:szCs w:val="20"/>
              </w:rPr>
            </w:pPr>
            <w:r>
              <w:rPr>
                <w:rFonts w:hint="eastAsia" w:ascii="宋体" w:hAnsi="宋体" w:cs="宋体"/>
                <w:color w:val="000000"/>
                <w:sz w:val="20"/>
                <w:szCs w:val="20"/>
              </w:rPr>
              <w:t>金额单位：万元</w:t>
            </w:r>
          </w:p>
        </w:tc>
      </w:tr>
      <w:tr>
        <w:tblPrEx>
          <w:tblLayout w:type="fixed"/>
          <w:tblCellMar>
            <w:top w:w="15" w:type="dxa"/>
            <w:left w:w="15" w:type="dxa"/>
            <w:bottom w:w="15" w:type="dxa"/>
            <w:right w:w="15" w:type="dxa"/>
          </w:tblCellMar>
        </w:tblPrEx>
        <w:trPr>
          <w:trHeight w:val="301" w:hRule="atLeast"/>
        </w:trPr>
        <w:tc>
          <w:tcPr>
            <w:tcW w:w="6179" w:type="dxa"/>
            <w:gridSpan w:val="4"/>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项目</w:t>
            </w:r>
          </w:p>
        </w:tc>
        <w:tc>
          <w:tcPr>
            <w:tcW w:w="1801" w:type="dxa"/>
            <w:vMerge w:val="restart"/>
            <w:tcBorders>
              <w:top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本年支出合计</w:t>
            </w:r>
          </w:p>
        </w:tc>
        <w:tc>
          <w:tcPr>
            <w:tcW w:w="960" w:type="dxa"/>
            <w:vMerge w:val="restart"/>
            <w:tcBorders>
              <w:top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基本支出</w:t>
            </w:r>
          </w:p>
        </w:tc>
        <w:tc>
          <w:tcPr>
            <w:tcW w:w="960" w:type="dxa"/>
            <w:vMerge w:val="restart"/>
            <w:tcBorders>
              <w:top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项目支出</w:t>
            </w:r>
          </w:p>
        </w:tc>
        <w:tc>
          <w:tcPr>
            <w:tcW w:w="960" w:type="dxa"/>
            <w:vMerge w:val="restart"/>
            <w:tcBorders>
              <w:top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上缴上级支出</w:t>
            </w:r>
          </w:p>
        </w:tc>
        <w:tc>
          <w:tcPr>
            <w:tcW w:w="960" w:type="dxa"/>
            <w:vMerge w:val="restart"/>
            <w:tcBorders>
              <w:top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经营支出</w:t>
            </w:r>
          </w:p>
        </w:tc>
        <w:tc>
          <w:tcPr>
            <w:tcW w:w="960" w:type="dxa"/>
            <w:vMerge w:val="restart"/>
            <w:tcBorders>
              <w:top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对附属单位补助支出</w:t>
            </w:r>
          </w:p>
        </w:tc>
      </w:tr>
      <w:tr>
        <w:tblPrEx>
          <w:tblLayout w:type="fixed"/>
          <w:tblCellMar>
            <w:top w:w="15" w:type="dxa"/>
            <w:left w:w="15" w:type="dxa"/>
            <w:bottom w:w="15" w:type="dxa"/>
            <w:right w:w="15" w:type="dxa"/>
          </w:tblCellMar>
        </w:tblPrEx>
        <w:trPr>
          <w:trHeight w:val="312" w:hRule="atLeast"/>
        </w:trPr>
        <w:tc>
          <w:tcPr>
            <w:tcW w:w="2248" w:type="dxa"/>
            <w:gridSpan w:val="3"/>
            <w:vMerge w:val="restart"/>
            <w:tcBorders>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功能分类科目编码</w:t>
            </w:r>
          </w:p>
        </w:tc>
        <w:tc>
          <w:tcPr>
            <w:tcW w:w="3931" w:type="dxa"/>
            <w:vMerge w:val="restart"/>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科目名称</w:t>
            </w:r>
          </w:p>
        </w:tc>
        <w:tc>
          <w:tcPr>
            <w:tcW w:w="1801"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r>
      <w:tr>
        <w:tblPrEx>
          <w:tblLayout w:type="fixed"/>
          <w:tblCellMar>
            <w:top w:w="15" w:type="dxa"/>
            <w:left w:w="15" w:type="dxa"/>
            <w:bottom w:w="15" w:type="dxa"/>
            <w:right w:w="15" w:type="dxa"/>
          </w:tblCellMar>
        </w:tblPrEx>
        <w:trPr>
          <w:trHeight w:val="312" w:hRule="atLeast"/>
        </w:trPr>
        <w:tc>
          <w:tcPr>
            <w:tcW w:w="2248" w:type="dxa"/>
            <w:gridSpan w:val="3"/>
            <w:vMerge w:val="continue"/>
            <w:tcBorders>
              <w:left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3931"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1801"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r>
      <w:tr>
        <w:tblPrEx>
          <w:tblLayout w:type="fixed"/>
          <w:tblCellMar>
            <w:top w:w="15" w:type="dxa"/>
            <w:left w:w="15" w:type="dxa"/>
            <w:bottom w:w="15" w:type="dxa"/>
            <w:right w:w="15" w:type="dxa"/>
          </w:tblCellMar>
        </w:tblPrEx>
        <w:trPr>
          <w:trHeight w:val="312" w:hRule="atLeast"/>
        </w:trPr>
        <w:tc>
          <w:tcPr>
            <w:tcW w:w="2248" w:type="dxa"/>
            <w:gridSpan w:val="3"/>
            <w:vMerge w:val="continue"/>
            <w:tcBorders>
              <w:left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3931"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1801"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r>
      <w:tr>
        <w:tblPrEx>
          <w:tblLayout w:type="fixed"/>
          <w:tblCellMar>
            <w:top w:w="15" w:type="dxa"/>
            <w:left w:w="15" w:type="dxa"/>
            <w:bottom w:w="15" w:type="dxa"/>
            <w:right w:w="15" w:type="dxa"/>
          </w:tblCellMar>
        </w:tblPrEx>
        <w:trPr>
          <w:trHeight w:val="301" w:hRule="atLeast"/>
        </w:trPr>
        <w:tc>
          <w:tcPr>
            <w:tcW w:w="6179" w:type="dxa"/>
            <w:gridSpan w:val="4"/>
            <w:tcBorders>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栏次</w:t>
            </w:r>
          </w:p>
        </w:tc>
        <w:tc>
          <w:tcPr>
            <w:tcW w:w="180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w:t>
            </w:r>
          </w:p>
        </w:tc>
        <w:tc>
          <w:tcPr>
            <w:tcW w:w="960"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w:t>
            </w:r>
          </w:p>
        </w:tc>
        <w:tc>
          <w:tcPr>
            <w:tcW w:w="960"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w:t>
            </w:r>
          </w:p>
        </w:tc>
        <w:tc>
          <w:tcPr>
            <w:tcW w:w="960"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w:t>
            </w:r>
          </w:p>
        </w:tc>
        <w:tc>
          <w:tcPr>
            <w:tcW w:w="960"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5</w:t>
            </w:r>
          </w:p>
        </w:tc>
        <w:tc>
          <w:tcPr>
            <w:tcW w:w="960"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6</w:t>
            </w:r>
          </w:p>
        </w:tc>
      </w:tr>
      <w:tr>
        <w:tblPrEx>
          <w:tblLayout w:type="fixed"/>
          <w:tblCellMar>
            <w:top w:w="15" w:type="dxa"/>
            <w:left w:w="15" w:type="dxa"/>
            <w:bottom w:w="15" w:type="dxa"/>
            <w:right w:w="15" w:type="dxa"/>
          </w:tblCellMar>
        </w:tblPrEx>
        <w:trPr>
          <w:trHeight w:val="301" w:hRule="atLeast"/>
        </w:trPr>
        <w:tc>
          <w:tcPr>
            <w:tcW w:w="6179" w:type="dxa"/>
            <w:gridSpan w:val="4"/>
            <w:tcBorders>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合计</w:t>
            </w:r>
          </w:p>
        </w:tc>
        <w:tc>
          <w:tcPr>
            <w:tcW w:w="18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b/>
                <w:color w:val="000000"/>
              </w:rPr>
            </w:pPr>
            <w:r>
              <w:rPr>
                <w:rFonts w:hint="eastAsia" w:ascii="宋体" w:hAnsi="宋体" w:cs="宋体"/>
                <w:b/>
                <w:color w:val="000000"/>
              </w:rPr>
              <w:t>152.24</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b/>
                <w:color w:val="000000"/>
              </w:rPr>
            </w:pPr>
            <w:r>
              <w:rPr>
                <w:rFonts w:hint="eastAsia" w:ascii="宋体" w:hAnsi="宋体" w:cs="宋体"/>
                <w:b/>
                <w:color w:val="000000"/>
              </w:rPr>
              <w:t>152.24</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b/>
                <w:color w:val="000000"/>
              </w:rPr>
            </w:pPr>
            <w:r>
              <w:rPr>
                <w:rFonts w:hint="eastAsia" w:ascii="宋体" w:hAnsi="宋体" w:cs="宋体"/>
                <w:b/>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b/>
                <w:color w:val="000000"/>
              </w:rPr>
            </w:pPr>
            <w:r>
              <w:rPr>
                <w:rFonts w:hint="eastAsia" w:ascii="宋体" w:hAnsi="宋体" w:cs="宋体"/>
                <w:b/>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b/>
                <w:color w:val="000000"/>
              </w:rPr>
            </w:pPr>
            <w:r>
              <w:rPr>
                <w:rFonts w:hint="eastAsia" w:ascii="宋体" w:hAnsi="宋体" w:cs="宋体"/>
                <w:b/>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b/>
                <w:color w:val="000000"/>
              </w:rPr>
            </w:pPr>
            <w:r>
              <w:rPr>
                <w:rFonts w:hint="eastAsia" w:ascii="宋体" w:hAnsi="宋体" w:cs="宋体"/>
                <w:b/>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206</w:t>
            </w:r>
          </w:p>
        </w:tc>
        <w:tc>
          <w:tcPr>
            <w:tcW w:w="3931" w:type="dxa"/>
            <w:tcBorders>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科学技术支出</w:t>
            </w:r>
          </w:p>
        </w:tc>
        <w:tc>
          <w:tcPr>
            <w:tcW w:w="18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126.36</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126.36</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20601</w:t>
            </w:r>
          </w:p>
        </w:tc>
        <w:tc>
          <w:tcPr>
            <w:tcW w:w="3931" w:type="dxa"/>
            <w:tcBorders>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科学技术管理事务</w:t>
            </w:r>
          </w:p>
        </w:tc>
        <w:tc>
          <w:tcPr>
            <w:tcW w:w="18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18.49</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18.49</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2060101</w:t>
            </w:r>
          </w:p>
        </w:tc>
        <w:tc>
          <w:tcPr>
            <w:tcW w:w="3931" w:type="dxa"/>
            <w:tcBorders>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 xml:space="preserve">  行政运行</w:t>
            </w:r>
          </w:p>
        </w:tc>
        <w:tc>
          <w:tcPr>
            <w:tcW w:w="180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18.49</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18.49</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20607</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科学技术普及</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107.88</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107.88</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2060701</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 xml:space="preserve">  机构运行</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94.95</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94.95</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2060702</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 xml:space="preserve">  科普活动</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12.92</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12.92</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208</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社会保障和就业支出</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20.16</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20.16</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20805</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行政事业单位离退休</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19.51</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19.51</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2080502</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 xml:space="preserve">  事业单位离退休</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9.46</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9.46</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2080505</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 xml:space="preserve">  机关事业单位基本养老保险缴费支出</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10.05</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10.05</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20899</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其他社会保障和就业支出</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0.66</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0.66</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2089901</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 xml:space="preserve">  其他社会保障和就业支出</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0.66</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0.66</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210</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医疗卫生与计划生育支出</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5.71</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5.71</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21011</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行政事业单位医疗</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5.71</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5.71</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2101102</w:t>
            </w:r>
          </w:p>
        </w:tc>
        <w:tc>
          <w:tcPr>
            <w:tcW w:w="3931" w:type="dxa"/>
            <w:tcBorders>
              <w:bottom w:val="single" w:color="000000" w:sz="4" w:space="0"/>
              <w:right w:val="single" w:color="000000" w:sz="4" w:space="0"/>
            </w:tcBorders>
            <w:shd w:val="clear" w:color="auto" w:fill="auto"/>
            <w:vAlign w:val="center"/>
          </w:tcPr>
          <w:p>
            <w:pPr>
              <w:widowControl/>
              <w:textAlignment w:val="center"/>
              <w:rPr>
                <w:rFonts w:ascii="宋体" w:hAnsi="宋体" w:cs="宋体"/>
                <w:color w:val="000000"/>
              </w:rPr>
            </w:pPr>
            <w:r>
              <w:rPr>
                <w:rFonts w:hint="eastAsia" w:ascii="宋体" w:hAnsi="宋体" w:cs="宋体"/>
                <w:color w:val="000000"/>
              </w:rPr>
              <w:t xml:space="preserve">  事业单位医疗</w:t>
            </w:r>
          </w:p>
        </w:tc>
        <w:tc>
          <w:tcPr>
            <w:tcW w:w="1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5.71</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5.71</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960"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12780" w:type="dxa"/>
            <w:gridSpan w:val="10"/>
            <w:shd w:val="clear" w:color="auto" w:fill="auto"/>
            <w:vAlign w:val="center"/>
          </w:tcPr>
          <w:p>
            <w:pPr>
              <w:widowControl/>
              <w:textAlignment w:val="center"/>
              <w:rPr>
                <w:rFonts w:ascii="宋体" w:hAnsi="宋体" w:cs="宋体"/>
                <w:color w:val="000000"/>
              </w:rPr>
            </w:pPr>
            <w:r>
              <w:rPr>
                <w:rFonts w:hint="eastAsia" w:ascii="宋体" w:hAnsi="宋体" w:cs="宋体"/>
                <w:color w:val="000000"/>
              </w:rPr>
              <w:t>注：本表反映部门本年度各项支出情况。</w:t>
            </w:r>
          </w:p>
        </w:tc>
      </w:tr>
    </w:tbl>
    <w:p>
      <w:pPr>
        <w:rPr>
          <w:sz w:val="32"/>
          <w:szCs w:val="32"/>
        </w:rPr>
      </w:pPr>
    </w:p>
    <w:p>
      <w:pPr>
        <w:rPr>
          <w:sz w:val="32"/>
          <w:szCs w:val="32"/>
        </w:rPr>
      </w:pPr>
    </w:p>
    <w:p>
      <w:pPr>
        <w:rPr>
          <w:sz w:val="32"/>
          <w:szCs w:val="32"/>
        </w:rPr>
      </w:pPr>
    </w:p>
    <w:p>
      <w:pPr>
        <w:rPr>
          <w:sz w:val="32"/>
          <w:szCs w:val="32"/>
        </w:rPr>
      </w:pPr>
    </w:p>
    <w:p>
      <w:pPr>
        <w:rPr>
          <w:sz w:val="32"/>
          <w:szCs w:val="32"/>
        </w:rPr>
      </w:pPr>
    </w:p>
    <w:p>
      <w:pPr>
        <w:rPr>
          <w:sz w:val="32"/>
          <w:szCs w:val="32"/>
        </w:rPr>
      </w:pPr>
    </w:p>
    <w:p>
      <w:pPr>
        <w:rPr>
          <w:sz w:val="32"/>
          <w:szCs w:val="32"/>
        </w:rPr>
      </w:pPr>
    </w:p>
    <w:tbl>
      <w:tblPr>
        <w:tblStyle w:val="11"/>
        <w:tblpPr w:leftFromText="180" w:rightFromText="180" w:vertAnchor="text" w:horzAnchor="page" w:tblpX="1445" w:tblpY="61"/>
        <w:tblOverlap w:val="never"/>
        <w:tblW w:w="13166" w:type="dxa"/>
        <w:tblInd w:w="0" w:type="dxa"/>
        <w:tblLayout w:type="fixed"/>
        <w:tblCellMar>
          <w:top w:w="15" w:type="dxa"/>
          <w:left w:w="15" w:type="dxa"/>
          <w:bottom w:w="15" w:type="dxa"/>
          <w:right w:w="15" w:type="dxa"/>
        </w:tblCellMar>
      </w:tblPr>
      <w:tblGrid>
        <w:gridCol w:w="2477"/>
        <w:gridCol w:w="471"/>
        <w:gridCol w:w="2544"/>
        <w:gridCol w:w="2477"/>
        <w:gridCol w:w="471"/>
        <w:gridCol w:w="1375"/>
        <w:gridCol w:w="876"/>
        <w:gridCol w:w="2475"/>
      </w:tblGrid>
      <w:tr>
        <w:tblPrEx>
          <w:tblLayout w:type="fixed"/>
          <w:tblCellMar>
            <w:top w:w="15" w:type="dxa"/>
            <w:left w:w="15" w:type="dxa"/>
            <w:bottom w:w="15" w:type="dxa"/>
            <w:right w:w="15" w:type="dxa"/>
          </w:tblCellMar>
        </w:tblPrEx>
        <w:trPr>
          <w:trHeight w:val="390" w:hRule="atLeast"/>
        </w:trPr>
        <w:tc>
          <w:tcPr>
            <w:tcW w:w="13166" w:type="dxa"/>
            <w:gridSpan w:val="8"/>
            <w:shd w:val="clear" w:color="auto" w:fill="auto"/>
            <w:vAlign w:val="bottom"/>
          </w:tcPr>
          <w:p>
            <w:pPr>
              <w:jc w:val="center"/>
              <w:rPr>
                <w:rFonts w:ascii="Arial" w:hAnsi="Arial" w:cs="Arial"/>
                <w:color w:val="000000"/>
                <w:sz w:val="20"/>
                <w:szCs w:val="20"/>
              </w:rPr>
            </w:pPr>
            <w:r>
              <w:rPr>
                <w:rFonts w:hint="eastAsia" w:ascii="宋体" w:hAnsi="宋体" w:cs="宋体"/>
                <w:color w:val="000000"/>
                <w:sz w:val="30"/>
                <w:szCs w:val="30"/>
              </w:rPr>
              <w:t>财政拨款收入支出决算总表</w:t>
            </w:r>
          </w:p>
        </w:tc>
      </w:tr>
      <w:tr>
        <w:tblPrEx>
          <w:tblLayout w:type="fixed"/>
          <w:tblCellMar>
            <w:top w:w="15" w:type="dxa"/>
            <w:left w:w="15" w:type="dxa"/>
            <w:bottom w:w="15" w:type="dxa"/>
            <w:right w:w="15" w:type="dxa"/>
          </w:tblCellMar>
        </w:tblPrEx>
        <w:trPr>
          <w:trHeight w:val="286" w:hRule="atLeast"/>
        </w:trPr>
        <w:tc>
          <w:tcPr>
            <w:tcW w:w="2477" w:type="dxa"/>
            <w:shd w:val="clear" w:color="auto" w:fill="auto"/>
            <w:vAlign w:val="bottom"/>
          </w:tcPr>
          <w:p>
            <w:pPr>
              <w:rPr>
                <w:rFonts w:ascii="Arial" w:hAnsi="Arial" w:cs="Arial"/>
                <w:color w:val="000000"/>
                <w:sz w:val="20"/>
                <w:szCs w:val="20"/>
              </w:rPr>
            </w:pPr>
          </w:p>
        </w:tc>
        <w:tc>
          <w:tcPr>
            <w:tcW w:w="471" w:type="dxa"/>
            <w:shd w:val="clear" w:color="auto" w:fill="auto"/>
            <w:vAlign w:val="bottom"/>
          </w:tcPr>
          <w:p>
            <w:pPr>
              <w:rPr>
                <w:rFonts w:ascii="Arial" w:hAnsi="Arial" w:cs="Arial"/>
                <w:color w:val="000000"/>
                <w:sz w:val="20"/>
                <w:szCs w:val="20"/>
              </w:rPr>
            </w:pPr>
          </w:p>
        </w:tc>
        <w:tc>
          <w:tcPr>
            <w:tcW w:w="2544" w:type="dxa"/>
            <w:shd w:val="clear" w:color="auto" w:fill="auto"/>
            <w:vAlign w:val="bottom"/>
          </w:tcPr>
          <w:p>
            <w:pPr>
              <w:rPr>
                <w:rFonts w:ascii="Arial" w:hAnsi="Arial" w:cs="Arial"/>
                <w:color w:val="000000"/>
                <w:sz w:val="20"/>
                <w:szCs w:val="20"/>
              </w:rPr>
            </w:pPr>
          </w:p>
        </w:tc>
        <w:tc>
          <w:tcPr>
            <w:tcW w:w="2477" w:type="dxa"/>
            <w:shd w:val="clear" w:color="auto" w:fill="auto"/>
            <w:vAlign w:val="bottom"/>
          </w:tcPr>
          <w:p>
            <w:pPr>
              <w:rPr>
                <w:rFonts w:ascii="Arial" w:hAnsi="Arial" w:cs="Arial"/>
                <w:color w:val="000000"/>
                <w:sz w:val="20"/>
                <w:szCs w:val="20"/>
              </w:rPr>
            </w:pPr>
          </w:p>
        </w:tc>
        <w:tc>
          <w:tcPr>
            <w:tcW w:w="471" w:type="dxa"/>
            <w:shd w:val="clear" w:color="auto" w:fill="auto"/>
            <w:vAlign w:val="bottom"/>
          </w:tcPr>
          <w:p>
            <w:pPr>
              <w:rPr>
                <w:rFonts w:ascii="Arial" w:hAnsi="Arial" w:cs="Arial"/>
                <w:color w:val="000000"/>
                <w:sz w:val="20"/>
                <w:szCs w:val="20"/>
              </w:rPr>
            </w:pPr>
          </w:p>
        </w:tc>
        <w:tc>
          <w:tcPr>
            <w:tcW w:w="1375" w:type="dxa"/>
            <w:shd w:val="clear" w:color="auto" w:fill="auto"/>
            <w:vAlign w:val="bottom"/>
          </w:tcPr>
          <w:p>
            <w:pPr>
              <w:rPr>
                <w:rFonts w:ascii="Arial" w:hAnsi="Arial" w:cs="Arial"/>
                <w:color w:val="000000"/>
                <w:sz w:val="20"/>
                <w:szCs w:val="20"/>
              </w:rPr>
            </w:pPr>
          </w:p>
        </w:tc>
        <w:tc>
          <w:tcPr>
            <w:tcW w:w="876" w:type="dxa"/>
            <w:shd w:val="clear" w:color="auto" w:fill="auto"/>
            <w:vAlign w:val="bottom"/>
          </w:tcPr>
          <w:p>
            <w:pPr>
              <w:rPr>
                <w:rFonts w:ascii="Arial" w:hAnsi="Arial" w:cs="Arial"/>
                <w:color w:val="000000"/>
                <w:sz w:val="20"/>
                <w:szCs w:val="20"/>
              </w:rPr>
            </w:pPr>
          </w:p>
        </w:tc>
        <w:tc>
          <w:tcPr>
            <w:tcW w:w="2475" w:type="dxa"/>
            <w:shd w:val="clear" w:color="auto" w:fill="auto"/>
            <w:vAlign w:val="bottom"/>
          </w:tcPr>
          <w:p>
            <w:pPr>
              <w:widowControl/>
              <w:jc w:val="right"/>
              <w:textAlignment w:val="bottom"/>
              <w:rPr>
                <w:rFonts w:ascii="宋体" w:hAnsi="宋体" w:cs="宋体"/>
                <w:color w:val="000000"/>
                <w:sz w:val="20"/>
                <w:szCs w:val="20"/>
              </w:rPr>
            </w:pPr>
            <w:r>
              <w:rPr>
                <w:rFonts w:hint="eastAsia" w:ascii="宋体" w:hAnsi="宋体" w:cs="宋体"/>
                <w:color w:val="000000"/>
                <w:sz w:val="20"/>
                <w:szCs w:val="20"/>
              </w:rPr>
              <w:t>公开04表</w:t>
            </w:r>
          </w:p>
        </w:tc>
      </w:tr>
      <w:tr>
        <w:tblPrEx>
          <w:tblLayout w:type="fixed"/>
          <w:tblCellMar>
            <w:top w:w="15" w:type="dxa"/>
            <w:left w:w="15" w:type="dxa"/>
            <w:bottom w:w="15" w:type="dxa"/>
            <w:right w:w="15" w:type="dxa"/>
          </w:tblCellMar>
        </w:tblPrEx>
        <w:trPr>
          <w:trHeight w:val="286" w:hRule="atLeast"/>
        </w:trPr>
        <w:tc>
          <w:tcPr>
            <w:tcW w:w="2477" w:type="dxa"/>
            <w:shd w:val="clear" w:color="auto" w:fill="auto"/>
            <w:vAlign w:val="bottom"/>
          </w:tcPr>
          <w:p>
            <w:pPr>
              <w:widowControl/>
              <w:textAlignment w:val="bottom"/>
              <w:rPr>
                <w:rFonts w:ascii="宋体" w:hAnsi="宋体" w:cs="宋体"/>
                <w:color w:val="000000"/>
                <w:sz w:val="20"/>
                <w:szCs w:val="20"/>
              </w:rPr>
            </w:pPr>
            <w:r>
              <w:rPr>
                <w:rFonts w:hint="eastAsia" w:ascii="宋体" w:hAnsi="宋体" w:cs="宋体"/>
                <w:color w:val="000000"/>
                <w:sz w:val="20"/>
                <w:szCs w:val="20"/>
              </w:rPr>
              <w:t>部门：河南省周口市西华县科学技术协会</w:t>
            </w:r>
          </w:p>
        </w:tc>
        <w:tc>
          <w:tcPr>
            <w:tcW w:w="471" w:type="dxa"/>
            <w:shd w:val="clear" w:color="auto" w:fill="auto"/>
            <w:vAlign w:val="bottom"/>
          </w:tcPr>
          <w:p>
            <w:pPr>
              <w:rPr>
                <w:rFonts w:ascii="Arial" w:hAnsi="Arial" w:cs="Arial"/>
                <w:color w:val="000000"/>
                <w:sz w:val="20"/>
                <w:szCs w:val="20"/>
              </w:rPr>
            </w:pPr>
          </w:p>
        </w:tc>
        <w:tc>
          <w:tcPr>
            <w:tcW w:w="2544" w:type="dxa"/>
            <w:shd w:val="clear" w:color="auto" w:fill="auto"/>
            <w:vAlign w:val="bottom"/>
          </w:tcPr>
          <w:p>
            <w:pPr>
              <w:rPr>
                <w:rFonts w:ascii="Arial" w:hAnsi="Arial" w:cs="Arial"/>
                <w:color w:val="000000"/>
                <w:sz w:val="20"/>
                <w:szCs w:val="20"/>
              </w:rPr>
            </w:pPr>
          </w:p>
        </w:tc>
        <w:tc>
          <w:tcPr>
            <w:tcW w:w="2477" w:type="dxa"/>
            <w:shd w:val="clear" w:color="auto" w:fill="auto"/>
            <w:vAlign w:val="bottom"/>
          </w:tcPr>
          <w:p>
            <w:pPr>
              <w:rPr>
                <w:rFonts w:ascii="Arial" w:hAnsi="Arial" w:cs="Arial"/>
                <w:color w:val="000000"/>
                <w:sz w:val="20"/>
                <w:szCs w:val="20"/>
              </w:rPr>
            </w:pPr>
          </w:p>
        </w:tc>
        <w:tc>
          <w:tcPr>
            <w:tcW w:w="471" w:type="dxa"/>
            <w:shd w:val="clear" w:color="auto" w:fill="auto"/>
            <w:vAlign w:val="bottom"/>
          </w:tcPr>
          <w:p>
            <w:pPr>
              <w:rPr>
                <w:rFonts w:ascii="Arial" w:hAnsi="Arial" w:cs="Arial"/>
                <w:color w:val="000000"/>
                <w:sz w:val="20"/>
                <w:szCs w:val="20"/>
              </w:rPr>
            </w:pPr>
          </w:p>
        </w:tc>
        <w:tc>
          <w:tcPr>
            <w:tcW w:w="1375" w:type="dxa"/>
            <w:shd w:val="clear" w:color="auto" w:fill="auto"/>
            <w:vAlign w:val="bottom"/>
          </w:tcPr>
          <w:p>
            <w:pPr>
              <w:rPr>
                <w:rFonts w:ascii="Arial" w:hAnsi="Arial" w:cs="Arial"/>
                <w:color w:val="000000"/>
                <w:sz w:val="20"/>
                <w:szCs w:val="20"/>
              </w:rPr>
            </w:pPr>
          </w:p>
        </w:tc>
        <w:tc>
          <w:tcPr>
            <w:tcW w:w="876" w:type="dxa"/>
            <w:shd w:val="clear" w:color="auto" w:fill="auto"/>
            <w:vAlign w:val="bottom"/>
          </w:tcPr>
          <w:p>
            <w:pPr>
              <w:rPr>
                <w:rFonts w:ascii="Arial" w:hAnsi="Arial" w:cs="Arial"/>
                <w:color w:val="000000"/>
                <w:sz w:val="20"/>
                <w:szCs w:val="20"/>
              </w:rPr>
            </w:pPr>
          </w:p>
        </w:tc>
        <w:tc>
          <w:tcPr>
            <w:tcW w:w="2475" w:type="dxa"/>
            <w:shd w:val="clear" w:color="auto" w:fill="auto"/>
            <w:vAlign w:val="bottom"/>
          </w:tcPr>
          <w:p>
            <w:pPr>
              <w:widowControl/>
              <w:jc w:val="right"/>
              <w:textAlignment w:val="bottom"/>
              <w:rPr>
                <w:rFonts w:ascii="宋体" w:hAnsi="宋体" w:cs="宋体"/>
                <w:color w:val="000000"/>
                <w:sz w:val="20"/>
                <w:szCs w:val="20"/>
              </w:rPr>
            </w:pPr>
            <w:r>
              <w:rPr>
                <w:rFonts w:hint="eastAsia" w:ascii="宋体" w:hAnsi="宋体" w:cs="宋体"/>
                <w:color w:val="000000"/>
                <w:sz w:val="20"/>
                <w:szCs w:val="20"/>
              </w:rPr>
              <w:t>金额单位：万元</w:t>
            </w:r>
          </w:p>
        </w:tc>
      </w:tr>
      <w:tr>
        <w:tblPrEx>
          <w:tblLayout w:type="fixed"/>
          <w:tblCellMar>
            <w:top w:w="15" w:type="dxa"/>
            <w:left w:w="15" w:type="dxa"/>
            <w:bottom w:w="15" w:type="dxa"/>
            <w:right w:w="15" w:type="dxa"/>
          </w:tblCellMar>
        </w:tblPrEx>
        <w:trPr>
          <w:trHeight w:val="301" w:hRule="atLeast"/>
        </w:trPr>
        <w:tc>
          <w:tcPr>
            <w:tcW w:w="5492" w:type="dxa"/>
            <w:gridSpan w:val="3"/>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收     入</w:t>
            </w:r>
          </w:p>
        </w:tc>
        <w:tc>
          <w:tcPr>
            <w:tcW w:w="7674" w:type="dxa"/>
            <w:gridSpan w:val="5"/>
            <w:tcBorders>
              <w:top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支     出</w:t>
            </w:r>
          </w:p>
        </w:tc>
      </w:tr>
      <w:tr>
        <w:tblPrEx>
          <w:tblLayout w:type="fixed"/>
          <w:tblCellMar>
            <w:top w:w="15" w:type="dxa"/>
            <w:left w:w="15" w:type="dxa"/>
            <w:bottom w:w="15" w:type="dxa"/>
            <w:right w:w="15" w:type="dxa"/>
          </w:tblCellMar>
        </w:tblPrEx>
        <w:trPr>
          <w:trHeight w:val="312" w:hRule="atLeast"/>
        </w:trPr>
        <w:tc>
          <w:tcPr>
            <w:tcW w:w="2477" w:type="dxa"/>
            <w:vMerge w:val="restart"/>
            <w:tcBorders>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项目</w:t>
            </w:r>
          </w:p>
        </w:tc>
        <w:tc>
          <w:tcPr>
            <w:tcW w:w="471" w:type="dxa"/>
            <w:vMerge w:val="restart"/>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行次</w:t>
            </w:r>
          </w:p>
        </w:tc>
        <w:tc>
          <w:tcPr>
            <w:tcW w:w="2544" w:type="dxa"/>
            <w:vMerge w:val="restart"/>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金额</w:t>
            </w:r>
          </w:p>
        </w:tc>
        <w:tc>
          <w:tcPr>
            <w:tcW w:w="2477" w:type="dxa"/>
            <w:vMerge w:val="restart"/>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项目</w:t>
            </w:r>
          </w:p>
        </w:tc>
        <w:tc>
          <w:tcPr>
            <w:tcW w:w="471" w:type="dxa"/>
            <w:vMerge w:val="restart"/>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行次</w:t>
            </w:r>
          </w:p>
        </w:tc>
        <w:tc>
          <w:tcPr>
            <w:tcW w:w="1375" w:type="dxa"/>
            <w:vMerge w:val="restart"/>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合计</w:t>
            </w:r>
          </w:p>
        </w:tc>
        <w:tc>
          <w:tcPr>
            <w:tcW w:w="876" w:type="dxa"/>
            <w:vMerge w:val="restart"/>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一般公共预算财政拨款</w:t>
            </w:r>
          </w:p>
        </w:tc>
        <w:tc>
          <w:tcPr>
            <w:tcW w:w="2475" w:type="dxa"/>
            <w:vMerge w:val="restart"/>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政府性基金预算财政拨款</w:t>
            </w:r>
          </w:p>
        </w:tc>
      </w:tr>
      <w:tr>
        <w:tblPrEx>
          <w:tblLayout w:type="fixed"/>
          <w:tblCellMar>
            <w:top w:w="15" w:type="dxa"/>
            <w:left w:w="15" w:type="dxa"/>
            <w:bottom w:w="15" w:type="dxa"/>
            <w:right w:w="15" w:type="dxa"/>
          </w:tblCellMar>
        </w:tblPrEx>
        <w:trPr>
          <w:trHeight w:val="615" w:hRule="atLeast"/>
        </w:trPr>
        <w:tc>
          <w:tcPr>
            <w:tcW w:w="2477" w:type="dxa"/>
            <w:vMerge w:val="continue"/>
            <w:tcBorders>
              <w:left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471"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2544"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2477"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471"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1375"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876"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2475"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栏次</w:t>
            </w:r>
          </w:p>
        </w:tc>
        <w:tc>
          <w:tcPr>
            <w:tcW w:w="471" w:type="dxa"/>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2544"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w:t>
            </w:r>
          </w:p>
        </w:tc>
        <w:tc>
          <w:tcPr>
            <w:tcW w:w="247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栏次</w:t>
            </w:r>
          </w:p>
        </w:tc>
        <w:tc>
          <w:tcPr>
            <w:tcW w:w="471" w:type="dxa"/>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1375"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w:t>
            </w:r>
          </w:p>
        </w:tc>
        <w:tc>
          <w:tcPr>
            <w:tcW w:w="876"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w:t>
            </w:r>
          </w:p>
        </w:tc>
        <w:tc>
          <w:tcPr>
            <w:tcW w:w="2475"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一、一般公共预算财政拨款</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w:t>
            </w:r>
          </w:p>
        </w:tc>
        <w:tc>
          <w:tcPr>
            <w:tcW w:w="254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152.24</w:t>
            </w:r>
          </w:p>
        </w:tc>
        <w:tc>
          <w:tcPr>
            <w:tcW w:w="2477"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一、一般公共服务支出</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28</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二、政府性基金预算财政拨款</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w:t>
            </w:r>
          </w:p>
        </w:tc>
        <w:tc>
          <w:tcPr>
            <w:tcW w:w="254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7"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二、外交支出</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29</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w:t>
            </w:r>
          </w:p>
        </w:tc>
        <w:tc>
          <w:tcPr>
            <w:tcW w:w="2544"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7"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三、国防支出</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30</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w:t>
            </w:r>
          </w:p>
        </w:tc>
        <w:tc>
          <w:tcPr>
            <w:tcW w:w="2544"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7"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四、公共安全支出</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31</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5</w:t>
            </w:r>
          </w:p>
        </w:tc>
        <w:tc>
          <w:tcPr>
            <w:tcW w:w="2544"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7"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五、教育支出</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32</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6</w:t>
            </w:r>
          </w:p>
        </w:tc>
        <w:tc>
          <w:tcPr>
            <w:tcW w:w="2544"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7"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六、科学技术支出</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33</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126.36</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126.36</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7</w:t>
            </w:r>
          </w:p>
        </w:tc>
        <w:tc>
          <w:tcPr>
            <w:tcW w:w="2544"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7"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七、文化体育与传媒支出</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34</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8</w:t>
            </w:r>
          </w:p>
        </w:tc>
        <w:tc>
          <w:tcPr>
            <w:tcW w:w="2544"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7"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八、社会保障和就业支出</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35</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20.16</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20.16</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9</w:t>
            </w:r>
          </w:p>
        </w:tc>
        <w:tc>
          <w:tcPr>
            <w:tcW w:w="2544"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7"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九、医疗卫生与计划生育支出</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36</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5.71</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5.71</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10</w:t>
            </w:r>
          </w:p>
        </w:tc>
        <w:tc>
          <w:tcPr>
            <w:tcW w:w="2544"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7"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十、节能环保支出</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37</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11</w:t>
            </w:r>
          </w:p>
        </w:tc>
        <w:tc>
          <w:tcPr>
            <w:tcW w:w="2544"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7"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十一、城乡社区支出</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38</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12</w:t>
            </w:r>
          </w:p>
        </w:tc>
        <w:tc>
          <w:tcPr>
            <w:tcW w:w="2544"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7"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十二、农林水支出</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39</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13</w:t>
            </w:r>
          </w:p>
        </w:tc>
        <w:tc>
          <w:tcPr>
            <w:tcW w:w="2544"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7"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十三、交通运输支出</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40</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14</w:t>
            </w:r>
          </w:p>
        </w:tc>
        <w:tc>
          <w:tcPr>
            <w:tcW w:w="2544"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7"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十四、资源勘探信息等支出</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41</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15</w:t>
            </w:r>
          </w:p>
        </w:tc>
        <w:tc>
          <w:tcPr>
            <w:tcW w:w="2544"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7"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十五、商业服务业等支出</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42</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16</w:t>
            </w:r>
          </w:p>
        </w:tc>
        <w:tc>
          <w:tcPr>
            <w:tcW w:w="2544"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7"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十六、金融支出</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43</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17</w:t>
            </w:r>
          </w:p>
        </w:tc>
        <w:tc>
          <w:tcPr>
            <w:tcW w:w="2544"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7"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十七、援助其他地区支出</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44</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18</w:t>
            </w:r>
          </w:p>
        </w:tc>
        <w:tc>
          <w:tcPr>
            <w:tcW w:w="2544"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7"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十八、国土海洋气象等支出</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45</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19</w:t>
            </w:r>
          </w:p>
        </w:tc>
        <w:tc>
          <w:tcPr>
            <w:tcW w:w="2544"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7"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十九、住房保障支出</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46</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20</w:t>
            </w:r>
          </w:p>
        </w:tc>
        <w:tc>
          <w:tcPr>
            <w:tcW w:w="2544"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7"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二十、粮油物资储备支出</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47</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21</w:t>
            </w:r>
          </w:p>
        </w:tc>
        <w:tc>
          <w:tcPr>
            <w:tcW w:w="2544"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7"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二十一、其他支出</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48</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b/>
                <w:color w:val="000000"/>
              </w:rPr>
            </w:pPr>
            <w:r>
              <w:rPr>
                <w:rFonts w:hint="eastAsia" w:ascii="宋体" w:hAnsi="宋体" w:cs="宋体"/>
                <w:b/>
                <w:color w:val="000000"/>
              </w:rPr>
              <w:t>本年收入合计</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22</w:t>
            </w:r>
          </w:p>
        </w:tc>
        <w:tc>
          <w:tcPr>
            <w:tcW w:w="254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152.24</w:t>
            </w:r>
          </w:p>
        </w:tc>
        <w:tc>
          <w:tcPr>
            <w:tcW w:w="247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b/>
                <w:color w:val="000000"/>
              </w:rPr>
            </w:pPr>
            <w:r>
              <w:rPr>
                <w:rFonts w:hint="eastAsia" w:ascii="宋体" w:hAnsi="宋体" w:cs="宋体"/>
                <w:b/>
                <w:color w:val="000000"/>
              </w:rPr>
              <w:t>本年支出合计</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49</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152.24</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152.24</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年初财政拨款结转和结余</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23</w:t>
            </w:r>
          </w:p>
        </w:tc>
        <w:tc>
          <w:tcPr>
            <w:tcW w:w="254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7"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年末财政拨款结转和结余</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50</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一般公共预算财政拨款</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24</w:t>
            </w:r>
          </w:p>
        </w:tc>
        <w:tc>
          <w:tcPr>
            <w:tcW w:w="254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7" w:type="dxa"/>
            <w:tcBorders>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51</w:t>
            </w:r>
          </w:p>
        </w:tc>
        <w:tc>
          <w:tcPr>
            <w:tcW w:w="1375"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876"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5"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政府性基金预算财政拨款</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25</w:t>
            </w:r>
          </w:p>
        </w:tc>
        <w:tc>
          <w:tcPr>
            <w:tcW w:w="254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2477" w:type="dxa"/>
            <w:tcBorders>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52</w:t>
            </w:r>
          </w:p>
        </w:tc>
        <w:tc>
          <w:tcPr>
            <w:tcW w:w="1375"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876"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5"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26</w:t>
            </w:r>
          </w:p>
        </w:tc>
        <w:tc>
          <w:tcPr>
            <w:tcW w:w="2544"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7" w:type="dxa"/>
            <w:tcBorders>
              <w:bottom w:val="single" w:color="000000" w:sz="4" w:space="0"/>
              <w:right w:val="single" w:color="000000" w:sz="4" w:space="0"/>
            </w:tcBorders>
            <w:shd w:val="clear" w:color="FFFFFF" w:fill="FFFFFF"/>
            <w:vAlign w:val="center"/>
          </w:tcPr>
          <w:p>
            <w:pPr>
              <w:rPr>
                <w:rFonts w:ascii="宋体" w:hAnsi="宋体" w:cs="宋体"/>
                <w:color w:val="000000"/>
              </w:rPr>
            </w:pP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53</w:t>
            </w:r>
          </w:p>
        </w:tc>
        <w:tc>
          <w:tcPr>
            <w:tcW w:w="1375"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876"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2475"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r>
      <w:tr>
        <w:tblPrEx>
          <w:tblLayout w:type="fixed"/>
          <w:tblCellMar>
            <w:top w:w="15" w:type="dxa"/>
            <w:left w:w="15" w:type="dxa"/>
            <w:bottom w:w="15" w:type="dxa"/>
            <w:right w:w="15" w:type="dxa"/>
          </w:tblCellMar>
        </w:tblPrEx>
        <w:trPr>
          <w:trHeight w:val="301" w:hRule="atLeast"/>
        </w:trPr>
        <w:tc>
          <w:tcPr>
            <w:tcW w:w="2477" w:type="dxa"/>
            <w:tcBorders>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b/>
                <w:color w:val="000000"/>
              </w:rPr>
            </w:pPr>
            <w:r>
              <w:rPr>
                <w:rFonts w:hint="eastAsia" w:ascii="宋体" w:hAnsi="宋体" w:cs="宋体"/>
                <w:b/>
                <w:color w:val="000000"/>
              </w:rPr>
              <w:t>总计</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27</w:t>
            </w:r>
          </w:p>
        </w:tc>
        <w:tc>
          <w:tcPr>
            <w:tcW w:w="254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152.24</w:t>
            </w:r>
          </w:p>
        </w:tc>
        <w:tc>
          <w:tcPr>
            <w:tcW w:w="2477"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b/>
                <w:color w:val="000000"/>
              </w:rPr>
            </w:pPr>
            <w:r>
              <w:rPr>
                <w:rFonts w:hint="eastAsia" w:ascii="宋体" w:hAnsi="宋体" w:cs="宋体"/>
                <w:b/>
                <w:color w:val="000000"/>
              </w:rPr>
              <w:t>总计</w:t>
            </w:r>
          </w:p>
        </w:tc>
        <w:tc>
          <w:tcPr>
            <w:tcW w:w="47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54</w:t>
            </w:r>
          </w:p>
        </w:tc>
        <w:tc>
          <w:tcPr>
            <w:tcW w:w="13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152.24</w:t>
            </w:r>
          </w:p>
        </w:tc>
        <w:tc>
          <w:tcPr>
            <w:tcW w:w="876"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152.24</w:t>
            </w:r>
          </w:p>
        </w:tc>
        <w:tc>
          <w:tcPr>
            <w:tcW w:w="247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13166" w:type="dxa"/>
            <w:gridSpan w:val="8"/>
            <w:shd w:val="clear" w:color="auto" w:fill="auto"/>
            <w:vAlign w:val="center"/>
          </w:tcPr>
          <w:p>
            <w:pPr>
              <w:widowControl/>
              <w:textAlignment w:val="center"/>
              <w:rPr>
                <w:rFonts w:ascii="宋体" w:hAnsi="宋体" w:cs="宋体"/>
                <w:color w:val="000000"/>
              </w:rPr>
            </w:pPr>
            <w:r>
              <w:rPr>
                <w:rFonts w:hint="eastAsia" w:ascii="宋体" w:hAnsi="宋体" w:cs="宋体"/>
                <w:color w:val="000000"/>
              </w:rPr>
              <w:t>注：本表反映部门本年度一般公共预算财政拨款和政府性基金预算财政拨款的总收支和年末结转结余情况。</w:t>
            </w:r>
          </w:p>
        </w:tc>
      </w:tr>
    </w:tbl>
    <w:p>
      <w:pPr>
        <w:rPr>
          <w:sz w:val="32"/>
          <w:szCs w:val="32"/>
        </w:rPr>
      </w:pPr>
    </w:p>
    <w:p>
      <w:pPr>
        <w:rPr>
          <w:sz w:val="32"/>
          <w:szCs w:val="32"/>
        </w:rPr>
        <w:sectPr>
          <w:pgSz w:w="16838" w:h="11906" w:orient="landscape"/>
          <w:pgMar w:top="1803" w:right="1440" w:bottom="1803" w:left="1440" w:header="720" w:footer="720" w:gutter="0"/>
          <w:paperSrc/>
          <w:pgNumType w:fmt="numberInDash"/>
          <w:cols w:space="0" w:num="1"/>
          <w:rtlGutter w:val="0"/>
          <w:docGrid w:type="lines" w:linePitch="319" w:charSpace="0"/>
        </w:sectPr>
      </w:pPr>
    </w:p>
    <w:tbl>
      <w:tblPr>
        <w:tblStyle w:val="11"/>
        <w:tblW w:w="13174" w:type="dxa"/>
        <w:tblInd w:w="0" w:type="dxa"/>
        <w:tblLayout w:type="fixed"/>
        <w:tblCellMar>
          <w:top w:w="15" w:type="dxa"/>
          <w:left w:w="15" w:type="dxa"/>
          <w:bottom w:w="15" w:type="dxa"/>
          <w:right w:w="15" w:type="dxa"/>
        </w:tblCellMar>
      </w:tblPr>
      <w:tblGrid>
        <w:gridCol w:w="686"/>
        <w:gridCol w:w="754"/>
        <w:gridCol w:w="808"/>
        <w:gridCol w:w="3931"/>
        <w:gridCol w:w="2251"/>
        <w:gridCol w:w="1519"/>
        <w:gridCol w:w="3225"/>
      </w:tblGrid>
      <w:tr>
        <w:tblPrEx>
          <w:tblLayout w:type="fixed"/>
          <w:tblCellMar>
            <w:top w:w="15" w:type="dxa"/>
            <w:left w:w="15" w:type="dxa"/>
            <w:bottom w:w="15" w:type="dxa"/>
            <w:right w:w="15" w:type="dxa"/>
          </w:tblCellMar>
        </w:tblPrEx>
        <w:trPr>
          <w:trHeight w:val="390" w:hRule="atLeast"/>
        </w:trPr>
        <w:tc>
          <w:tcPr>
            <w:tcW w:w="13174" w:type="dxa"/>
            <w:gridSpan w:val="7"/>
            <w:shd w:val="clear" w:color="auto" w:fill="auto"/>
            <w:vAlign w:val="bottom"/>
          </w:tcPr>
          <w:p>
            <w:pPr>
              <w:jc w:val="center"/>
              <w:rPr>
                <w:rFonts w:ascii="Arial" w:hAnsi="Arial" w:cs="Arial"/>
                <w:color w:val="000000"/>
                <w:sz w:val="20"/>
                <w:szCs w:val="20"/>
              </w:rPr>
            </w:pPr>
            <w:r>
              <w:rPr>
                <w:rFonts w:hint="eastAsia" w:ascii="宋体" w:hAnsi="宋体" w:cs="宋体"/>
                <w:color w:val="000000"/>
                <w:sz w:val="30"/>
                <w:szCs w:val="30"/>
              </w:rPr>
              <w:t>一般公共预算财政拨款支出决算表</w:t>
            </w:r>
          </w:p>
        </w:tc>
      </w:tr>
      <w:tr>
        <w:tblPrEx>
          <w:tblLayout w:type="fixed"/>
          <w:tblCellMar>
            <w:top w:w="15" w:type="dxa"/>
            <w:left w:w="15" w:type="dxa"/>
            <w:bottom w:w="15" w:type="dxa"/>
            <w:right w:w="15" w:type="dxa"/>
          </w:tblCellMar>
        </w:tblPrEx>
        <w:trPr>
          <w:trHeight w:val="286" w:hRule="atLeast"/>
        </w:trPr>
        <w:tc>
          <w:tcPr>
            <w:tcW w:w="686" w:type="dxa"/>
            <w:shd w:val="clear" w:color="auto" w:fill="auto"/>
            <w:vAlign w:val="bottom"/>
          </w:tcPr>
          <w:p>
            <w:pPr>
              <w:rPr>
                <w:rFonts w:ascii="Arial" w:hAnsi="Arial" w:cs="Arial"/>
                <w:color w:val="000000"/>
                <w:sz w:val="20"/>
                <w:szCs w:val="20"/>
              </w:rPr>
            </w:pPr>
          </w:p>
        </w:tc>
        <w:tc>
          <w:tcPr>
            <w:tcW w:w="754" w:type="dxa"/>
            <w:shd w:val="clear" w:color="auto" w:fill="auto"/>
            <w:vAlign w:val="bottom"/>
          </w:tcPr>
          <w:p>
            <w:pPr>
              <w:rPr>
                <w:rFonts w:ascii="Arial" w:hAnsi="Arial" w:cs="Arial"/>
                <w:color w:val="000000"/>
                <w:sz w:val="20"/>
                <w:szCs w:val="20"/>
              </w:rPr>
            </w:pPr>
          </w:p>
        </w:tc>
        <w:tc>
          <w:tcPr>
            <w:tcW w:w="808" w:type="dxa"/>
            <w:shd w:val="clear" w:color="auto" w:fill="auto"/>
            <w:vAlign w:val="bottom"/>
          </w:tcPr>
          <w:p>
            <w:pPr>
              <w:rPr>
                <w:rFonts w:ascii="Arial" w:hAnsi="Arial" w:cs="Arial"/>
                <w:color w:val="000000"/>
                <w:sz w:val="20"/>
                <w:szCs w:val="20"/>
              </w:rPr>
            </w:pPr>
          </w:p>
        </w:tc>
        <w:tc>
          <w:tcPr>
            <w:tcW w:w="3931" w:type="dxa"/>
            <w:shd w:val="clear" w:color="auto" w:fill="auto"/>
            <w:vAlign w:val="bottom"/>
          </w:tcPr>
          <w:p>
            <w:pPr>
              <w:rPr>
                <w:rFonts w:ascii="Arial" w:hAnsi="Arial" w:cs="Arial"/>
                <w:color w:val="000000"/>
                <w:sz w:val="20"/>
                <w:szCs w:val="20"/>
              </w:rPr>
            </w:pPr>
          </w:p>
        </w:tc>
        <w:tc>
          <w:tcPr>
            <w:tcW w:w="2251" w:type="dxa"/>
            <w:shd w:val="clear" w:color="auto" w:fill="auto"/>
            <w:vAlign w:val="bottom"/>
          </w:tcPr>
          <w:p>
            <w:pPr>
              <w:rPr>
                <w:rFonts w:ascii="Arial" w:hAnsi="Arial" w:cs="Arial"/>
                <w:color w:val="000000"/>
                <w:sz w:val="20"/>
                <w:szCs w:val="20"/>
              </w:rPr>
            </w:pPr>
          </w:p>
        </w:tc>
        <w:tc>
          <w:tcPr>
            <w:tcW w:w="1519" w:type="dxa"/>
            <w:shd w:val="clear" w:color="auto" w:fill="auto"/>
            <w:vAlign w:val="bottom"/>
          </w:tcPr>
          <w:p>
            <w:pPr>
              <w:rPr>
                <w:rFonts w:ascii="Arial" w:hAnsi="Arial" w:cs="Arial"/>
                <w:color w:val="000000"/>
                <w:sz w:val="20"/>
                <w:szCs w:val="20"/>
              </w:rPr>
            </w:pPr>
          </w:p>
        </w:tc>
        <w:tc>
          <w:tcPr>
            <w:tcW w:w="3225" w:type="dxa"/>
            <w:shd w:val="clear" w:color="auto" w:fill="auto"/>
            <w:vAlign w:val="bottom"/>
          </w:tcPr>
          <w:p>
            <w:pPr>
              <w:widowControl/>
              <w:jc w:val="right"/>
              <w:textAlignment w:val="bottom"/>
              <w:rPr>
                <w:rFonts w:ascii="宋体" w:hAnsi="宋体" w:cs="宋体"/>
                <w:color w:val="000000"/>
                <w:sz w:val="20"/>
                <w:szCs w:val="20"/>
              </w:rPr>
            </w:pPr>
            <w:r>
              <w:rPr>
                <w:rFonts w:hint="eastAsia" w:ascii="宋体" w:hAnsi="宋体" w:cs="宋体"/>
                <w:color w:val="000000"/>
                <w:sz w:val="20"/>
                <w:szCs w:val="20"/>
              </w:rPr>
              <w:t>公开05表</w:t>
            </w:r>
          </w:p>
        </w:tc>
      </w:tr>
      <w:tr>
        <w:tblPrEx>
          <w:tblLayout w:type="fixed"/>
          <w:tblCellMar>
            <w:top w:w="15" w:type="dxa"/>
            <w:left w:w="15" w:type="dxa"/>
            <w:bottom w:w="15" w:type="dxa"/>
            <w:right w:w="15" w:type="dxa"/>
          </w:tblCellMar>
        </w:tblPrEx>
        <w:trPr>
          <w:trHeight w:val="286" w:hRule="atLeast"/>
        </w:trPr>
        <w:tc>
          <w:tcPr>
            <w:tcW w:w="2248" w:type="dxa"/>
            <w:gridSpan w:val="3"/>
            <w:shd w:val="clear" w:color="auto" w:fill="auto"/>
            <w:vAlign w:val="bottom"/>
          </w:tcPr>
          <w:p>
            <w:pPr>
              <w:rPr>
                <w:rFonts w:ascii="Arial" w:hAnsi="Arial" w:cs="Arial"/>
                <w:color w:val="000000"/>
                <w:sz w:val="20"/>
                <w:szCs w:val="20"/>
              </w:rPr>
            </w:pPr>
            <w:r>
              <w:rPr>
                <w:rFonts w:hint="eastAsia" w:ascii="宋体" w:hAnsi="宋体" w:cs="宋体"/>
                <w:color w:val="000000"/>
                <w:sz w:val="20"/>
                <w:szCs w:val="20"/>
              </w:rPr>
              <w:t>部门：河南省周口市西华县科学技术协会</w:t>
            </w:r>
          </w:p>
        </w:tc>
        <w:tc>
          <w:tcPr>
            <w:tcW w:w="3931" w:type="dxa"/>
            <w:shd w:val="clear" w:color="auto" w:fill="auto"/>
            <w:vAlign w:val="bottom"/>
          </w:tcPr>
          <w:p>
            <w:pPr>
              <w:rPr>
                <w:rFonts w:ascii="Arial" w:hAnsi="Arial" w:cs="Arial"/>
                <w:color w:val="000000"/>
                <w:sz w:val="20"/>
                <w:szCs w:val="20"/>
              </w:rPr>
            </w:pPr>
          </w:p>
        </w:tc>
        <w:tc>
          <w:tcPr>
            <w:tcW w:w="2251" w:type="dxa"/>
            <w:shd w:val="clear" w:color="auto" w:fill="auto"/>
            <w:vAlign w:val="bottom"/>
          </w:tcPr>
          <w:p>
            <w:pPr>
              <w:rPr>
                <w:rFonts w:ascii="Arial" w:hAnsi="Arial" w:cs="Arial"/>
                <w:color w:val="000000"/>
                <w:sz w:val="20"/>
                <w:szCs w:val="20"/>
              </w:rPr>
            </w:pPr>
          </w:p>
        </w:tc>
        <w:tc>
          <w:tcPr>
            <w:tcW w:w="1519" w:type="dxa"/>
            <w:shd w:val="clear" w:color="auto" w:fill="auto"/>
            <w:vAlign w:val="bottom"/>
          </w:tcPr>
          <w:p>
            <w:pPr>
              <w:rPr>
                <w:rFonts w:ascii="Arial" w:hAnsi="Arial" w:cs="Arial"/>
                <w:color w:val="000000"/>
                <w:sz w:val="20"/>
                <w:szCs w:val="20"/>
              </w:rPr>
            </w:pPr>
          </w:p>
        </w:tc>
        <w:tc>
          <w:tcPr>
            <w:tcW w:w="3225" w:type="dxa"/>
            <w:shd w:val="clear" w:color="auto" w:fill="auto"/>
            <w:vAlign w:val="bottom"/>
          </w:tcPr>
          <w:p>
            <w:pPr>
              <w:widowControl/>
              <w:jc w:val="right"/>
              <w:textAlignment w:val="bottom"/>
              <w:rPr>
                <w:rFonts w:ascii="宋体" w:hAnsi="宋体" w:cs="宋体"/>
                <w:color w:val="000000"/>
                <w:sz w:val="20"/>
                <w:szCs w:val="20"/>
              </w:rPr>
            </w:pPr>
            <w:r>
              <w:rPr>
                <w:rFonts w:hint="eastAsia" w:ascii="宋体" w:hAnsi="宋体" w:cs="宋体"/>
                <w:color w:val="000000"/>
                <w:sz w:val="20"/>
                <w:szCs w:val="20"/>
              </w:rPr>
              <w:t>金额单位：万元</w:t>
            </w:r>
          </w:p>
        </w:tc>
      </w:tr>
      <w:tr>
        <w:tblPrEx>
          <w:tblLayout w:type="fixed"/>
          <w:tblCellMar>
            <w:top w:w="15" w:type="dxa"/>
            <w:left w:w="15" w:type="dxa"/>
            <w:bottom w:w="15" w:type="dxa"/>
            <w:right w:w="15" w:type="dxa"/>
          </w:tblCellMar>
        </w:tblPrEx>
        <w:trPr>
          <w:trHeight w:val="301" w:hRule="atLeast"/>
        </w:trPr>
        <w:tc>
          <w:tcPr>
            <w:tcW w:w="6179" w:type="dxa"/>
            <w:gridSpan w:val="4"/>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项目</w:t>
            </w:r>
          </w:p>
        </w:tc>
        <w:tc>
          <w:tcPr>
            <w:tcW w:w="6995" w:type="dxa"/>
            <w:gridSpan w:val="3"/>
            <w:tcBorders>
              <w:top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本年支出</w:t>
            </w:r>
          </w:p>
        </w:tc>
      </w:tr>
      <w:tr>
        <w:tblPrEx>
          <w:tblLayout w:type="fixed"/>
          <w:tblCellMar>
            <w:top w:w="15" w:type="dxa"/>
            <w:left w:w="15" w:type="dxa"/>
            <w:bottom w:w="15" w:type="dxa"/>
            <w:right w:w="15" w:type="dxa"/>
          </w:tblCellMar>
        </w:tblPrEx>
        <w:trPr>
          <w:trHeight w:val="312" w:hRule="atLeast"/>
        </w:trPr>
        <w:tc>
          <w:tcPr>
            <w:tcW w:w="2248" w:type="dxa"/>
            <w:gridSpan w:val="3"/>
            <w:vMerge w:val="restart"/>
            <w:tcBorders>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功能分类科目编码</w:t>
            </w:r>
          </w:p>
        </w:tc>
        <w:tc>
          <w:tcPr>
            <w:tcW w:w="3931" w:type="dxa"/>
            <w:vMerge w:val="restart"/>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科目名称</w:t>
            </w:r>
          </w:p>
        </w:tc>
        <w:tc>
          <w:tcPr>
            <w:tcW w:w="2251" w:type="dxa"/>
            <w:vMerge w:val="restart"/>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小计</w:t>
            </w:r>
          </w:p>
        </w:tc>
        <w:tc>
          <w:tcPr>
            <w:tcW w:w="1519" w:type="dxa"/>
            <w:vMerge w:val="restart"/>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基本支出</w:t>
            </w:r>
          </w:p>
        </w:tc>
        <w:tc>
          <w:tcPr>
            <w:tcW w:w="3225" w:type="dxa"/>
            <w:vMerge w:val="restart"/>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项目支出</w:t>
            </w:r>
          </w:p>
        </w:tc>
      </w:tr>
      <w:tr>
        <w:tblPrEx>
          <w:tblLayout w:type="fixed"/>
          <w:tblCellMar>
            <w:top w:w="15" w:type="dxa"/>
            <w:left w:w="15" w:type="dxa"/>
            <w:bottom w:w="15" w:type="dxa"/>
            <w:right w:w="15" w:type="dxa"/>
          </w:tblCellMar>
        </w:tblPrEx>
        <w:trPr>
          <w:trHeight w:val="312" w:hRule="atLeast"/>
        </w:trPr>
        <w:tc>
          <w:tcPr>
            <w:tcW w:w="2248" w:type="dxa"/>
            <w:gridSpan w:val="3"/>
            <w:vMerge w:val="continue"/>
            <w:tcBorders>
              <w:left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3931"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2251"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1519"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3225"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r>
      <w:tr>
        <w:tblPrEx>
          <w:tblLayout w:type="fixed"/>
          <w:tblCellMar>
            <w:top w:w="15" w:type="dxa"/>
            <w:left w:w="15" w:type="dxa"/>
            <w:bottom w:w="15" w:type="dxa"/>
            <w:right w:w="15" w:type="dxa"/>
          </w:tblCellMar>
        </w:tblPrEx>
        <w:trPr>
          <w:trHeight w:val="312" w:hRule="atLeast"/>
        </w:trPr>
        <w:tc>
          <w:tcPr>
            <w:tcW w:w="2248" w:type="dxa"/>
            <w:gridSpan w:val="3"/>
            <w:vMerge w:val="continue"/>
            <w:tcBorders>
              <w:left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3931"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2251"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1519"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3225"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r>
      <w:tr>
        <w:tblPrEx>
          <w:tblLayout w:type="fixed"/>
          <w:tblCellMar>
            <w:top w:w="15" w:type="dxa"/>
            <w:left w:w="15" w:type="dxa"/>
            <w:bottom w:w="15" w:type="dxa"/>
            <w:right w:w="15" w:type="dxa"/>
          </w:tblCellMar>
        </w:tblPrEx>
        <w:trPr>
          <w:trHeight w:val="301" w:hRule="atLeast"/>
        </w:trPr>
        <w:tc>
          <w:tcPr>
            <w:tcW w:w="6179" w:type="dxa"/>
            <w:gridSpan w:val="4"/>
            <w:tcBorders>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栏次</w:t>
            </w:r>
          </w:p>
        </w:tc>
        <w:tc>
          <w:tcPr>
            <w:tcW w:w="2251"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1</w:t>
            </w:r>
          </w:p>
        </w:tc>
        <w:tc>
          <w:tcPr>
            <w:tcW w:w="1519"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2</w:t>
            </w:r>
          </w:p>
        </w:tc>
        <w:tc>
          <w:tcPr>
            <w:tcW w:w="3225" w:type="dxa"/>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3</w:t>
            </w:r>
          </w:p>
        </w:tc>
      </w:tr>
      <w:tr>
        <w:tblPrEx>
          <w:tblLayout w:type="fixed"/>
          <w:tblCellMar>
            <w:top w:w="15" w:type="dxa"/>
            <w:left w:w="15" w:type="dxa"/>
            <w:bottom w:w="15" w:type="dxa"/>
            <w:right w:w="15" w:type="dxa"/>
          </w:tblCellMar>
        </w:tblPrEx>
        <w:trPr>
          <w:trHeight w:val="301" w:hRule="atLeast"/>
        </w:trPr>
        <w:tc>
          <w:tcPr>
            <w:tcW w:w="6179" w:type="dxa"/>
            <w:gridSpan w:val="4"/>
            <w:tcBorders>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合计</w:t>
            </w:r>
          </w:p>
        </w:tc>
        <w:tc>
          <w:tcPr>
            <w:tcW w:w="225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b/>
                <w:color w:val="000000"/>
              </w:rPr>
            </w:pPr>
            <w:r>
              <w:rPr>
                <w:rFonts w:hint="eastAsia" w:ascii="宋体" w:hAnsi="宋体" w:cs="宋体"/>
                <w:b/>
                <w:color w:val="000000"/>
              </w:rPr>
              <w:t>152.24</w:t>
            </w:r>
          </w:p>
        </w:tc>
        <w:tc>
          <w:tcPr>
            <w:tcW w:w="151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b/>
                <w:color w:val="000000"/>
              </w:rPr>
            </w:pPr>
            <w:r>
              <w:rPr>
                <w:rFonts w:hint="eastAsia" w:ascii="宋体" w:hAnsi="宋体" w:cs="宋体"/>
                <w:b/>
                <w:color w:val="000000"/>
              </w:rPr>
              <w:t>152.24</w:t>
            </w:r>
          </w:p>
        </w:tc>
        <w:tc>
          <w:tcPr>
            <w:tcW w:w="322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b/>
                <w:color w:val="000000"/>
              </w:rPr>
            </w:pPr>
            <w:r>
              <w:rPr>
                <w:rFonts w:hint="eastAsia" w:ascii="宋体" w:hAnsi="宋体" w:cs="宋体"/>
                <w:b/>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206</w:t>
            </w:r>
          </w:p>
        </w:tc>
        <w:tc>
          <w:tcPr>
            <w:tcW w:w="3931" w:type="dxa"/>
            <w:tcBorders>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科学技术支出</w:t>
            </w:r>
          </w:p>
        </w:tc>
        <w:tc>
          <w:tcPr>
            <w:tcW w:w="225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126.36</w:t>
            </w:r>
          </w:p>
        </w:tc>
        <w:tc>
          <w:tcPr>
            <w:tcW w:w="151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126.36</w:t>
            </w:r>
          </w:p>
        </w:tc>
        <w:tc>
          <w:tcPr>
            <w:tcW w:w="322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20601</w:t>
            </w:r>
          </w:p>
        </w:tc>
        <w:tc>
          <w:tcPr>
            <w:tcW w:w="3931" w:type="dxa"/>
            <w:tcBorders>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科学技术管理事务</w:t>
            </w:r>
          </w:p>
        </w:tc>
        <w:tc>
          <w:tcPr>
            <w:tcW w:w="225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18.49</w:t>
            </w:r>
          </w:p>
        </w:tc>
        <w:tc>
          <w:tcPr>
            <w:tcW w:w="151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18.49</w:t>
            </w:r>
          </w:p>
        </w:tc>
        <w:tc>
          <w:tcPr>
            <w:tcW w:w="322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2060101</w:t>
            </w:r>
          </w:p>
        </w:tc>
        <w:tc>
          <w:tcPr>
            <w:tcW w:w="3931" w:type="dxa"/>
            <w:tcBorders>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 xml:space="preserve">  行政运行</w:t>
            </w:r>
          </w:p>
        </w:tc>
        <w:tc>
          <w:tcPr>
            <w:tcW w:w="225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18.49</w:t>
            </w:r>
          </w:p>
        </w:tc>
        <w:tc>
          <w:tcPr>
            <w:tcW w:w="151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18.49</w:t>
            </w:r>
          </w:p>
        </w:tc>
        <w:tc>
          <w:tcPr>
            <w:tcW w:w="322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20607</w:t>
            </w:r>
          </w:p>
        </w:tc>
        <w:tc>
          <w:tcPr>
            <w:tcW w:w="3931" w:type="dxa"/>
            <w:tcBorders>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科学技术普及</w:t>
            </w:r>
          </w:p>
        </w:tc>
        <w:tc>
          <w:tcPr>
            <w:tcW w:w="225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107.88</w:t>
            </w:r>
          </w:p>
        </w:tc>
        <w:tc>
          <w:tcPr>
            <w:tcW w:w="151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107.88</w:t>
            </w:r>
          </w:p>
        </w:tc>
        <w:tc>
          <w:tcPr>
            <w:tcW w:w="322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2060701</w:t>
            </w:r>
          </w:p>
        </w:tc>
        <w:tc>
          <w:tcPr>
            <w:tcW w:w="3931" w:type="dxa"/>
            <w:tcBorders>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 xml:space="preserve">  机构运行</w:t>
            </w:r>
          </w:p>
        </w:tc>
        <w:tc>
          <w:tcPr>
            <w:tcW w:w="225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94.95</w:t>
            </w:r>
          </w:p>
        </w:tc>
        <w:tc>
          <w:tcPr>
            <w:tcW w:w="151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94.95</w:t>
            </w:r>
          </w:p>
        </w:tc>
        <w:tc>
          <w:tcPr>
            <w:tcW w:w="322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2060702</w:t>
            </w:r>
          </w:p>
        </w:tc>
        <w:tc>
          <w:tcPr>
            <w:tcW w:w="3931" w:type="dxa"/>
            <w:tcBorders>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 xml:space="preserve">  科普活动</w:t>
            </w:r>
          </w:p>
        </w:tc>
        <w:tc>
          <w:tcPr>
            <w:tcW w:w="225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12.92</w:t>
            </w:r>
          </w:p>
        </w:tc>
        <w:tc>
          <w:tcPr>
            <w:tcW w:w="151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12.92</w:t>
            </w:r>
          </w:p>
        </w:tc>
        <w:tc>
          <w:tcPr>
            <w:tcW w:w="322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208</w:t>
            </w:r>
          </w:p>
        </w:tc>
        <w:tc>
          <w:tcPr>
            <w:tcW w:w="3931" w:type="dxa"/>
            <w:tcBorders>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社会保障和就业支出</w:t>
            </w:r>
          </w:p>
        </w:tc>
        <w:tc>
          <w:tcPr>
            <w:tcW w:w="225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20.16</w:t>
            </w:r>
          </w:p>
        </w:tc>
        <w:tc>
          <w:tcPr>
            <w:tcW w:w="151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20.16</w:t>
            </w:r>
          </w:p>
        </w:tc>
        <w:tc>
          <w:tcPr>
            <w:tcW w:w="322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20805</w:t>
            </w:r>
          </w:p>
        </w:tc>
        <w:tc>
          <w:tcPr>
            <w:tcW w:w="3931" w:type="dxa"/>
            <w:tcBorders>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行政事业单位离退休</w:t>
            </w:r>
          </w:p>
        </w:tc>
        <w:tc>
          <w:tcPr>
            <w:tcW w:w="225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19.51</w:t>
            </w:r>
          </w:p>
        </w:tc>
        <w:tc>
          <w:tcPr>
            <w:tcW w:w="151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19.51</w:t>
            </w:r>
          </w:p>
        </w:tc>
        <w:tc>
          <w:tcPr>
            <w:tcW w:w="322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2080502</w:t>
            </w:r>
          </w:p>
        </w:tc>
        <w:tc>
          <w:tcPr>
            <w:tcW w:w="3931" w:type="dxa"/>
            <w:tcBorders>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 xml:space="preserve">  事业单位离退休</w:t>
            </w:r>
          </w:p>
        </w:tc>
        <w:tc>
          <w:tcPr>
            <w:tcW w:w="225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9.46</w:t>
            </w:r>
          </w:p>
        </w:tc>
        <w:tc>
          <w:tcPr>
            <w:tcW w:w="151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9.46</w:t>
            </w:r>
          </w:p>
        </w:tc>
        <w:tc>
          <w:tcPr>
            <w:tcW w:w="322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2080505</w:t>
            </w:r>
          </w:p>
        </w:tc>
        <w:tc>
          <w:tcPr>
            <w:tcW w:w="3931" w:type="dxa"/>
            <w:tcBorders>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 xml:space="preserve">  机关事业单位基本养老保险缴费支出</w:t>
            </w:r>
          </w:p>
        </w:tc>
        <w:tc>
          <w:tcPr>
            <w:tcW w:w="225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10.05</w:t>
            </w:r>
          </w:p>
        </w:tc>
        <w:tc>
          <w:tcPr>
            <w:tcW w:w="151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10.05</w:t>
            </w:r>
          </w:p>
        </w:tc>
        <w:tc>
          <w:tcPr>
            <w:tcW w:w="322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20899</w:t>
            </w:r>
          </w:p>
        </w:tc>
        <w:tc>
          <w:tcPr>
            <w:tcW w:w="3931" w:type="dxa"/>
            <w:tcBorders>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其他社会保障和就业支出</w:t>
            </w:r>
          </w:p>
        </w:tc>
        <w:tc>
          <w:tcPr>
            <w:tcW w:w="225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0.66</w:t>
            </w:r>
          </w:p>
        </w:tc>
        <w:tc>
          <w:tcPr>
            <w:tcW w:w="151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0.66</w:t>
            </w:r>
          </w:p>
        </w:tc>
        <w:tc>
          <w:tcPr>
            <w:tcW w:w="322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2089901</w:t>
            </w:r>
          </w:p>
        </w:tc>
        <w:tc>
          <w:tcPr>
            <w:tcW w:w="3931" w:type="dxa"/>
            <w:tcBorders>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 xml:space="preserve">  其他社会保障和就业支出</w:t>
            </w:r>
          </w:p>
        </w:tc>
        <w:tc>
          <w:tcPr>
            <w:tcW w:w="225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0.66</w:t>
            </w:r>
          </w:p>
        </w:tc>
        <w:tc>
          <w:tcPr>
            <w:tcW w:w="151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0.66</w:t>
            </w:r>
          </w:p>
        </w:tc>
        <w:tc>
          <w:tcPr>
            <w:tcW w:w="322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210</w:t>
            </w:r>
          </w:p>
        </w:tc>
        <w:tc>
          <w:tcPr>
            <w:tcW w:w="3931" w:type="dxa"/>
            <w:tcBorders>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医疗卫生与计划生育支出</w:t>
            </w:r>
          </w:p>
        </w:tc>
        <w:tc>
          <w:tcPr>
            <w:tcW w:w="225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5.71</w:t>
            </w:r>
          </w:p>
        </w:tc>
        <w:tc>
          <w:tcPr>
            <w:tcW w:w="151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5.71</w:t>
            </w:r>
          </w:p>
        </w:tc>
        <w:tc>
          <w:tcPr>
            <w:tcW w:w="322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21011</w:t>
            </w:r>
          </w:p>
        </w:tc>
        <w:tc>
          <w:tcPr>
            <w:tcW w:w="3931" w:type="dxa"/>
            <w:tcBorders>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行政事业单位医疗</w:t>
            </w:r>
          </w:p>
        </w:tc>
        <w:tc>
          <w:tcPr>
            <w:tcW w:w="225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5.71</w:t>
            </w:r>
          </w:p>
        </w:tc>
        <w:tc>
          <w:tcPr>
            <w:tcW w:w="151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5.71</w:t>
            </w:r>
          </w:p>
        </w:tc>
        <w:tc>
          <w:tcPr>
            <w:tcW w:w="322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2101102</w:t>
            </w:r>
          </w:p>
        </w:tc>
        <w:tc>
          <w:tcPr>
            <w:tcW w:w="3931" w:type="dxa"/>
            <w:tcBorders>
              <w:bottom w:val="single" w:color="000000" w:sz="4" w:space="0"/>
              <w:right w:val="single" w:color="000000" w:sz="4" w:space="0"/>
            </w:tcBorders>
            <w:shd w:val="clear" w:color="auto" w:fill="FFFFFF"/>
            <w:vAlign w:val="center"/>
          </w:tcPr>
          <w:p>
            <w:pPr>
              <w:widowControl/>
              <w:textAlignment w:val="center"/>
              <w:rPr>
                <w:rFonts w:ascii="宋体" w:hAnsi="宋体" w:cs="宋体"/>
                <w:color w:val="000000"/>
              </w:rPr>
            </w:pPr>
            <w:r>
              <w:rPr>
                <w:rFonts w:hint="eastAsia" w:ascii="宋体" w:hAnsi="宋体" w:cs="宋体"/>
                <w:color w:val="000000"/>
              </w:rPr>
              <w:t xml:space="preserve">  事业单位医疗</w:t>
            </w:r>
          </w:p>
        </w:tc>
        <w:tc>
          <w:tcPr>
            <w:tcW w:w="2251"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5.71</w:t>
            </w:r>
          </w:p>
        </w:tc>
        <w:tc>
          <w:tcPr>
            <w:tcW w:w="151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5.71</w:t>
            </w:r>
          </w:p>
        </w:tc>
        <w:tc>
          <w:tcPr>
            <w:tcW w:w="3225"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13174" w:type="dxa"/>
            <w:gridSpan w:val="7"/>
            <w:shd w:val="clear" w:color="auto" w:fill="auto"/>
            <w:vAlign w:val="center"/>
          </w:tcPr>
          <w:p>
            <w:pPr>
              <w:widowControl/>
              <w:textAlignment w:val="center"/>
              <w:rPr>
                <w:rFonts w:ascii="宋体" w:hAnsi="宋体" w:cs="宋体"/>
                <w:color w:val="000000"/>
              </w:rPr>
            </w:pPr>
            <w:r>
              <w:rPr>
                <w:rFonts w:hint="eastAsia" w:ascii="宋体" w:hAnsi="宋体" w:cs="宋体"/>
                <w:color w:val="000000"/>
              </w:rPr>
              <w:t>注：本表反映部门本年度一般公共预算财政拨款支出情况。</w:t>
            </w:r>
          </w:p>
        </w:tc>
      </w:tr>
    </w:tbl>
    <w:tbl>
      <w:tblPr>
        <w:tblStyle w:val="11"/>
        <w:tblpPr w:leftFromText="180" w:rightFromText="180" w:vertAnchor="text" w:horzAnchor="page" w:tblpX="1565" w:tblpY="1900"/>
        <w:tblOverlap w:val="never"/>
        <w:tblW w:w="12803" w:type="dxa"/>
        <w:tblInd w:w="0" w:type="dxa"/>
        <w:tblLayout w:type="fixed"/>
        <w:tblCellMar>
          <w:top w:w="15" w:type="dxa"/>
          <w:left w:w="15" w:type="dxa"/>
          <w:bottom w:w="15" w:type="dxa"/>
          <w:right w:w="15" w:type="dxa"/>
        </w:tblCellMar>
      </w:tblPr>
      <w:tblGrid>
        <w:gridCol w:w="839"/>
        <w:gridCol w:w="2310"/>
        <w:gridCol w:w="1154"/>
        <w:gridCol w:w="839"/>
        <w:gridCol w:w="2145"/>
        <w:gridCol w:w="868"/>
        <w:gridCol w:w="839"/>
        <w:gridCol w:w="2610"/>
        <w:gridCol w:w="1199"/>
      </w:tblGrid>
      <w:tr>
        <w:tblPrEx>
          <w:tblLayout w:type="fixed"/>
          <w:tblCellMar>
            <w:top w:w="15" w:type="dxa"/>
            <w:left w:w="15" w:type="dxa"/>
            <w:bottom w:w="15" w:type="dxa"/>
            <w:right w:w="15" w:type="dxa"/>
          </w:tblCellMar>
        </w:tblPrEx>
        <w:trPr>
          <w:trHeight w:val="390" w:hRule="atLeast"/>
        </w:trPr>
        <w:tc>
          <w:tcPr>
            <w:tcW w:w="12803" w:type="dxa"/>
            <w:gridSpan w:val="9"/>
            <w:shd w:val="clear" w:color="auto" w:fill="auto"/>
            <w:vAlign w:val="bottom"/>
          </w:tcPr>
          <w:p>
            <w:pPr>
              <w:jc w:val="center"/>
              <w:rPr>
                <w:rFonts w:ascii="Arial" w:hAnsi="Arial" w:cs="Arial"/>
                <w:color w:val="000000"/>
                <w:sz w:val="20"/>
                <w:szCs w:val="20"/>
              </w:rPr>
            </w:pPr>
            <w:r>
              <w:rPr>
                <w:rFonts w:hint="eastAsia" w:ascii="宋体" w:hAnsi="宋体" w:cs="宋体"/>
                <w:color w:val="000000"/>
                <w:sz w:val="30"/>
                <w:szCs w:val="30"/>
              </w:rPr>
              <w:t>一般公共预算财政拨款基本支出决算表</w:t>
            </w:r>
          </w:p>
        </w:tc>
      </w:tr>
      <w:tr>
        <w:tblPrEx>
          <w:tblLayout w:type="fixed"/>
          <w:tblCellMar>
            <w:top w:w="15" w:type="dxa"/>
            <w:left w:w="15" w:type="dxa"/>
            <w:bottom w:w="15" w:type="dxa"/>
            <w:right w:w="15" w:type="dxa"/>
          </w:tblCellMar>
        </w:tblPrEx>
        <w:trPr>
          <w:trHeight w:val="286" w:hRule="atLeast"/>
        </w:trPr>
        <w:tc>
          <w:tcPr>
            <w:tcW w:w="839" w:type="dxa"/>
            <w:shd w:val="clear" w:color="auto" w:fill="auto"/>
            <w:vAlign w:val="bottom"/>
          </w:tcPr>
          <w:p>
            <w:pPr>
              <w:rPr>
                <w:rFonts w:ascii="Arial" w:hAnsi="Arial" w:cs="Arial"/>
                <w:color w:val="000000"/>
                <w:sz w:val="20"/>
                <w:szCs w:val="20"/>
              </w:rPr>
            </w:pPr>
          </w:p>
        </w:tc>
        <w:tc>
          <w:tcPr>
            <w:tcW w:w="2310" w:type="dxa"/>
            <w:shd w:val="clear" w:color="auto" w:fill="auto"/>
            <w:vAlign w:val="bottom"/>
          </w:tcPr>
          <w:p>
            <w:pPr>
              <w:rPr>
                <w:rFonts w:ascii="Arial" w:hAnsi="Arial" w:cs="Arial"/>
                <w:color w:val="000000"/>
                <w:sz w:val="20"/>
                <w:szCs w:val="20"/>
              </w:rPr>
            </w:pPr>
          </w:p>
        </w:tc>
        <w:tc>
          <w:tcPr>
            <w:tcW w:w="1154" w:type="dxa"/>
            <w:shd w:val="clear" w:color="auto" w:fill="auto"/>
            <w:vAlign w:val="bottom"/>
          </w:tcPr>
          <w:p>
            <w:pPr>
              <w:rPr>
                <w:rFonts w:ascii="Arial" w:hAnsi="Arial" w:cs="Arial"/>
                <w:color w:val="000000"/>
                <w:sz w:val="20"/>
                <w:szCs w:val="20"/>
              </w:rPr>
            </w:pPr>
          </w:p>
        </w:tc>
        <w:tc>
          <w:tcPr>
            <w:tcW w:w="839" w:type="dxa"/>
            <w:shd w:val="clear" w:color="auto" w:fill="auto"/>
            <w:vAlign w:val="bottom"/>
          </w:tcPr>
          <w:p>
            <w:pPr>
              <w:rPr>
                <w:rFonts w:ascii="Arial" w:hAnsi="Arial" w:cs="Arial"/>
                <w:color w:val="000000"/>
                <w:sz w:val="20"/>
                <w:szCs w:val="20"/>
              </w:rPr>
            </w:pPr>
          </w:p>
        </w:tc>
        <w:tc>
          <w:tcPr>
            <w:tcW w:w="2145" w:type="dxa"/>
            <w:shd w:val="clear" w:color="auto" w:fill="auto"/>
            <w:vAlign w:val="bottom"/>
          </w:tcPr>
          <w:p>
            <w:pPr>
              <w:rPr>
                <w:rFonts w:ascii="Arial" w:hAnsi="Arial" w:cs="Arial"/>
                <w:color w:val="000000"/>
                <w:sz w:val="20"/>
                <w:szCs w:val="20"/>
              </w:rPr>
            </w:pPr>
          </w:p>
        </w:tc>
        <w:tc>
          <w:tcPr>
            <w:tcW w:w="868" w:type="dxa"/>
            <w:shd w:val="clear" w:color="auto" w:fill="auto"/>
            <w:vAlign w:val="bottom"/>
          </w:tcPr>
          <w:p>
            <w:pPr>
              <w:rPr>
                <w:rFonts w:ascii="Arial" w:hAnsi="Arial" w:cs="Arial"/>
                <w:color w:val="000000"/>
                <w:sz w:val="20"/>
                <w:szCs w:val="20"/>
              </w:rPr>
            </w:pPr>
          </w:p>
        </w:tc>
        <w:tc>
          <w:tcPr>
            <w:tcW w:w="839" w:type="dxa"/>
            <w:shd w:val="clear" w:color="auto" w:fill="auto"/>
            <w:vAlign w:val="bottom"/>
          </w:tcPr>
          <w:p>
            <w:pPr>
              <w:rPr>
                <w:rFonts w:ascii="Arial" w:hAnsi="Arial" w:cs="Arial"/>
                <w:color w:val="000000"/>
                <w:sz w:val="20"/>
                <w:szCs w:val="20"/>
              </w:rPr>
            </w:pPr>
          </w:p>
        </w:tc>
        <w:tc>
          <w:tcPr>
            <w:tcW w:w="2610" w:type="dxa"/>
            <w:shd w:val="clear" w:color="auto" w:fill="auto"/>
            <w:vAlign w:val="bottom"/>
          </w:tcPr>
          <w:p>
            <w:pPr>
              <w:rPr>
                <w:rFonts w:ascii="Arial" w:hAnsi="Arial" w:cs="Arial"/>
                <w:color w:val="000000"/>
                <w:sz w:val="20"/>
                <w:szCs w:val="20"/>
              </w:rPr>
            </w:pPr>
          </w:p>
        </w:tc>
        <w:tc>
          <w:tcPr>
            <w:tcW w:w="1199" w:type="dxa"/>
            <w:shd w:val="clear" w:color="auto" w:fill="auto"/>
            <w:vAlign w:val="bottom"/>
          </w:tcPr>
          <w:p>
            <w:pPr>
              <w:widowControl/>
              <w:jc w:val="right"/>
              <w:textAlignment w:val="bottom"/>
              <w:rPr>
                <w:rFonts w:ascii="宋体" w:hAnsi="宋体" w:cs="宋体"/>
                <w:color w:val="000000"/>
                <w:sz w:val="20"/>
                <w:szCs w:val="20"/>
              </w:rPr>
            </w:pPr>
            <w:r>
              <w:rPr>
                <w:rFonts w:hint="eastAsia" w:ascii="宋体" w:hAnsi="宋体" w:cs="宋体"/>
                <w:color w:val="000000"/>
                <w:sz w:val="20"/>
                <w:szCs w:val="20"/>
              </w:rPr>
              <w:t>公开06表</w:t>
            </w:r>
          </w:p>
        </w:tc>
      </w:tr>
      <w:tr>
        <w:tblPrEx>
          <w:tblLayout w:type="fixed"/>
          <w:tblCellMar>
            <w:top w:w="15" w:type="dxa"/>
            <w:left w:w="15" w:type="dxa"/>
            <w:bottom w:w="15" w:type="dxa"/>
            <w:right w:w="15" w:type="dxa"/>
          </w:tblCellMar>
        </w:tblPrEx>
        <w:trPr>
          <w:trHeight w:val="286" w:hRule="atLeast"/>
        </w:trPr>
        <w:tc>
          <w:tcPr>
            <w:tcW w:w="3149" w:type="dxa"/>
            <w:gridSpan w:val="2"/>
            <w:shd w:val="clear" w:color="auto" w:fill="auto"/>
            <w:vAlign w:val="bottom"/>
          </w:tcPr>
          <w:p>
            <w:pPr>
              <w:rPr>
                <w:rFonts w:ascii="Arial" w:hAnsi="Arial" w:cs="Arial"/>
                <w:color w:val="000000"/>
                <w:sz w:val="20"/>
                <w:szCs w:val="20"/>
              </w:rPr>
            </w:pPr>
            <w:r>
              <w:rPr>
                <w:rFonts w:hint="eastAsia" w:ascii="宋体" w:hAnsi="宋体" w:cs="宋体"/>
                <w:color w:val="000000"/>
                <w:sz w:val="20"/>
                <w:szCs w:val="20"/>
              </w:rPr>
              <w:t>部门：河南省周口市西华县科学技术协会</w:t>
            </w:r>
          </w:p>
        </w:tc>
        <w:tc>
          <w:tcPr>
            <w:tcW w:w="1154" w:type="dxa"/>
            <w:shd w:val="clear" w:color="auto" w:fill="auto"/>
            <w:vAlign w:val="bottom"/>
          </w:tcPr>
          <w:p>
            <w:pPr>
              <w:rPr>
                <w:rFonts w:ascii="Arial" w:hAnsi="Arial" w:cs="Arial"/>
                <w:color w:val="000000"/>
                <w:sz w:val="20"/>
                <w:szCs w:val="20"/>
              </w:rPr>
            </w:pPr>
          </w:p>
        </w:tc>
        <w:tc>
          <w:tcPr>
            <w:tcW w:w="839" w:type="dxa"/>
            <w:shd w:val="clear" w:color="auto" w:fill="auto"/>
            <w:vAlign w:val="bottom"/>
          </w:tcPr>
          <w:p>
            <w:pPr>
              <w:rPr>
                <w:rFonts w:ascii="Arial" w:hAnsi="Arial" w:cs="Arial"/>
                <w:color w:val="000000"/>
                <w:sz w:val="20"/>
                <w:szCs w:val="20"/>
              </w:rPr>
            </w:pPr>
          </w:p>
        </w:tc>
        <w:tc>
          <w:tcPr>
            <w:tcW w:w="2145" w:type="dxa"/>
            <w:shd w:val="clear" w:color="auto" w:fill="auto"/>
            <w:vAlign w:val="bottom"/>
          </w:tcPr>
          <w:p>
            <w:pPr>
              <w:rPr>
                <w:rFonts w:ascii="Arial" w:hAnsi="Arial" w:cs="Arial"/>
                <w:color w:val="000000"/>
                <w:sz w:val="20"/>
                <w:szCs w:val="20"/>
              </w:rPr>
            </w:pPr>
          </w:p>
        </w:tc>
        <w:tc>
          <w:tcPr>
            <w:tcW w:w="868" w:type="dxa"/>
            <w:shd w:val="clear" w:color="auto" w:fill="auto"/>
            <w:vAlign w:val="bottom"/>
          </w:tcPr>
          <w:p>
            <w:pPr>
              <w:rPr>
                <w:rFonts w:ascii="Arial" w:hAnsi="Arial" w:cs="Arial"/>
                <w:color w:val="000000"/>
                <w:sz w:val="20"/>
                <w:szCs w:val="20"/>
              </w:rPr>
            </w:pPr>
          </w:p>
        </w:tc>
        <w:tc>
          <w:tcPr>
            <w:tcW w:w="839" w:type="dxa"/>
            <w:shd w:val="clear" w:color="auto" w:fill="auto"/>
            <w:vAlign w:val="bottom"/>
          </w:tcPr>
          <w:p>
            <w:pPr>
              <w:rPr>
                <w:rFonts w:ascii="Arial" w:hAnsi="Arial" w:cs="Arial"/>
                <w:color w:val="000000"/>
                <w:sz w:val="20"/>
                <w:szCs w:val="20"/>
              </w:rPr>
            </w:pPr>
          </w:p>
        </w:tc>
        <w:tc>
          <w:tcPr>
            <w:tcW w:w="2610" w:type="dxa"/>
            <w:shd w:val="clear" w:color="auto" w:fill="auto"/>
            <w:vAlign w:val="bottom"/>
          </w:tcPr>
          <w:p>
            <w:pPr>
              <w:rPr>
                <w:rFonts w:ascii="Arial" w:hAnsi="Arial" w:cs="Arial"/>
                <w:color w:val="000000"/>
                <w:sz w:val="20"/>
                <w:szCs w:val="20"/>
              </w:rPr>
            </w:pPr>
          </w:p>
        </w:tc>
        <w:tc>
          <w:tcPr>
            <w:tcW w:w="1199" w:type="dxa"/>
            <w:shd w:val="clear" w:color="auto" w:fill="auto"/>
            <w:vAlign w:val="bottom"/>
          </w:tcPr>
          <w:p>
            <w:pPr>
              <w:widowControl/>
              <w:jc w:val="right"/>
              <w:textAlignment w:val="bottom"/>
              <w:rPr>
                <w:rFonts w:ascii="宋体" w:hAnsi="宋体" w:cs="宋体"/>
                <w:color w:val="000000"/>
                <w:sz w:val="20"/>
                <w:szCs w:val="20"/>
              </w:rPr>
            </w:pPr>
            <w:r>
              <w:rPr>
                <w:rFonts w:hint="eastAsia" w:ascii="宋体" w:hAnsi="宋体" w:cs="宋体"/>
                <w:color w:val="000000"/>
                <w:sz w:val="20"/>
                <w:szCs w:val="20"/>
              </w:rPr>
              <w:t>金额单位：万元</w:t>
            </w:r>
          </w:p>
        </w:tc>
      </w:tr>
      <w:tr>
        <w:tblPrEx>
          <w:tblLayout w:type="fixed"/>
          <w:tblCellMar>
            <w:top w:w="15" w:type="dxa"/>
            <w:left w:w="15" w:type="dxa"/>
            <w:bottom w:w="15" w:type="dxa"/>
            <w:right w:w="15" w:type="dxa"/>
          </w:tblCellMar>
        </w:tblPrEx>
        <w:trPr>
          <w:trHeight w:val="301" w:hRule="atLeast"/>
        </w:trPr>
        <w:tc>
          <w:tcPr>
            <w:tcW w:w="4303" w:type="dxa"/>
            <w:gridSpan w:val="3"/>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人员经费</w:t>
            </w:r>
          </w:p>
        </w:tc>
        <w:tc>
          <w:tcPr>
            <w:tcW w:w="8500" w:type="dxa"/>
            <w:gridSpan w:val="6"/>
            <w:tcBorders>
              <w:top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公用经费</w:t>
            </w:r>
          </w:p>
        </w:tc>
      </w:tr>
      <w:tr>
        <w:tblPrEx>
          <w:tblLayout w:type="fixed"/>
          <w:tblCellMar>
            <w:top w:w="15" w:type="dxa"/>
            <w:left w:w="15" w:type="dxa"/>
            <w:bottom w:w="15" w:type="dxa"/>
            <w:right w:w="15" w:type="dxa"/>
          </w:tblCellMar>
        </w:tblPrEx>
        <w:trPr>
          <w:trHeight w:val="312" w:hRule="atLeast"/>
        </w:trPr>
        <w:tc>
          <w:tcPr>
            <w:tcW w:w="839" w:type="dxa"/>
            <w:vMerge w:val="restart"/>
            <w:tcBorders>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经济分类科目编码</w:t>
            </w:r>
          </w:p>
        </w:tc>
        <w:tc>
          <w:tcPr>
            <w:tcW w:w="2310" w:type="dxa"/>
            <w:vMerge w:val="restart"/>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科目名称</w:t>
            </w:r>
          </w:p>
        </w:tc>
        <w:tc>
          <w:tcPr>
            <w:tcW w:w="1154" w:type="dxa"/>
            <w:vMerge w:val="restart"/>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金额</w:t>
            </w:r>
          </w:p>
        </w:tc>
        <w:tc>
          <w:tcPr>
            <w:tcW w:w="839" w:type="dxa"/>
            <w:vMerge w:val="restart"/>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经济分类科目编码</w:t>
            </w:r>
          </w:p>
        </w:tc>
        <w:tc>
          <w:tcPr>
            <w:tcW w:w="2145" w:type="dxa"/>
            <w:vMerge w:val="restart"/>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科目名称</w:t>
            </w:r>
          </w:p>
        </w:tc>
        <w:tc>
          <w:tcPr>
            <w:tcW w:w="868" w:type="dxa"/>
            <w:vMerge w:val="restart"/>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金额</w:t>
            </w:r>
          </w:p>
        </w:tc>
        <w:tc>
          <w:tcPr>
            <w:tcW w:w="839" w:type="dxa"/>
            <w:vMerge w:val="restart"/>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经济分类科目编码</w:t>
            </w:r>
          </w:p>
        </w:tc>
        <w:tc>
          <w:tcPr>
            <w:tcW w:w="2610" w:type="dxa"/>
            <w:vMerge w:val="restart"/>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科目名称</w:t>
            </w:r>
          </w:p>
        </w:tc>
        <w:tc>
          <w:tcPr>
            <w:tcW w:w="1199" w:type="dxa"/>
            <w:vMerge w:val="restart"/>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金额</w:t>
            </w:r>
          </w:p>
        </w:tc>
      </w:tr>
      <w:tr>
        <w:tblPrEx>
          <w:tblLayout w:type="fixed"/>
          <w:tblCellMar>
            <w:top w:w="15" w:type="dxa"/>
            <w:left w:w="15" w:type="dxa"/>
            <w:bottom w:w="15" w:type="dxa"/>
            <w:right w:w="15" w:type="dxa"/>
          </w:tblCellMar>
        </w:tblPrEx>
        <w:trPr>
          <w:trHeight w:val="615" w:hRule="atLeast"/>
        </w:trPr>
        <w:tc>
          <w:tcPr>
            <w:tcW w:w="839" w:type="dxa"/>
            <w:vMerge w:val="continue"/>
            <w:tcBorders>
              <w:left w:val="single" w:color="000000" w:sz="4" w:space="0"/>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2310"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1154"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839"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2145"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868"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839"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2610"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c>
          <w:tcPr>
            <w:tcW w:w="1199" w:type="dxa"/>
            <w:vMerge w:val="continue"/>
            <w:tcBorders>
              <w:bottom w:val="single" w:color="000000" w:sz="4" w:space="0"/>
              <w:right w:val="single" w:color="000000" w:sz="4" w:space="0"/>
            </w:tcBorders>
            <w:shd w:val="clear" w:color="FFFFFF" w:fill="FFFFFF"/>
            <w:vAlign w:val="center"/>
          </w:tcPr>
          <w:p>
            <w:pPr>
              <w:jc w:val="center"/>
              <w:rPr>
                <w:rFonts w:ascii="宋体" w:hAnsi="宋体" w:cs="宋体"/>
                <w:color w:val="000000"/>
              </w:rPr>
            </w:pP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301</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工资福利支出</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101.54</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商品和服务支出</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41.23</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310</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其他资本性支出</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30101</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基本工资</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77.05</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30201</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办公费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27.02</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31001</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房屋建筑物购建</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30102</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津贴补贴</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8.08</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30202</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印刷费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2.11</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31002</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办公设备购置</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30103</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奖金</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30203</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咨询费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31003</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专用设备购置</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30104</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其他社会保障缴费</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6.36</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30204</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手续费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0.03</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31005</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基础设施建设</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30106</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伙食补助费</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30205</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水费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0.23</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31006</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大型修缮</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30107</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绩效工资</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30206</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电费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1.17</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31007</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信息网络及软件购置更新</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30108</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机关事业单位基本养老保险缴费</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10.05</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30207</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邮电费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1.73</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31008</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物资储备</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30109</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职业年金缴费</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30208</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取暖费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31009</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土地补偿</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30199</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其他工资福利支出</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30209</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物业管理费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31010</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安置补助</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303</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对个人和家庭的补助</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9.46</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30211</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差旅费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4.84</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31011</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地上附着物和青苗补偿</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30301</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离休费</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30212</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因公出国（境）费用</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31012</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拆迁补偿</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30302</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退休费</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9.46</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30213</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维修(护)费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3.81</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31013</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公务用车购置</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30303</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退职（役）费</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30214</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租赁费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31019</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其他交通工具购置</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30304</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抚恤金</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30215</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会议费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31020</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产权参股</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30305</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生活补助</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30216</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培训费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31099</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其他资本性支出</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30306</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救济费</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30217</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公务接待费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304</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对企事业单位的补贴</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30"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30307</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医疗费</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30218</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专用材料费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30401</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企业政策性补贴</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30308</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助学金</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30224</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被装购置费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30402</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事业单位补贴</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30309</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奖励金</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30225</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专用燃料费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30403</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财政贴息</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30310</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生产补贴</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30226</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劳务费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0.30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30499</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其他对企事业单位的补贴</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30311</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住房公积金</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30227</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委托业务费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307</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债务利息支出</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30312</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提租补贴</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30228</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工会经费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30701</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国内债务付息</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30313</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购房补贴</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30229</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福利费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30707</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国外债务付息</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30314</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采暖补贴</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30231</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公务用车运行维护费</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399</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其他支出</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30315</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物业服务补贴</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30239</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其他交通费用</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39906</w:t>
            </w:r>
          </w:p>
        </w:tc>
        <w:tc>
          <w:tcPr>
            <w:tcW w:w="26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赠与</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30399</w:t>
            </w:r>
          </w:p>
        </w:tc>
        <w:tc>
          <w:tcPr>
            <w:tcW w:w="2310"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其他对个人和家庭的补助支出</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30240</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税金及附加费用</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rPr>
                <w:rFonts w:ascii="宋体" w:hAnsi="宋体" w:cs="宋体"/>
                <w:color w:val="000000"/>
              </w:rPr>
            </w:pPr>
          </w:p>
        </w:tc>
        <w:tc>
          <w:tcPr>
            <w:tcW w:w="2610" w:type="dxa"/>
            <w:tcBorders>
              <w:bottom w:val="single" w:color="000000" w:sz="4" w:space="0"/>
              <w:right w:val="single" w:color="000000" w:sz="4" w:space="0"/>
            </w:tcBorders>
            <w:shd w:val="clear" w:color="FFFFFF" w:fill="FFFFFF"/>
            <w:vAlign w:val="center"/>
          </w:tcPr>
          <w:p>
            <w:pPr>
              <w:rPr>
                <w:rFonts w:ascii="宋体" w:hAnsi="宋体" w:cs="宋体"/>
                <w:color w:val="000000"/>
              </w:rPr>
            </w:pPr>
          </w:p>
        </w:tc>
        <w:tc>
          <w:tcPr>
            <w:tcW w:w="1199"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r>
      <w:tr>
        <w:tblPrEx>
          <w:tblLayout w:type="fixed"/>
          <w:tblCellMar>
            <w:top w:w="15" w:type="dxa"/>
            <w:left w:w="15" w:type="dxa"/>
            <w:bottom w:w="15" w:type="dxa"/>
            <w:right w:w="15" w:type="dxa"/>
          </w:tblCellMar>
        </w:tblPrEx>
        <w:trPr>
          <w:trHeight w:val="301" w:hRule="atLeast"/>
        </w:trPr>
        <w:tc>
          <w:tcPr>
            <w:tcW w:w="839" w:type="dxa"/>
            <w:tcBorders>
              <w:left w:val="single" w:color="000000" w:sz="4" w:space="0"/>
              <w:bottom w:val="single" w:color="000000" w:sz="4" w:space="0"/>
              <w:right w:val="single" w:color="000000" w:sz="4" w:space="0"/>
            </w:tcBorders>
            <w:shd w:val="clear" w:color="FFFFFF" w:fill="FFFFFF"/>
            <w:vAlign w:val="center"/>
          </w:tcPr>
          <w:p>
            <w:pPr>
              <w:rPr>
                <w:rFonts w:ascii="宋体" w:hAnsi="宋体" w:cs="宋体"/>
                <w:color w:val="000000"/>
              </w:rPr>
            </w:pPr>
          </w:p>
        </w:tc>
        <w:tc>
          <w:tcPr>
            <w:tcW w:w="2310" w:type="dxa"/>
            <w:tcBorders>
              <w:bottom w:val="single" w:color="000000" w:sz="4" w:space="0"/>
              <w:right w:val="single" w:color="000000" w:sz="4" w:space="0"/>
            </w:tcBorders>
            <w:shd w:val="clear" w:color="FFFFFF" w:fill="FFFFFF"/>
            <w:vAlign w:val="center"/>
          </w:tcPr>
          <w:p>
            <w:pPr>
              <w:rPr>
                <w:rFonts w:ascii="宋体" w:hAnsi="宋体" w:cs="宋体"/>
                <w:color w:val="000000"/>
              </w:rPr>
            </w:pPr>
          </w:p>
        </w:tc>
        <w:tc>
          <w:tcPr>
            <w:tcW w:w="1154"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c>
          <w:tcPr>
            <w:tcW w:w="839"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30299</w:t>
            </w:r>
          </w:p>
        </w:tc>
        <w:tc>
          <w:tcPr>
            <w:tcW w:w="2145" w:type="dxa"/>
            <w:tcBorders>
              <w:bottom w:val="single" w:color="000000" w:sz="4" w:space="0"/>
              <w:right w:val="single" w:color="000000" w:sz="4" w:space="0"/>
            </w:tcBorders>
            <w:shd w:val="clear" w:color="FFFFFF" w:fill="FFFFFF"/>
            <w:vAlign w:val="center"/>
          </w:tcPr>
          <w:p>
            <w:pPr>
              <w:widowControl/>
              <w:textAlignment w:val="center"/>
              <w:rPr>
                <w:rFonts w:ascii="宋体" w:hAnsi="宋体" w:cs="宋体"/>
                <w:color w:val="000000"/>
              </w:rPr>
            </w:pPr>
            <w:r>
              <w:rPr>
                <w:rFonts w:hint="eastAsia" w:ascii="宋体" w:hAnsi="宋体" w:cs="宋体"/>
                <w:color w:val="000000"/>
              </w:rPr>
              <w:t xml:space="preserve">  其他商品和服务支出</w:t>
            </w:r>
          </w:p>
        </w:tc>
        <w:tc>
          <w:tcPr>
            <w:tcW w:w="868"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0.00</w:t>
            </w:r>
          </w:p>
        </w:tc>
        <w:tc>
          <w:tcPr>
            <w:tcW w:w="839" w:type="dxa"/>
            <w:tcBorders>
              <w:bottom w:val="single" w:color="000000" w:sz="4" w:space="0"/>
              <w:right w:val="single" w:color="000000" w:sz="4" w:space="0"/>
            </w:tcBorders>
            <w:shd w:val="clear" w:color="FFFFFF" w:fill="FFFFFF"/>
            <w:vAlign w:val="center"/>
          </w:tcPr>
          <w:p>
            <w:pPr>
              <w:rPr>
                <w:rFonts w:ascii="宋体" w:hAnsi="宋体" w:cs="宋体"/>
                <w:color w:val="000000"/>
              </w:rPr>
            </w:pPr>
          </w:p>
        </w:tc>
        <w:tc>
          <w:tcPr>
            <w:tcW w:w="2610" w:type="dxa"/>
            <w:tcBorders>
              <w:bottom w:val="single" w:color="000000" w:sz="4" w:space="0"/>
              <w:right w:val="single" w:color="000000" w:sz="4" w:space="0"/>
            </w:tcBorders>
            <w:shd w:val="clear" w:color="FFFFFF" w:fill="FFFFFF"/>
            <w:vAlign w:val="center"/>
          </w:tcPr>
          <w:p>
            <w:pPr>
              <w:rPr>
                <w:rFonts w:ascii="宋体" w:hAnsi="宋体" w:cs="宋体"/>
                <w:color w:val="000000"/>
              </w:rPr>
            </w:pPr>
          </w:p>
        </w:tc>
        <w:tc>
          <w:tcPr>
            <w:tcW w:w="1199" w:type="dxa"/>
            <w:tcBorders>
              <w:bottom w:val="single" w:color="000000" w:sz="4" w:space="0"/>
              <w:right w:val="single" w:color="000000" w:sz="4" w:space="0"/>
            </w:tcBorders>
            <w:shd w:val="clear" w:color="auto" w:fill="FFFFFF"/>
            <w:vAlign w:val="center"/>
          </w:tcPr>
          <w:p>
            <w:pPr>
              <w:jc w:val="right"/>
              <w:rPr>
                <w:rFonts w:ascii="宋体" w:hAnsi="宋体" w:cs="宋体"/>
                <w:color w:val="000000"/>
              </w:rPr>
            </w:pPr>
          </w:p>
        </w:tc>
      </w:tr>
      <w:tr>
        <w:tblPrEx>
          <w:tblLayout w:type="fixed"/>
          <w:tblCellMar>
            <w:top w:w="15" w:type="dxa"/>
            <w:left w:w="15" w:type="dxa"/>
            <w:bottom w:w="15" w:type="dxa"/>
            <w:right w:w="15" w:type="dxa"/>
          </w:tblCellMar>
        </w:tblPrEx>
        <w:trPr>
          <w:trHeight w:val="301" w:hRule="atLeast"/>
        </w:trPr>
        <w:tc>
          <w:tcPr>
            <w:tcW w:w="3149" w:type="dxa"/>
            <w:gridSpan w:val="2"/>
            <w:tcBorders>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人员经费合计</w:t>
            </w:r>
          </w:p>
        </w:tc>
        <w:tc>
          <w:tcPr>
            <w:tcW w:w="1154"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111.00</w:t>
            </w:r>
          </w:p>
        </w:tc>
        <w:tc>
          <w:tcPr>
            <w:tcW w:w="7301" w:type="dxa"/>
            <w:gridSpan w:val="5"/>
            <w:tcBorders>
              <w:bottom w:val="single" w:color="000000" w:sz="4" w:space="0"/>
              <w:right w:val="single" w:color="000000" w:sz="4" w:space="0"/>
            </w:tcBorders>
            <w:shd w:val="clear" w:color="FFFFFF" w:fill="FFFFFF"/>
            <w:vAlign w:val="center"/>
          </w:tcPr>
          <w:p>
            <w:pPr>
              <w:widowControl/>
              <w:jc w:val="center"/>
              <w:textAlignment w:val="center"/>
              <w:rPr>
                <w:rFonts w:ascii="宋体" w:hAnsi="宋体" w:cs="宋体"/>
                <w:color w:val="000000"/>
              </w:rPr>
            </w:pPr>
            <w:r>
              <w:rPr>
                <w:rFonts w:hint="eastAsia" w:ascii="宋体" w:hAnsi="宋体" w:cs="宋体"/>
                <w:color w:val="000000"/>
              </w:rPr>
              <w:t>公用经费合计</w:t>
            </w:r>
          </w:p>
        </w:tc>
        <w:tc>
          <w:tcPr>
            <w:tcW w:w="1199" w:type="dxa"/>
            <w:tcBorders>
              <w:bottom w:val="single" w:color="000000" w:sz="4" w:space="0"/>
              <w:right w:val="single" w:color="000000" w:sz="4" w:space="0"/>
            </w:tcBorders>
            <w:shd w:val="clear" w:color="auto" w:fill="FFFFFF"/>
            <w:vAlign w:val="center"/>
          </w:tcPr>
          <w:p>
            <w:pPr>
              <w:widowControl/>
              <w:jc w:val="right"/>
              <w:textAlignment w:val="center"/>
              <w:rPr>
                <w:rFonts w:ascii="宋体" w:hAnsi="宋体" w:cs="宋体"/>
                <w:color w:val="000000"/>
              </w:rPr>
            </w:pPr>
            <w:r>
              <w:rPr>
                <w:rFonts w:hint="eastAsia" w:ascii="宋体" w:hAnsi="宋体" w:cs="宋体"/>
                <w:color w:val="000000"/>
              </w:rPr>
              <w:t>41.23</w:t>
            </w:r>
          </w:p>
        </w:tc>
      </w:tr>
      <w:tr>
        <w:tblPrEx>
          <w:tblLayout w:type="fixed"/>
          <w:tblCellMar>
            <w:top w:w="15" w:type="dxa"/>
            <w:left w:w="15" w:type="dxa"/>
            <w:bottom w:w="15" w:type="dxa"/>
            <w:right w:w="15" w:type="dxa"/>
          </w:tblCellMar>
        </w:tblPrEx>
        <w:trPr>
          <w:trHeight w:val="301" w:hRule="atLeast"/>
        </w:trPr>
        <w:tc>
          <w:tcPr>
            <w:tcW w:w="12803" w:type="dxa"/>
            <w:gridSpan w:val="9"/>
            <w:shd w:val="clear" w:color="auto" w:fill="auto"/>
            <w:vAlign w:val="center"/>
          </w:tcPr>
          <w:p>
            <w:pPr>
              <w:widowControl/>
              <w:textAlignment w:val="center"/>
              <w:rPr>
                <w:rFonts w:ascii="宋体" w:hAnsi="宋体" w:cs="宋体"/>
                <w:color w:val="000000"/>
              </w:rPr>
            </w:pPr>
            <w:r>
              <w:rPr>
                <w:rFonts w:hint="eastAsia" w:ascii="宋体" w:hAnsi="宋体" w:cs="宋体"/>
                <w:color w:val="000000"/>
              </w:rPr>
              <w:t>注：本表反映部门本年度一般公共预算财政拨款基本支出明细情况。</w:t>
            </w:r>
          </w:p>
        </w:tc>
      </w:tr>
    </w:tbl>
    <w:p>
      <w:pPr>
        <w:rPr>
          <w:sz w:val="32"/>
          <w:szCs w:val="32"/>
        </w:rPr>
      </w:pPr>
    </w:p>
    <w:p>
      <w:pPr>
        <w:rPr>
          <w:sz w:val="32"/>
          <w:szCs w:val="32"/>
        </w:rPr>
      </w:pPr>
    </w:p>
    <w:p>
      <w:pPr>
        <w:rPr>
          <w:sz w:val="32"/>
          <w:szCs w:val="32"/>
        </w:rPr>
      </w:pPr>
    </w:p>
    <w:p>
      <w:pPr>
        <w:rPr>
          <w:sz w:val="32"/>
          <w:szCs w:val="32"/>
        </w:rPr>
      </w:pPr>
    </w:p>
    <w:p>
      <w:pPr>
        <w:rPr>
          <w:sz w:val="32"/>
          <w:szCs w:val="32"/>
        </w:rPr>
      </w:pPr>
    </w:p>
    <w:p>
      <w:pPr>
        <w:rPr>
          <w:sz w:val="32"/>
          <w:szCs w:val="32"/>
        </w:rPr>
      </w:pPr>
    </w:p>
    <w:p>
      <w:pPr>
        <w:rPr>
          <w:sz w:val="32"/>
          <w:szCs w:val="32"/>
        </w:rPr>
      </w:pPr>
    </w:p>
    <w:p>
      <w:pPr>
        <w:rPr>
          <w:sz w:val="32"/>
          <w:szCs w:val="32"/>
        </w:rPr>
      </w:pPr>
    </w:p>
    <w:p>
      <w:pPr>
        <w:rPr>
          <w:sz w:val="32"/>
          <w:szCs w:val="32"/>
        </w:rPr>
      </w:pPr>
    </w:p>
    <w:p>
      <w:pPr>
        <w:rPr>
          <w:sz w:val="32"/>
          <w:szCs w:val="32"/>
        </w:rPr>
      </w:pPr>
    </w:p>
    <w:p>
      <w:pPr>
        <w:rPr>
          <w:sz w:val="32"/>
          <w:szCs w:val="32"/>
        </w:rPr>
      </w:pPr>
    </w:p>
    <w:p>
      <w:pPr>
        <w:rPr>
          <w:sz w:val="32"/>
          <w:szCs w:val="32"/>
        </w:rPr>
      </w:pPr>
    </w:p>
    <w:p>
      <w:pPr>
        <w:rPr>
          <w:sz w:val="32"/>
          <w:szCs w:val="32"/>
        </w:rPr>
      </w:pPr>
    </w:p>
    <w:tbl>
      <w:tblPr>
        <w:tblStyle w:val="11"/>
        <w:tblW w:w="11962" w:type="dxa"/>
        <w:tblInd w:w="0" w:type="dxa"/>
        <w:tblLayout w:type="fixed"/>
        <w:tblCellMar>
          <w:top w:w="15" w:type="dxa"/>
          <w:left w:w="15" w:type="dxa"/>
          <w:bottom w:w="15" w:type="dxa"/>
          <w:right w:w="15" w:type="dxa"/>
        </w:tblCellMar>
      </w:tblPr>
      <w:tblGrid>
        <w:gridCol w:w="1300"/>
        <w:gridCol w:w="929"/>
        <w:gridCol w:w="879"/>
        <w:gridCol w:w="879"/>
        <w:gridCol w:w="880"/>
        <w:gridCol w:w="1351"/>
        <w:gridCol w:w="879"/>
        <w:gridCol w:w="929"/>
        <w:gridCol w:w="879"/>
        <w:gridCol w:w="879"/>
        <w:gridCol w:w="880"/>
        <w:gridCol w:w="1298"/>
      </w:tblGrid>
      <w:tr>
        <w:tblPrEx>
          <w:tblLayout w:type="fixed"/>
          <w:tblCellMar>
            <w:top w:w="15" w:type="dxa"/>
            <w:left w:w="15" w:type="dxa"/>
            <w:bottom w:w="15" w:type="dxa"/>
            <w:right w:w="15" w:type="dxa"/>
          </w:tblCellMar>
        </w:tblPrEx>
        <w:trPr>
          <w:trHeight w:val="540" w:hRule="atLeast"/>
        </w:trPr>
        <w:tc>
          <w:tcPr>
            <w:tcW w:w="11962" w:type="dxa"/>
            <w:gridSpan w:val="12"/>
            <w:shd w:val="clear" w:color="auto" w:fill="auto"/>
            <w:vAlign w:val="bottom"/>
          </w:tcPr>
          <w:p>
            <w:pPr>
              <w:tabs>
                <w:tab w:val="left" w:pos="14080"/>
              </w:tabs>
              <w:jc w:val="center"/>
              <w:rPr>
                <w:rFonts w:hint="eastAsia" w:ascii="宋体" w:hAnsi="宋体" w:cs="宋体"/>
                <w:color w:val="000000"/>
                <w:sz w:val="30"/>
                <w:szCs w:val="30"/>
              </w:rPr>
            </w:pPr>
          </w:p>
          <w:p>
            <w:pPr>
              <w:tabs>
                <w:tab w:val="left" w:pos="14080"/>
              </w:tabs>
              <w:jc w:val="center"/>
              <w:rPr>
                <w:rFonts w:hint="eastAsia" w:ascii="宋体" w:hAnsi="宋体" w:cs="宋体"/>
                <w:color w:val="000000"/>
                <w:sz w:val="30"/>
                <w:szCs w:val="30"/>
              </w:rPr>
            </w:pPr>
          </w:p>
          <w:p>
            <w:pPr>
              <w:tabs>
                <w:tab w:val="left" w:pos="14080"/>
              </w:tabs>
              <w:jc w:val="center"/>
              <w:rPr>
                <w:rFonts w:hint="eastAsia" w:ascii="宋体" w:hAnsi="宋体" w:cs="宋体"/>
                <w:color w:val="000000"/>
                <w:sz w:val="30"/>
                <w:szCs w:val="30"/>
              </w:rPr>
            </w:pPr>
          </w:p>
          <w:p>
            <w:pPr>
              <w:tabs>
                <w:tab w:val="left" w:pos="14080"/>
              </w:tabs>
              <w:jc w:val="center"/>
              <w:rPr>
                <w:rFonts w:ascii="Arial" w:hAnsi="Arial" w:cs="Arial"/>
                <w:color w:val="000000"/>
                <w:sz w:val="20"/>
                <w:szCs w:val="20"/>
              </w:rPr>
            </w:pPr>
            <w:r>
              <w:rPr>
                <w:rFonts w:hint="eastAsia" w:ascii="宋体" w:hAnsi="宋体" w:cs="宋体"/>
                <w:color w:val="000000"/>
                <w:sz w:val="30"/>
                <w:szCs w:val="30"/>
              </w:rPr>
              <w:t>一般公共预算财政拨款“三公”经费支出决算表</w:t>
            </w:r>
          </w:p>
        </w:tc>
      </w:tr>
      <w:tr>
        <w:tblPrEx>
          <w:tblLayout w:type="fixed"/>
          <w:tblCellMar>
            <w:top w:w="15" w:type="dxa"/>
            <w:left w:w="15" w:type="dxa"/>
            <w:bottom w:w="15" w:type="dxa"/>
            <w:right w:w="15" w:type="dxa"/>
          </w:tblCellMar>
        </w:tblPrEx>
        <w:trPr>
          <w:trHeight w:val="286" w:hRule="atLeast"/>
        </w:trPr>
        <w:tc>
          <w:tcPr>
            <w:tcW w:w="1300" w:type="dxa"/>
            <w:shd w:val="clear" w:color="auto" w:fill="auto"/>
            <w:vAlign w:val="bottom"/>
          </w:tcPr>
          <w:p>
            <w:pPr>
              <w:tabs>
                <w:tab w:val="left" w:pos="14080"/>
              </w:tabs>
              <w:rPr>
                <w:rFonts w:ascii="Arial" w:hAnsi="Arial" w:cs="Arial"/>
                <w:color w:val="000000"/>
                <w:sz w:val="20"/>
                <w:szCs w:val="20"/>
              </w:rPr>
            </w:pPr>
          </w:p>
        </w:tc>
        <w:tc>
          <w:tcPr>
            <w:tcW w:w="929" w:type="dxa"/>
            <w:shd w:val="clear" w:color="auto" w:fill="auto"/>
            <w:vAlign w:val="bottom"/>
          </w:tcPr>
          <w:p>
            <w:pPr>
              <w:tabs>
                <w:tab w:val="left" w:pos="14080"/>
              </w:tabs>
              <w:rPr>
                <w:rFonts w:ascii="Arial" w:hAnsi="Arial" w:cs="Arial"/>
                <w:color w:val="000000"/>
                <w:sz w:val="20"/>
                <w:szCs w:val="20"/>
              </w:rPr>
            </w:pPr>
          </w:p>
        </w:tc>
        <w:tc>
          <w:tcPr>
            <w:tcW w:w="879" w:type="dxa"/>
            <w:shd w:val="clear" w:color="auto" w:fill="auto"/>
            <w:vAlign w:val="bottom"/>
          </w:tcPr>
          <w:p>
            <w:pPr>
              <w:tabs>
                <w:tab w:val="left" w:pos="14080"/>
              </w:tabs>
              <w:rPr>
                <w:rFonts w:ascii="Arial" w:hAnsi="Arial" w:cs="Arial"/>
                <w:color w:val="000000"/>
                <w:sz w:val="20"/>
                <w:szCs w:val="20"/>
              </w:rPr>
            </w:pPr>
          </w:p>
        </w:tc>
        <w:tc>
          <w:tcPr>
            <w:tcW w:w="879" w:type="dxa"/>
            <w:shd w:val="clear" w:color="auto" w:fill="auto"/>
            <w:vAlign w:val="bottom"/>
          </w:tcPr>
          <w:p>
            <w:pPr>
              <w:tabs>
                <w:tab w:val="left" w:pos="14080"/>
              </w:tabs>
              <w:rPr>
                <w:rFonts w:ascii="Arial" w:hAnsi="Arial" w:cs="Arial"/>
                <w:color w:val="000000"/>
                <w:sz w:val="20"/>
                <w:szCs w:val="20"/>
              </w:rPr>
            </w:pPr>
          </w:p>
        </w:tc>
        <w:tc>
          <w:tcPr>
            <w:tcW w:w="880" w:type="dxa"/>
            <w:shd w:val="clear" w:color="auto" w:fill="auto"/>
            <w:vAlign w:val="bottom"/>
          </w:tcPr>
          <w:p>
            <w:pPr>
              <w:tabs>
                <w:tab w:val="left" w:pos="14080"/>
              </w:tabs>
              <w:rPr>
                <w:rFonts w:ascii="Arial" w:hAnsi="Arial" w:cs="Arial"/>
                <w:color w:val="000000"/>
                <w:sz w:val="20"/>
                <w:szCs w:val="20"/>
              </w:rPr>
            </w:pPr>
          </w:p>
        </w:tc>
        <w:tc>
          <w:tcPr>
            <w:tcW w:w="1351" w:type="dxa"/>
            <w:shd w:val="clear" w:color="auto" w:fill="auto"/>
            <w:vAlign w:val="bottom"/>
          </w:tcPr>
          <w:p>
            <w:pPr>
              <w:tabs>
                <w:tab w:val="left" w:pos="14080"/>
              </w:tabs>
              <w:rPr>
                <w:rFonts w:ascii="Arial" w:hAnsi="Arial" w:cs="Arial"/>
                <w:color w:val="000000"/>
                <w:sz w:val="20"/>
                <w:szCs w:val="20"/>
              </w:rPr>
            </w:pPr>
          </w:p>
        </w:tc>
        <w:tc>
          <w:tcPr>
            <w:tcW w:w="879" w:type="dxa"/>
            <w:shd w:val="clear" w:color="auto" w:fill="auto"/>
            <w:vAlign w:val="bottom"/>
          </w:tcPr>
          <w:p>
            <w:pPr>
              <w:tabs>
                <w:tab w:val="left" w:pos="14080"/>
              </w:tabs>
              <w:rPr>
                <w:rFonts w:ascii="Arial" w:hAnsi="Arial" w:cs="Arial"/>
                <w:color w:val="000000"/>
                <w:sz w:val="20"/>
                <w:szCs w:val="20"/>
              </w:rPr>
            </w:pPr>
          </w:p>
        </w:tc>
        <w:tc>
          <w:tcPr>
            <w:tcW w:w="929" w:type="dxa"/>
            <w:shd w:val="clear" w:color="auto" w:fill="auto"/>
            <w:vAlign w:val="bottom"/>
          </w:tcPr>
          <w:p>
            <w:pPr>
              <w:tabs>
                <w:tab w:val="left" w:pos="14080"/>
              </w:tabs>
              <w:rPr>
                <w:rFonts w:ascii="Arial" w:hAnsi="Arial" w:cs="Arial"/>
                <w:color w:val="000000"/>
                <w:sz w:val="20"/>
                <w:szCs w:val="20"/>
              </w:rPr>
            </w:pPr>
          </w:p>
        </w:tc>
        <w:tc>
          <w:tcPr>
            <w:tcW w:w="879" w:type="dxa"/>
            <w:shd w:val="clear" w:color="auto" w:fill="auto"/>
            <w:vAlign w:val="bottom"/>
          </w:tcPr>
          <w:p>
            <w:pPr>
              <w:tabs>
                <w:tab w:val="left" w:pos="14080"/>
              </w:tabs>
              <w:rPr>
                <w:rFonts w:ascii="Arial" w:hAnsi="Arial" w:cs="Arial"/>
                <w:color w:val="000000"/>
                <w:sz w:val="20"/>
                <w:szCs w:val="20"/>
              </w:rPr>
            </w:pPr>
          </w:p>
        </w:tc>
        <w:tc>
          <w:tcPr>
            <w:tcW w:w="879" w:type="dxa"/>
            <w:shd w:val="clear" w:color="auto" w:fill="auto"/>
            <w:vAlign w:val="bottom"/>
          </w:tcPr>
          <w:p>
            <w:pPr>
              <w:tabs>
                <w:tab w:val="left" w:pos="14080"/>
              </w:tabs>
              <w:rPr>
                <w:rFonts w:ascii="Arial" w:hAnsi="Arial" w:cs="Arial"/>
                <w:color w:val="000000"/>
                <w:sz w:val="20"/>
                <w:szCs w:val="20"/>
              </w:rPr>
            </w:pPr>
          </w:p>
        </w:tc>
        <w:tc>
          <w:tcPr>
            <w:tcW w:w="880" w:type="dxa"/>
            <w:shd w:val="clear" w:color="auto" w:fill="auto"/>
            <w:vAlign w:val="bottom"/>
          </w:tcPr>
          <w:p>
            <w:pPr>
              <w:tabs>
                <w:tab w:val="left" w:pos="14080"/>
              </w:tabs>
              <w:rPr>
                <w:rFonts w:ascii="Arial" w:hAnsi="Arial" w:cs="Arial"/>
                <w:color w:val="000000"/>
                <w:sz w:val="20"/>
                <w:szCs w:val="20"/>
              </w:rPr>
            </w:pPr>
          </w:p>
        </w:tc>
        <w:tc>
          <w:tcPr>
            <w:tcW w:w="1298" w:type="dxa"/>
            <w:shd w:val="clear" w:color="auto" w:fill="auto"/>
            <w:vAlign w:val="bottom"/>
          </w:tcPr>
          <w:p>
            <w:pPr>
              <w:widowControl/>
              <w:tabs>
                <w:tab w:val="left" w:pos="14080"/>
              </w:tabs>
              <w:jc w:val="right"/>
              <w:textAlignment w:val="bottom"/>
              <w:rPr>
                <w:rFonts w:ascii="宋体" w:hAnsi="宋体" w:cs="宋体"/>
                <w:color w:val="000000"/>
                <w:sz w:val="20"/>
                <w:szCs w:val="20"/>
              </w:rPr>
            </w:pPr>
            <w:r>
              <w:rPr>
                <w:rFonts w:hint="eastAsia" w:ascii="宋体" w:hAnsi="宋体" w:cs="宋体"/>
                <w:color w:val="000000"/>
                <w:sz w:val="20"/>
                <w:szCs w:val="20"/>
              </w:rPr>
              <w:t>公开07表</w:t>
            </w:r>
          </w:p>
        </w:tc>
      </w:tr>
      <w:tr>
        <w:tblPrEx>
          <w:tblLayout w:type="fixed"/>
          <w:tblCellMar>
            <w:top w:w="15" w:type="dxa"/>
            <w:left w:w="15" w:type="dxa"/>
            <w:bottom w:w="15" w:type="dxa"/>
            <w:right w:w="15" w:type="dxa"/>
          </w:tblCellMar>
        </w:tblPrEx>
        <w:trPr>
          <w:trHeight w:val="286" w:hRule="atLeast"/>
        </w:trPr>
        <w:tc>
          <w:tcPr>
            <w:tcW w:w="2229" w:type="dxa"/>
            <w:gridSpan w:val="2"/>
            <w:shd w:val="clear" w:color="auto" w:fill="auto"/>
            <w:vAlign w:val="bottom"/>
          </w:tcPr>
          <w:p>
            <w:pPr>
              <w:tabs>
                <w:tab w:val="left" w:pos="14080"/>
              </w:tabs>
              <w:rPr>
                <w:rFonts w:ascii="Arial" w:hAnsi="Arial" w:cs="Arial"/>
                <w:color w:val="000000"/>
                <w:sz w:val="20"/>
                <w:szCs w:val="20"/>
              </w:rPr>
            </w:pPr>
            <w:r>
              <w:rPr>
                <w:rFonts w:hint="eastAsia" w:ascii="宋体" w:hAnsi="宋体" w:cs="宋体"/>
                <w:color w:val="000000"/>
                <w:sz w:val="20"/>
                <w:szCs w:val="20"/>
              </w:rPr>
              <w:t>部门：河南省周口市西华县科学技术协会</w:t>
            </w:r>
          </w:p>
        </w:tc>
        <w:tc>
          <w:tcPr>
            <w:tcW w:w="879" w:type="dxa"/>
            <w:shd w:val="clear" w:color="auto" w:fill="auto"/>
            <w:vAlign w:val="bottom"/>
          </w:tcPr>
          <w:p>
            <w:pPr>
              <w:tabs>
                <w:tab w:val="left" w:pos="14080"/>
              </w:tabs>
              <w:rPr>
                <w:rFonts w:ascii="Arial" w:hAnsi="Arial" w:cs="Arial"/>
                <w:color w:val="000000"/>
                <w:sz w:val="20"/>
                <w:szCs w:val="20"/>
              </w:rPr>
            </w:pPr>
          </w:p>
        </w:tc>
        <w:tc>
          <w:tcPr>
            <w:tcW w:w="879" w:type="dxa"/>
            <w:shd w:val="clear" w:color="auto" w:fill="auto"/>
            <w:vAlign w:val="bottom"/>
          </w:tcPr>
          <w:p>
            <w:pPr>
              <w:tabs>
                <w:tab w:val="left" w:pos="14080"/>
              </w:tabs>
              <w:rPr>
                <w:rFonts w:ascii="Arial" w:hAnsi="Arial" w:cs="Arial"/>
                <w:color w:val="000000"/>
                <w:sz w:val="20"/>
                <w:szCs w:val="20"/>
              </w:rPr>
            </w:pPr>
          </w:p>
        </w:tc>
        <w:tc>
          <w:tcPr>
            <w:tcW w:w="880" w:type="dxa"/>
            <w:shd w:val="clear" w:color="auto" w:fill="auto"/>
            <w:vAlign w:val="bottom"/>
          </w:tcPr>
          <w:p>
            <w:pPr>
              <w:tabs>
                <w:tab w:val="left" w:pos="14080"/>
              </w:tabs>
              <w:rPr>
                <w:rFonts w:ascii="Arial" w:hAnsi="Arial" w:cs="Arial"/>
                <w:color w:val="000000"/>
                <w:sz w:val="20"/>
                <w:szCs w:val="20"/>
              </w:rPr>
            </w:pPr>
          </w:p>
        </w:tc>
        <w:tc>
          <w:tcPr>
            <w:tcW w:w="1351" w:type="dxa"/>
            <w:shd w:val="clear" w:color="auto" w:fill="auto"/>
            <w:vAlign w:val="bottom"/>
          </w:tcPr>
          <w:p>
            <w:pPr>
              <w:tabs>
                <w:tab w:val="left" w:pos="14080"/>
              </w:tabs>
              <w:rPr>
                <w:rFonts w:ascii="Arial" w:hAnsi="Arial" w:cs="Arial"/>
                <w:color w:val="000000"/>
                <w:sz w:val="20"/>
                <w:szCs w:val="20"/>
              </w:rPr>
            </w:pPr>
          </w:p>
        </w:tc>
        <w:tc>
          <w:tcPr>
            <w:tcW w:w="879" w:type="dxa"/>
            <w:shd w:val="clear" w:color="auto" w:fill="auto"/>
            <w:vAlign w:val="bottom"/>
          </w:tcPr>
          <w:p>
            <w:pPr>
              <w:tabs>
                <w:tab w:val="left" w:pos="14080"/>
              </w:tabs>
              <w:rPr>
                <w:rFonts w:ascii="Arial" w:hAnsi="Arial" w:cs="Arial"/>
                <w:color w:val="000000"/>
                <w:sz w:val="20"/>
                <w:szCs w:val="20"/>
              </w:rPr>
            </w:pPr>
          </w:p>
        </w:tc>
        <w:tc>
          <w:tcPr>
            <w:tcW w:w="929" w:type="dxa"/>
            <w:shd w:val="clear" w:color="auto" w:fill="auto"/>
            <w:vAlign w:val="bottom"/>
          </w:tcPr>
          <w:p>
            <w:pPr>
              <w:tabs>
                <w:tab w:val="left" w:pos="14080"/>
              </w:tabs>
              <w:rPr>
                <w:rFonts w:ascii="Arial" w:hAnsi="Arial" w:cs="Arial"/>
                <w:color w:val="000000"/>
                <w:sz w:val="20"/>
                <w:szCs w:val="20"/>
              </w:rPr>
            </w:pPr>
          </w:p>
        </w:tc>
        <w:tc>
          <w:tcPr>
            <w:tcW w:w="879" w:type="dxa"/>
            <w:shd w:val="clear" w:color="auto" w:fill="auto"/>
            <w:vAlign w:val="bottom"/>
          </w:tcPr>
          <w:p>
            <w:pPr>
              <w:tabs>
                <w:tab w:val="left" w:pos="14080"/>
              </w:tabs>
              <w:rPr>
                <w:rFonts w:ascii="Arial" w:hAnsi="Arial" w:cs="Arial"/>
                <w:color w:val="000000"/>
                <w:sz w:val="20"/>
                <w:szCs w:val="20"/>
              </w:rPr>
            </w:pPr>
          </w:p>
        </w:tc>
        <w:tc>
          <w:tcPr>
            <w:tcW w:w="879" w:type="dxa"/>
            <w:shd w:val="clear" w:color="auto" w:fill="auto"/>
            <w:vAlign w:val="bottom"/>
          </w:tcPr>
          <w:p>
            <w:pPr>
              <w:tabs>
                <w:tab w:val="left" w:pos="14080"/>
              </w:tabs>
              <w:rPr>
                <w:rFonts w:ascii="Arial" w:hAnsi="Arial" w:cs="Arial"/>
                <w:color w:val="000000"/>
                <w:sz w:val="20"/>
                <w:szCs w:val="20"/>
              </w:rPr>
            </w:pPr>
          </w:p>
        </w:tc>
        <w:tc>
          <w:tcPr>
            <w:tcW w:w="880" w:type="dxa"/>
            <w:shd w:val="clear" w:color="auto" w:fill="auto"/>
            <w:vAlign w:val="bottom"/>
          </w:tcPr>
          <w:p>
            <w:pPr>
              <w:tabs>
                <w:tab w:val="left" w:pos="14080"/>
              </w:tabs>
              <w:rPr>
                <w:rFonts w:ascii="Arial" w:hAnsi="Arial" w:cs="Arial"/>
                <w:color w:val="000000"/>
                <w:sz w:val="20"/>
                <w:szCs w:val="20"/>
              </w:rPr>
            </w:pPr>
          </w:p>
        </w:tc>
        <w:tc>
          <w:tcPr>
            <w:tcW w:w="1298" w:type="dxa"/>
            <w:shd w:val="clear" w:color="auto" w:fill="auto"/>
            <w:vAlign w:val="bottom"/>
          </w:tcPr>
          <w:p>
            <w:pPr>
              <w:widowControl/>
              <w:tabs>
                <w:tab w:val="left" w:pos="14080"/>
              </w:tabs>
              <w:jc w:val="right"/>
              <w:textAlignment w:val="bottom"/>
              <w:rPr>
                <w:rFonts w:ascii="宋体" w:hAnsi="宋体" w:cs="宋体"/>
                <w:color w:val="000000"/>
                <w:sz w:val="20"/>
                <w:szCs w:val="20"/>
              </w:rPr>
            </w:pPr>
            <w:r>
              <w:rPr>
                <w:rFonts w:hint="eastAsia" w:ascii="宋体" w:hAnsi="宋体" w:cs="宋体"/>
                <w:color w:val="000000"/>
                <w:sz w:val="20"/>
                <w:szCs w:val="20"/>
              </w:rPr>
              <w:t>金额单位：万元</w:t>
            </w:r>
          </w:p>
        </w:tc>
      </w:tr>
      <w:tr>
        <w:tblPrEx>
          <w:tblLayout w:type="fixed"/>
          <w:tblCellMar>
            <w:top w:w="15" w:type="dxa"/>
            <w:left w:w="15" w:type="dxa"/>
            <w:bottom w:w="15" w:type="dxa"/>
            <w:right w:w="15" w:type="dxa"/>
          </w:tblCellMar>
        </w:tblPrEx>
        <w:trPr>
          <w:trHeight w:val="301" w:hRule="atLeast"/>
        </w:trPr>
        <w:tc>
          <w:tcPr>
            <w:tcW w:w="6218" w:type="dxa"/>
            <w:gridSpan w:val="6"/>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预算数</w:t>
            </w:r>
          </w:p>
        </w:tc>
        <w:tc>
          <w:tcPr>
            <w:tcW w:w="5744" w:type="dxa"/>
            <w:gridSpan w:val="6"/>
            <w:tcBorders>
              <w:top w:val="single" w:color="000000" w:sz="4" w:space="0"/>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决算数</w:t>
            </w:r>
          </w:p>
        </w:tc>
      </w:tr>
      <w:tr>
        <w:tblPrEx>
          <w:tblLayout w:type="fixed"/>
          <w:tblCellMar>
            <w:top w:w="15" w:type="dxa"/>
            <w:left w:w="15" w:type="dxa"/>
            <w:bottom w:w="15" w:type="dxa"/>
            <w:right w:w="15" w:type="dxa"/>
          </w:tblCellMar>
        </w:tblPrEx>
        <w:trPr>
          <w:trHeight w:val="301" w:hRule="atLeast"/>
        </w:trPr>
        <w:tc>
          <w:tcPr>
            <w:tcW w:w="1300" w:type="dxa"/>
            <w:vMerge w:val="restart"/>
            <w:tcBorders>
              <w:left w:val="single" w:color="000000" w:sz="4" w:space="0"/>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合计</w:t>
            </w:r>
          </w:p>
        </w:tc>
        <w:tc>
          <w:tcPr>
            <w:tcW w:w="929" w:type="dxa"/>
            <w:vMerge w:val="restart"/>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因公出国（境）费</w:t>
            </w:r>
          </w:p>
        </w:tc>
        <w:tc>
          <w:tcPr>
            <w:tcW w:w="2638" w:type="dxa"/>
            <w:gridSpan w:val="3"/>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公务用车购置及运行费</w:t>
            </w:r>
          </w:p>
        </w:tc>
        <w:tc>
          <w:tcPr>
            <w:tcW w:w="1351" w:type="dxa"/>
            <w:vMerge w:val="restart"/>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公务接待费</w:t>
            </w:r>
          </w:p>
        </w:tc>
        <w:tc>
          <w:tcPr>
            <w:tcW w:w="879" w:type="dxa"/>
            <w:vMerge w:val="restart"/>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合计</w:t>
            </w:r>
          </w:p>
        </w:tc>
        <w:tc>
          <w:tcPr>
            <w:tcW w:w="929" w:type="dxa"/>
            <w:vMerge w:val="restart"/>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因公出国（境）费</w:t>
            </w:r>
          </w:p>
        </w:tc>
        <w:tc>
          <w:tcPr>
            <w:tcW w:w="2638" w:type="dxa"/>
            <w:gridSpan w:val="3"/>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公务用车购置及运行费</w:t>
            </w:r>
          </w:p>
        </w:tc>
        <w:tc>
          <w:tcPr>
            <w:tcW w:w="1298" w:type="dxa"/>
            <w:vMerge w:val="restart"/>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公务接待费</w:t>
            </w:r>
          </w:p>
        </w:tc>
      </w:tr>
      <w:tr>
        <w:tblPrEx>
          <w:tblLayout w:type="fixed"/>
          <w:tblCellMar>
            <w:top w:w="15" w:type="dxa"/>
            <w:left w:w="15" w:type="dxa"/>
            <w:bottom w:w="15" w:type="dxa"/>
            <w:right w:w="15" w:type="dxa"/>
          </w:tblCellMar>
        </w:tblPrEx>
        <w:trPr>
          <w:trHeight w:val="615" w:hRule="atLeast"/>
        </w:trPr>
        <w:tc>
          <w:tcPr>
            <w:tcW w:w="1300" w:type="dxa"/>
            <w:vMerge w:val="continue"/>
            <w:tcBorders>
              <w:left w:val="single" w:color="000000" w:sz="4" w:space="0"/>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c>
          <w:tcPr>
            <w:tcW w:w="929" w:type="dxa"/>
            <w:vMerge w:val="continue"/>
            <w:tcBorders>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c>
          <w:tcPr>
            <w:tcW w:w="879"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小计</w:t>
            </w:r>
          </w:p>
        </w:tc>
        <w:tc>
          <w:tcPr>
            <w:tcW w:w="879"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公务用车购置费</w:t>
            </w:r>
          </w:p>
        </w:tc>
        <w:tc>
          <w:tcPr>
            <w:tcW w:w="880"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公务用车运行费</w:t>
            </w:r>
          </w:p>
        </w:tc>
        <w:tc>
          <w:tcPr>
            <w:tcW w:w="1351" w:type="dxa"/>
            <w:vMerge w:val="continue"/>
            <w:tcBorders>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c>
          <w:tcPr>
            <w:tcW w:w="879" w:type="dxa"/>
            <w:vMerge w:val="continue"/>
            <w:tcBorders>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c>
          <w:tcPr>
            <w:tcW w:w="929" w:type="dxa"/>
            <w:vMerge w:val="continue"/>
            <w:tcBorders>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c>
          <w:tcPr>
            <w:tcW w:w="879"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小计</w:t>
            </w:r>
          </w:p>
        </w:tc>
        <w:tc>
          <w:tcPr>
            <w:tcW w:w="879"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公务用车购置费</w:t>
            </w:r>
          </w:p>
        </w:tc>
        <w:tc>
          <w:tcPr>
            <w:tcW w:w="880"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公务用车运行费</w:t>
            </w:r>
          </w:p>
        </w:tc>
        <w:tc>
          <w:tcPr>
            <w:tcW w:w="1298" w:type="dxa"/>
            <w:vMerge w:val="continue"/>
            <w:tcBorders>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r>
      <w:tr>
        <w:tblPrEx>
          <w:tblLayout w:type="fixed"/>
          <w:tblCellMar>
            <w:top w:w="15" w:type="dxa"/>
            <w:left w:w="15" w:type="dxa"/>
            <w:bottom w:w="15" w:type="dxa"/>
            <w:right w:w="15" w:type="dxa"/>
          </w:tblCellMar>
        </w:tblPrEx>
        <w:trPr>
          <w:trHeight w:val="301" w:hRule="atLeast"/>
        </w:trPr>
        <w:tc>
          <w:tcPr>
            <w:tcW w:w="1300" w:type="dxa"/>
            <w:tcBorders>
              <w:left w:val="single" w:color="000000" w:sz="4" w:space="0"/>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1</w:t>
            </w:r>
          </w:p>
        </w:tc>
        <w:tc>
          <w:tcPr>
            <w:tcW w:w="929"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2</w:t>
            </w:r>
          </w:p>
        </w:tc>
        <w:tc>
          <w:tcPr>
            <w:tcW w:w="879"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3</w:t>
            </w:r>
          </w:p>
        </w:tc>
        <w:tc>
          <w:tcPr>
            <w:tcW w:w="879"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4</w:t>
            </w:r>
          </w:p>
        </w:tc>
        <w:tc>
          <w:tcPr>
            <w:tcW w:w="880"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5</w:t>
            </w:r>
          </w:p>
        </w:tc>
        <w:tc>
          <w:tcPr>
            <w:tcW w:w="1351"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6</w:t>
            </w:r>
          </w:p>
        </w:tc>
        <w:tc>
          <w:tcPr>
            <w:tcW w:w="879"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7</w:t>
            </w:r>
          </w:p>
        </w:tc>
        <w:tc>
          <w:tcPr>
            <w:tcW w:w="929"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8</w:t>
            </w:r>
          </w:p>
        </w:tc>
        <w:tc>
          <w:tcPr>
            <w:tcW w:w="879"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9</w:t>
            </w:r>
          </w:p>
        </w:tc>
        <w:tc>
          <w:tcPr>
            <w:tcW w:w="879"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10</w:t>
            </w:r>
          </w:p>
        </w:tc>
        <w:tc>
          <w:tcPr>
            <w:tcW w:w="880"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11</w:t>
            </w:r>
          </w:p>
        </w:tc>
        <w:tc>
          <w:tcPr>
            <w:tcW w:w="1298"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12</w:t>
            </w:r>
          </w:p>
        </w:tc>
      </w:tr>
      <w:tr>
        <w:tblPrEx>
          <w:tblLayout w:type="fixed"/>
          <w:tblCellMar>
            <w:top w:w="15" w:type="dxa"/>
            <w:left w:w="15" w:type="dxa"/>
            <w:bottom w:w="15" w:type="dxa"/>
            <w:right w:w="15" w:type="dxa"/>
          </w:tblCellMar>
        </w:tblPrEx>
        <w:trPr>
          <w:trHeight w:val="301" w:hRule="atLeast"/>
        </w:trPr>
        <w:tc>
          <w:tcPr>
            <w:tcW w:w="1300" w:type="dxa"/>
            <w:tcBorders>
              <w:left w:val="single" w:color="000000" w:sz="4" w:space="0"/>
              <w:bottom w:val="single" w:color="000000" w:sz="4" w:space="0"/>
              <w:right w:val="single" w:color="000000" w:sz="4" w:space="0"/>
            </w:tcBorders>
            <w:shd w:val="clear" w:color="auto" w:fill="FFFFFF"/>
            <w:vAlign w:val="center"/>
          </w:tcPr>
          <w:p>
            <w:pPr>
              <w:tabs>
                <w:tab w:val="left" w:pos="14080"/>
              </w:tabs>
              <w:jc w:val="center"/>
              <w:rPr>
                <w:rFonts w:ascii="宋体" w:hAnsi="宋体" w:cs="宋体"/>
                <w:color w:val="000000"/>
              </w:rPr>
            </w:pPr>
            <w:r>
              <w:rPr>
                <w:rFonts w:hint="eastAsia" w:ascii="宋体" w:hAnsi="宋体" w:cs="宋体"/>
                <w:color w:val="000000"/>
              </w:rPr>
              <w:t>0</w:t>
            </w:r>
          </w:p>
        </w:tc>
        <w:tc>
          <w:tcPr>
            <w:tcW w:w="929" w:type="dxa"/>
            <w:tcBorders>
              <w:bottom w:val="single" w:color="000000" w:sz="4" w:space="0"/>
              <w:right w:val="single" w:color="000000" w:sz="4" w:space="0"/>
            </w:tcBorders>
            <w:shd w:val="clear" w:color="auto" w:fill="FFFFFF"/>
            <w:vAlign w:val="center"/>
          </w:tcPr>
          <w:p>
            <w:pPr>
              <w:tabs>
                <w:tab w:val="left" w:pos="14080"/>
              </w:tabs>
              <w:jc w:val="center"/>
              <w:rPr>
                <w:rFonts w:ascii="宋体" w:hAnsi="宋体" w:cs="宋体"/>
                <w:color w:val="000000"/>
              </w:rPr>
            </w:pPr>
            <w:r>
              <w:rPr>
                <w:rFonts w:hint="eastAsia" w:ascii="宋体" w:hAnsi="宋体" w:cs="宋体"/>
                <w:color w:val="000000"/>
              </w:rPr>
              <w:t>0</w:t>
            </w:r>
          </w:p>
        </w:tc>
        <w:tc>
          <w:tcPr>
            <w:tcW w:w="879" w:type="dxa"/>
            <w:tcBorders>
              <w:bottom w:val="single" w:color="000000" w:sz="4" w:space="0"/>
              <w:right w:val="single" w:color="000000" w:sz="4" w:space="0"/>
            </w:tcBorders>
            <w:shd w:val="clear" w:color="auto" w:fill="FFFFFF"/>
            <w:vAlign w:val="center"/>
          </w:tcPr>
          <w:p>
            <w:pPr>
              <w:tabs>
                <w:tab w:val="left" w:pos="14080"/>
              </w:tabs>
              <w:jc w:val="center"/>
              <w:rPr>
                <w:rFonts w:ascii="宋体" w:hAnsi="宋体" w:cs="宋体"/>
                <w:color w:val="000000"/>
              </w:rPr>
            </w:pPr>
            <w:r>
              <w:rPr>
                <w:rFonts w:hint="eastAsia" w:ascii="宋体" w:hAnsi="宋体" w:cs="宋体"/>
                <w:color w:val="000000"/>
              </w:rPr>
              <w:t>0</w:t>
            </w:r>
          </w:p>
        </w:tc>
        <w:tc>
          <w:tcPr>
            <w:tcW w:w="879" w:type="dxa"/>
            <w:tcBorders>
              <w:bottom w:val="single" w:color="000000" w:sz="4" w:space="0"/>
              <w:right w:val="single" w:color="000000" w:sz="4" w:space="0"/>
            </w:tcBorders>
            <w:shd w:val="clear" w:color="auto" w:fill="FFFFFF"/>
            <w:vAlign w:val="center"/>
          </w:tcPr>
          <w:p>
            <w:pPr>
              <w:tabs>
                <w:tab w:val="left" w:pos="14080"/>
              </w:tabs>
              <w:jc w:val="center"/>
              <w:rPr>
                <w:rFonts w:ascii="宋体" w:hAnsi="宋体" w:cs="宋体"/>
                <w:color w:val="000000"/>
              </w:rPr>
            </w:pPr>
            <w:r>
              <w:rPr>
                <w:rFonts w:hint="eastAsia" w:ascii="宋体" w:hAnsi="宋体" w:cs="宋体"/>
                <w:color w:val="000000"/>
              </w:rPr>
              <w:t>0</w:t>
            </w:r>
          </w:p>
        </w:tc>
        <w:tc>
          <w:tcPr>
            <w:tcW w:w="880" w:type="dxa"/>
            <w:tcBorders>
              <w:bottom w:val="single" w:color="000000" w:sz="4" w:space="0"/>
              <w:right w:val="single" w:color="000000" w:sz="4" w:space="0"/>
            </w:tcBorders>
            <w:shd w:val="clear" w:color="auto" w:fill="FFFFFF"/>
            <w:vAlign w:val="center"/>
          </w:tcPr>
          <w:p>
            <w:pPr>
              <w:tabs>
                <w:tab w:val="left" w:pos="14080"/>
              </w:tabs>
              <w:jc w:val="center"/>
              <w:rPr>
                <w:rFonts w:ascii="宋体" w:hAnsi="宋体" w:cs="宋体"/>
                <w:color w:val="000000"/>
              </w:rPr>
            </w:pPr>
            <w:r>
              <w:rPr>
                <w:rFonts w:hint="eastAsia" w:ascii="宋体" w:hAnsi="宋体" w:cs="宋体"/>
                <w:color w:val="000000"/>
              </w:rPr>
              <w:t>0</w:t>
            </w:r>
          </w:p>
        </w:tc>
        <w:tc>
          <w:tcPr>
            <w:tcW w:w="1351" w:type="dxa"/>
            <w:tcBorders>
              <w:bottom w:val="single" w:color="000000" w:sz="4" w:space="0"/>
              <w:right w:val="single" w:color="000000" w:sz="4" w:space="0"/>
            </w:tcBorders>
            <w:shd w:val="clear" w:color="auto" w:fill="FFFFFF"/>
            <w:vAlign w:val="center"/>
          </w:tcPr>
          <w:p>
            <w:pPr>
              <w:tabs>
                <w:tab w:val="left" w:pos="14080"/>
              </w:tabs>
              <w:jc w:val="center"/>
              <w:rPr>
                <w:rFonts w:ascii="宋体" w:hAnsi="宋体" w:cs="宋体"/>
                <w:color w:val="000000"/>
              </w:rPr>
            </w:pPr>
            <w:r>
              <w:rPr>
                <w:rFonts w:hint="eastAsia" w:ascii="宋体" w:hAnsi="宋体" w:cs="宋体"/>
                <w:color w:val="000000"/>
              </w:rPr>
              <w:t>0</w:t>
            </w:r>
          </w:p>
        </w:tc>
        <w:tc>
          <w:tcPr>
            <w:tcW w:w="879" w:type="dxa"/>
            <w:tcBorders>
              <w:bottom w:val="single" w:color="000000" w:sz="4" w:space="0"/>
              <w:right w:val="single" w:color="000000" w:sz="4" w:space="0"/>
            </w:tcBorders>
            <w:shd w:val="clear" w:color="auto" w:fill="FFFFFF"/>
            <w:vAlign w:val="center"/>
          </w:tcPr>
          <w:p>
            <w:pPr>
              <w:tabs>
                <w:tab w:val="left" w:pos="14080"/>
              </w:tabs>
              <w:jc w:val="center"/>
              <w:rPr>
                <w:rFonts w:ascii="宋体" w:hAnsi="宋体" w:cs="宋体"/>
                <w:color w:val="000000"/>
              </w:rPr>
            </w:pPr>
            <w:r>
              <w:rPr>
                <w:rFonts w:hint="eastAsia" w:ascii="宋体" w:hAnsi="宋体" w:cs="宋体"/>
                <w:color w:val="000000"/>
              </w:rPr>
              <w:t>0</w:t>
            </w:r>
          </w:p>
        </w:tc>
        <w:tc>
          <w:tcPr>
            <w:tcW w:w="929" w:type="dxa"/>
            <w:tcBorders>
              <w:bottom w:val="single" w:color="000000" w:sz="4" w:space="0"/>
              <w:right w:val="single" w:color="000000" w:sz="4" w:space="0"/>
            </w:tcBorders>
            <w:shd w:val="clear" w:color="auto" w:fill="FFFFFF"/>
            <w:vAlign w:val="center"/>
          </w:tcPr>
          <w:p>
            <w:pPr>
              <w:tabs>
                <w:tab w:val="left" w:pos="14080"/>
              </w:tabs>
              <w:jc w:val="center"/>
              <w:rPr>
                <w:rFonts w:ascii="宋体" w:hAnsi="宋体" w:cs="宋体"/>
                <w:color w:val="000000"/>
              </w:rPr>
            </w:pPr>
            <w:r>
              <w:rPr>
                <w:rFonts w:hint="eastAsia" w:ascii="宋体" w:hAnsi="宋体" w:cs="宋体"/>
                <w:color w:val="000000"/>
              </w:rPr>
              <w:t>0</w:t>
            </w:r>
          </w:p>
        </w:tc>
        <w:tc>
          <w:tcPr>
            <w:tcW w:w="879" w:type="dxa"/>
            <w:tcBorders>
              <w:bottom w:val="single" w:color="000000" w:sz="4" w:space="0"/>
              <w:right w:val="single" w:color="000000" w:sz="4" w:space="0"/>
            </w:tcBorders>
            <w:shd w:val="clear" w:color="auto" w:fill="FFFFFF"/>
            <w:vAlign w:val="center"/>
          </w:tcPr>
          <w:p>
            <w:pPr>
              <w:tabs>
                <w:tab w:val="left" w:pos="14080"/>
              </w:tabs>
              <w:jc w:val="center"/>
              <w:rPr>
                <w:rFonts w:ascii="宋体" w:hAnsi="宋体" w:cs="宋体"/>
                <w:color w:val="000000"/>
              </w:rPr>
            </w:pPr>
            <w:r>
              <w:rPr>
                <w:rFonts w:hint="eastAsia" w:ascii="宋体" w:hAnsi="宋体" w:cs="宋体"/>
                <w:color w:val="000000"/>
              </w:rPr>
              <w:t>0</w:t>
            </w:r>
          </w:p>
        </w:tc>
        <w:tc>
          <w:tcPr>
            <w:tcW w:w="879" w:type="dxa"/>
            <w:tcBorders>
              <w:bottom w:val="single" w:color="000000" w:sz="4" w:space="0"/>
              <w:right w:val="single" w:color="000000" w:sz="4" w:space="0"/>
            </w:tcBorders>
            <w:shd w:val="clear" w:color="auto" w:fill="FFFFFF"/>
            <w:vAlign w:val="center"/>
          </w:tcPr>
          <w:p>
            <w:pPr>
              <w:tabs>
                <w:tab w:val="left" w:pos="14080"/>
              </w:tabs>
              <w:jc w:val="center"/>
              <w:rPr>
                <w:rFonts w:ascii="宋体" w:hAnsi="宋体" w:cs="宋体"/>
                <w:color w:val="000000"/>
              </w:rPr>
            </w:pPr>
            <w:r>
              <w:rPr>
                <w:rFonts w:hint="eastAsia" w:ascii="宋体" w:hAnsi="宋体" w:cs="宋体"/>
                <w:color w:val="000000"/>
              </w:rPr>
              <w:t>0</w:t>
            </w:r>
          </w:p>
        </w:tc>
        <w:tc>
          <w:tcPr>
            <w:tcW w:w="880" w:type="dxa"/>
            <w:tcBorders>
              <w:bottom w:val="single" w:color="000000" w:sz="4" w:space="0"/>
              <w:right w:val="single" w:color="000000" w:sz="4" w:space="0"/>
            </w:tcBorders>
            <w:shd w:val="clear" w:color="auto" w:fill="FFFFFF"/>
            <w:vAlign w:val="center"/>
          </w:tcPr>
          <w:p>
            <w:pPr>
              <w:tabs>
                <w:tab w:val="left" w:pos="14080"/>
              </w:tabs>
              <w:jc w:val="center"/>
              <w:rPr>
                <w:rFonts w:ascii="宋体" w:hAnsi="宋体" w:cs="宋体"/>
                <w:color w:val="000000"/>
              </w:rPr>
            </w:pPr>
            <w:r>
              <w:rPr>
                <w:rFonts w:hint="eastAsia" w:ascii="宋体" w:hAnsi="宋体" w:cs="宋体"/>
                <w:color w:val="000000"/>
              </w:rPr>
              <w:t>0</w:t>
            </w:r>
          </w:p>
        </w:tc>
        <w:tc>
          <w:tcPr>
            <w:tcW w:w="1298" w:type="dxa"/>
            <w:tcBorders>
              <w:bottom w:val="single" w:color="000000" w:sz="4" w:space="0"/>
              <w:right w:val="single" w:color="000000" w:sz="4" w:space="0"/>
            </w:tcBorders>
            <w:shd w:val="clear" w:color="auto" w:fill="FFFFFF"/>
            <w:vAlign w:val="center"/>
          </w:tcPr>
          <w:p>
            <w:pPr>
              <w:tabs>
                <w:tab w:val="left" w:pos="14080"/>
              </w:tabs>
              <w:jc w:val="center"/>
              <w:rPr>
                <w:rFonts w:ascii="宋体" w:hAnsi="宋体" w:cs="宋体"/>
                <w:color w:val="000000"/>
              </w:rPr>
            </w:pPr>
            <w:r>
              <w:rPr>
                <w:rFonts w:hint="eastAsia" w:ascii="宋体" w:hAnsi="宋体" w:cs="宋体"/>
                <w:color w:val="000000"/>
              </w:rPr>
              <w:t>0</w:t>
            </w:r>
          </w:p>
        </w:tc>
      </w:tr>
      <w:tr>
        <w:tblPrEx>
          <w:tblLayout w:type="fixed"/>
          <w:tblCellMar>
            <w:top w:w="15" w:type="dxa"/>
            <w:left w:w="15" w:type="dxa"/>
            <w:bottom w:w="15" w:type="dxa"/>
            <w:right w:w="15" w:type="dxa"/>
          </w:tblCellMar>
        </w:tblPrEx>
        <w:trPr>
          <w:trHeight w:val="615" w:hRule="atLeast"/>
        </w:trPr>
        <w:tc>
          <w:tcPr>
            <w:tcW w:w="11962" w:type="dxa"/>
            <w:gridSpan w:val="12"/>
            <w:shd w:val="clear" w:color="auto" w:fill="auto"/>
            <w:vAlign w:val="center"/>
          </w:tcPr>
          <w:p>
            <w:pPr>
              <w:widowControl/>
              <w:tabs>
                <w:tab w:val="left" w:pos="14080"/>
              </w:tabs>
              <w:textAlignment w:val="center"/>
              <w:rPr>
                <w:rFonts w:ascii="宋体" w:hAnsi="宋体" w:cs="宋体"/>
                <w:color w:val="000000"/>
              </w:rPr>
            </w:pPr>
            <w:r>
              <w:rPr>
                <w:rFonts w:hint="eastAsia" w:ascii="宋体" w:hAnsi="宋体" w:cs="宋体"/>
                <w:color w:val="000000"/>
              </w:rPr>
              <w:t>注：本表反映部门本年度“三公”经费支出预决算情况。其中：预算数为“三公”经费年初预算数，决算数是包括当年一般公共预算财政拨款和以前年度结转资金安排的实际支出。</w:t>
            </w:r>
          </w:p>
        </w:tc>
      </w:tr>
    </w:tbl>
    <w:p>
      <w:pPr>
        <w:tabs>
          <w:tab w:val="left" w:pos="14080"/>
        </w:tabs>
        <w:rPr>
          <w:sz w:val="32"/>
          <w:szCs w:val="32"/>
        </w:rPr>
      </w:pPr>
    </w:p>
    <w:p>
      <w:pPr>
        <w:tabs>
          <w:tab w:val="left" w:pos="14080"/>
        </w:tabs>
        <w:rPr>
          <w:sz w:val="32"/>
          <w:szCs w:val="32"/>
        </w:rPr>
      </w:pPr>
    </w:p>
    <w:p>
      <w:pPr>
        <w:tabs>
          <w:tab w:val="left" w:pos="14080"/>
        </w:tabs>
        <w:rPr>
          <w:sz w:val="32"/>
          <w:szCs w:val="32"/>
        </w:rPr>
      </w:pPr>
    </w:p>
    <w:p>
      <w:pPr>
        <w:tabs>
          <w:tab w:val="left" w:pos="14080"/>
        </w:tabs>
        <w:rPr>
          <w:sz w:val="32"/>
          <w:szCs w:val="32"/>
        </w:rPr>
      </w:pPr>
    </w:p>
    <w:p>
      <w:pPr>
        <w:tabs>
          <w:tab w:val="left" w:pos="14080"/>
        </w:tabs>
        <w:rPr>
          <w:sz w:val="32"/>
          <w:szCs w:val="32"/>
        </w:rPr>
      </w:pPr>
    </w:p>
    <w:tbl>
      <w:tblPr>
        <w:tblStyle w:val="11"/>
        <w:tblW w:w="12658" w:type="dxa"/>
        <w:tblInd w:w="0" w:type="dxa"/>
        <w:tblLayout w:type="fixed"/>
        <w:tblCellMar>
          <w:top w:w="15" w:type="dxa"/>
          <w:left w:w="15" w:type="dxa"/>
          <w:bottom w:w="15" w:type="dxa"/>
          <w:right w:w="15" w:type="dxa"/>
        </w:tblCellMar>
      </w:tblPr>
      <w:tblGrid>
        <w:gridCol w:w="432"/>
        <w:gridCol w:w="908"/>
        <w:gridCol w:w="908"/>
        <w:gridCol w:w="3930"/>
        <w:gridCol w:w="1681"/>
        <w:gridCol w:w="960"/>
        <w:gridCol w:w="960"/>
        <w:gridCol w:w="960"/>
        <w:gridCol w:w="960"/>
        <w:gridCol w:w="959"/>
      </w:tblGrid>
      <w:tr>
        <w:tblPrEx>
          <w:tblLayout w:type="fixed"/>
          <w:tblCellMar>
            <w:top w:w="15" w:type="dxa"/>
            <w:left w:w="15" w:type="dxa"/>
            <w:bottom w:w="15" w:type="dxa"/>
            <w:right w:w="15" w:type="dxa"/>
          </w:tblCellMar>
        </w:tblPrEx>
        <w:trPr>
          <w:trHeight w:val="390" w:hRule="atLeast"/>
        </w:trPr>
        <w:tc>
          <w:tcPr>
            <w:tcW w:w="12658" w:type="dxa"/>
            <w:gridSpan w:val="10"/>
            <w:shd w:val="clear" w:color="auto" w:fill="auto"/>
            <w:vAlign w:val="bottom"/>
          </w:tcPr>
          <w:p>
            <w:pPr>
              <w:tabs>
                <w:tab w:val="left" w:pos="14080"/>
              </w:tabs>
              <w:jc w:val="center"/>
              <w:rPr>
                <w:rFonts w:hint="eastAsia" w:ascii="宋体" w:hAnsi="宋体" w:cs="宋体"/>
                <w:color w:val="000000"/>
                <w:sz w:val="30"/>
                <w:szCs w:val="30"/>
              </w:rPr>
            </w:pPr>
          </w:p>
          <w:p>
            <w:pPr>
              <w:tabs>
                <w:tab w:val="left" w:pos="14080"/>
              </w:tabs>
              <w:jc w:val="center"/>
              <w:rPr>
                <w:rFonts w:hint="eastAsia" w:ascii="宋体" w:hAnsi="宋体" w:cs="宋体"/>
                <w:color w:val="000000"/>
                <w:sz w:val="30"/>
                <w:szCs w:val="30"/>
              </w:rPr>
            </w:pPr>
          </w:p>
          <w:p>
            <w:pPr>
              <w:tabs>
                <w:tab w:val="left" w:pos="14080"/>
              </w:tabs>
              <w:jc w:val="center"/>
              <w:rPr>
                <w:rFonts w:hint="eastAsia" w:ascii="宋体" w:hAnsi="宋体" w:cs="宋体"/>
                <w:color w:val="000000"/>
                <w:sz w:val="30"/>
                <w:szCs w:val="30"/>
              </w:rPr>
            </w:pPr>
          </w:p>
          <w:p>
            <w:pPr>
              <w:tabs>
                <w:tab w:val="left" w:pos="14080"/>
              </w:tabs>
              <w:jc w:val="center"/>
              <w:rPr>
                <w:rFonts w:hint="eastAsia" w:ascii="宋体" w:hAnsi="宋体" w:cs="宋体"/>
                <w:color w:val="000000"/>
                <w:sz w:val="30"/>
                <w:szCs w:val="30"/>
              </w:rPr>
            </w:pPr>
          </w:p>
          <w:p>
            <w:pPr>
              <w:tabs>
                <w:tab w:val="left" w:pos="14080"/>
              </w:tabs>
              <w:jc w:val="center"/>
              <w:rPr>
                <w:rFonts w:hint="eastAsia" w:ascii="宋体" w:hAnsi="宋体" w:cs="宋体"/>
                <w:color w:val="000000"/>
                <w:sz w:val="30"/>
                <w:szCs w:val="30"/>
              </w:rPr>
            </w:pPr>
          </w:p>
          <w:p>
            <w:pPr>
              <w:tabs>
                <w:tab w:val="left" w:pos="14080"/>
              </w:tabs>
              <w:jc w:val="center"/>
              <w:rPr>
                <w:rFonts w:hint="eastAsia" w:ascii="宋体" w:hAnsi="宋体" w:cs="宋体"/>
                <w:color w:val="000000"/>
                <w:sz w:val="30"/>
                <w:szCs w:val="30"/>
              </w:rPr>
            </w:pPr>
          </w:p>
          <w:p>
            <w:pPr>
              <w:tabs>
                <w:tab w:val="left" w:pos="14080"/>
              </w:tabs>
              <w:jc w:val="center"/>
              <w:rPr>
                <w:rFonts w:ascii="Arial" w:hAnsi="Arial" w:cs="Arial"/>
                <w:color w:val="000000"/>
                <w:sz w:val="30"/>
                <w:szCs w:val="30"/>
              </w:rPr>
            </w:pPr>
            <w:r>
              <w:rPr>
                <w:rFonts w:hint="eastAsia" w:ascii="宋体" w:hAnsi="宋体" w:cs="宋体"/>
                <w:color w:val="000000"/>
                <w:sz w:val="30"/>
                <w:szCs w:val="30"/>
              </w:rPr>
              <w:t>政府性基金预算财政拨款收入支出决算表</w:t>
            </w:r>
          </w:p>
        </w:tc>
      </w:tr>
      <w:tr>
        <w:tblPrEx>
          <w:tblLayout w:type="fixed"/>
          <w:tblCellMar>
            <w:top w:w="15" w:type="dxa"/>
            <w:left w:w="15" w:type="dxa"/>
            <w:bottom w:w="15" w:type="dxa"/>
            <w:right w:w="15" w:type="dxa"/>
          </w:tblCellMar>
        </w:tblPrEx>
        <w:trPr>
          <w:trHeight w:val="286" w:hRule="atLeast"/>
        </w:trPr>
        <w:tc>
          <w:tcPr>
            <w:tcW w:w="432" w:type="dxa"/>
            <w:shd w:val="clear" w:color="auto" w:fill="auto"/>
            <w:vAlign w:val="bottom"/>
          </w:tcPr>
          <w:p>
            <w:pPr>
              <w:tabs>
                <w:tab w:val="left" w:pos="14080"/>
              </w:tabs>
              <w:rPr>
                <w:rFonts w:ascii="Arial" w:hAnsi="Arial" w:cs="Arial"/>
                <w:color w:val="000000"/>
                <w:sz w:val="20"/>
                <w:szCs w:val="20"/>
              </w:rPr>
            </w:pPr>
          </w:p>
        </w:tc>
        <w:tc>
          <w:tcPr>
            <w:tcW w:w="908" w:type="dxa"/>
            <w:shd w:val="clear" w:color="auto" w:fill="auto"/>
            <w:vAlign w:val="bottom"/>
          </w:tcPr>
          <w:p>
            <w:pPr>
              <w:tabs>
                <w:tab w:val="left" w:pos="14080"/>
              </w:tabs>
              <w:rPr>
                <w:rFonts w:ascii="Arial" w:hAnsi="Arial" w:cs="Arial"/>
                <w:color w:val="000000"/>
                <w:sz w:val="20"/>
                <w:szCs w:val="20"/>
              </w:rPr>
            </w:pPr>
          </w:p>
        </w:tc>
        <w:tc>
          <w:tcPr>
            <w:tcW w:w="908" w:type="dxa"/>
            <w:shd w:val="clear" w:color="auto" w:fill="auto"/>
            <w:vAlign w:val="bottom"/>
          </w:tcPr>
          <w:p>
            <w:pPr>
              <w:tabs>
                <w:tab w:val="left" w:pos="14080"/>
              </w:tabs>
              <w:rPr>
                <w:rFonts w:ascii="Arial" w:hAnsi="Arial" w:cs="Arial"/>
                <w:color w:val="000000"/>
                <w:sz w:val="20"/>
                <w:szCs w:val="20"/>
              </w:rPr>
            </w:pPr>
          </w:p>
        </w:tc>
        <w:tc>
          <w:tcPr>
            <w:tcW w:w="3930" w:type="dxa"/>
            <w:shd w:val="clear" w:color="auto" w:fill="auto"/>
            <w:vAlign w:val="bottom"/>
          </w:tcPr>
          <w:p>
            <w:pPr>
              <w:tabs>
                <w:tab w:val="left" w:pos="14080"/>
              </w:tabs>
              <w:rPr>
                <w:rFonts w:ascii="Arial" w:hAnsi="Arial" w:cs="Arial"/>
                <w:color w:val="000000"/>
                <w:sz w:val="20"/>
                <w:szCs w:val="20"/>
              </w:rPr>
            </w:pPr>
          </w:p>
        </w:tc>
        <w:tc>
          <w:tcPr>
            <w:tcW w:w="1681" w:type="dxa"/>
            <w:shd w:val="clear" w:color="auto" w:fill="auto"/>
            <w:vAlign w:val="bottom"/>
          </w:tcPr>
          <w:p>
            <w:pPr>
              <w:tabs>
                <w:tab w:val="left" w:pos="14080"/>
              </w:tabs>
              <w:rPr>
                <w:rFonts w:ascii="Arial" w:hAnsi="Arial" w:cs="Arial"/>
                <w:color w:val="000000"/>
                <w:sz w:val="20"/>
                <w:szCs w:val="20"/>
              </w:rPr>
            </w:pPr>
          </w:p>
        </w:tc>
        <w:tc>
          <w:tcPr>
            <w:tcW w:w="960" w:type="dxa"/>
            <w:shd w:val="clear" w:color="auto" w:fill="auto"/>
            <w:vAlign w:val="bottom"/>
          </w:tcPr>
          <w:p>
            <w:pPr>
              <w:tabs>
                <w:tab w:val="left" w:pos="14080"/>
              </w:tabs>
              <w:rPr>
                <w:rFonts w:ascii="Arial" w:hAnsi="Arial" w:cs="Arial"/>
                <w:color w:val="000000"/>
                <w:sz w:val="20"/>
                <w:szCs w:val="20"/>
              </w:rPr>
            </w:pPr>
          </w:p>
        </w:tc>
        <w:tc>
          <w:tcPr>
            <w:tcW w:w="960" w:type="dxa"/>
            <w:shd w:val="clear" w:color="auto" w:fill="auto"/>
            <w:vAlign w:val="bottom"/>
          </w:tcPr>
          <w:p>
            <w:pPr>
              <w:tabs>
                <w:tab w:val="left" w:pos="14080"/>
              </w:tabs>
              <w:rPr>
                <w:rFonts w:ascii="Arial" w:hAnsi="Arial" w:cs="Arial"/>
                <w:color w:val="000000"/>
                <w:sz w:val="20"/>
                <w:szCs w:val="20"/>
              </w:rPr>
            </w:pPr>
          </w:p>
        </w:tc>
        <w:tc>
          <w:tcPr>
            <w:tcW w:w="960" w:type="dxa"/>
            <w:shd w:val="clear" w:color="auto" w:fill="auto"/>
            <w:vAlign w:val="bottom"/>
          </w:tcPr>
          <w:p>
            <w:pPr>
              <w:tabs>
                <w:tab w:val="left" w:pos="14080"/>
              </w:tabs>
              <w:rPr>
                <w:rFonts w:ascii="Arial" w:hAnsi="Arial" w:cs="Arial"/>
                <w:color w:val="000000"/>
                <w:sz w:val="20"/>
                <w:szCs w:val="20"/>
              </w:rPr>
            </w:pPr>
          </w:p>
        </w:tc>
        <w:tc>
          <w:tcPr>
            <w:tcW w:w="960" w:type="dxa"/>
            <w:shd w:val="clear" w:color="auto" w:fill="auto"/>
            <w:vAlign w:val="bottom"/>
          </w:tcPr>
          <w:p>
            <w:pPr>
              <w:tabs>
                <w:tab w:val="left" w:pos="14080"/>
              </w:tabs>
              <w:rPr>
                <w:rFonts w:ascii="Arial" w:hAnsi="Arial" w:cs="Arial"/>
                <w:color w:val="000000"/>
                <w:sz w:val="20"/>
                <w:szCs w:val="20"/>
              </w:rPr>
            </w:pPr>
          </w:p>
        </w:tc>
        <w:tc>
          <w:tcPr>
            <w:tcW w:w="959" w:type="dxa"/>
            <w:shd w:val="clear" w:color="auto" w:fill="auto"/>
            <w:vAlign w:val="bottom"/>
          </w:tcPr>
          <w:p>
            <w:pPr>
              <w:widowControl/>
              <w:tabs>
                <w:tab w:val="left" w:pos="14080"/>
              </w:tabs>
              <w:jc w:val="right"/>
              <w:textAlignment w:val="bottom"/>
              <w:rPr>
                <w:rFonts w:ascii="宋体" w:hAnsi="宋体" w:cs="宋体"/>
                <w:color w:val="000000"/>
                <w:sz w:val="20"/>
                <w:szCs w:val="20"/>
              </w:rPr>
            </w:pPr>
            <w:r>
              <w:rPr>
                <w:rFonts w:hint="eastAsia" w:ascii="宋体" w:hAnsi="宋体" w:cs="宋体"/>
                <w:color w:val="000000"/>
                <w:sz w:val="20"/>
                <w:szCs w:val="20"/>
              </w:rPr>
              <w:t>公开08表</w:t>
            </w:r>
          </w:p>
        </w:tc>
      </w:tr>
      <w:tr>
        <w:tblPrEx>
          <w:tblLayout w:type="fixed"/>
          <w:tblCellMar>
            <w:top w:w="15" w:type="dxa"/>
            <w:left w:w="15" w:type="dxa"/>
            <w:bottom w:w="15" w:type="dxa"/>
            <w:right w:w="15" w:type="dxa"/>
          </w:tblCellMar>
        </w:tblPrEx>
        <w:trPr>
          <w:trHeight w:val="286" w:hRule="atLeast"/>
        </w:trPr>
        <w:tc>
          <w:tcPr>
            <w:tcW w:w="2248" w:type="dxa"/>
            <w:gridSpan w:val="3"/>
            <w:shd w:val="clear" w:color="auto" w:fill="auto"/>
            <w:vAlign w:val="bottom"/>
          </w:tcPr>
          <w:p>
            <w:pPr>
              <w:tabs>
                <w:tab w:val="left" w:pos="14080"/>
              </w:tabs>
              <w:rPr>
                <w:rFonts w:ascii="Arial" w:hAnsi="Arial" w:cs="Arial"/>
                <w:color w:val="000000"/>
                <w:sz w:val="20"/>
                <w:szCs w:val="20"/>
              </w:rPr>
            </w:pPr>
            <w:r>
              <w:rPr>
                <w:rFonts w:hint="eastAsia" w:ascii="宋体" w:hAnsi="宋体" w:cs="宋体"/>
                <w:color w:val="000000"/>
                <w:sz w:val="20"/>
                <w:szCs w:val="20"/>
              </w:rPr>
              <w:t>部门：河南省周口市西华县科学技术协会</w:t>
            </w:r>
          </w:p>
        </w:tc>
        <w:tc>
          <w:tcPr>
            <w:tcW w:w="3930" w:type="dxa"/>
            <w:shd w:val="clear" w:color="auto" w:fill="auto"/>
            <w:vAlign w:val="bottom"/>
          </w:tcPr>
          <w:p>
            <w:pPr>
              <w:tabs>
                <w:tab w:val="left" w:pos="14080"/>
              </w:tabs>
              <w:rPr>
                <w:rFonts w:ascii="Arial" w:hAnsi="Arial" w:cs="Arial"/>
                <w:color w:val="000000"/>
                <w:sz w:val="20"/>
                <w:szCs w:val="20"/>
              </w:rPr>
            </w:pPr>
          </w:p>
        </w:tc>
        <w:tc>
          <w:tcPr>
            <w:tcW w:w="1681" w:type="dxa"/>
            <w:shd w:val="clear" w:color="auto" w:fill="auto"/>
            <w:vAlign w:val="bottom"/>
          </w:tcPr>
          <w:p>
            <w:pPr>
              <w:tabs>
                <w:tab w:val="left" w:pos="14080"/>
              </w:tabs>
              <w:rPr>
                <w:rFonts w:ascii="Arial" w:hAnsi="Arial" w:cs="Arial"/>
                <w:color w:val="000000"/>
                <w:sz w:val="20"/>
                <w:szCs w:val="20"/>
              </w:rPr>
            </w:pPr>
          </w:p>
        </w:tc>
        <w:tc>
          <w:tcPr>
            <w:tcW w:w="960" w:type="dxa"/>
            <w:shd w:val="clear" w:color="auto" w:fill="auto"/>
            <w:vAlign w:val="bottom"/>
          </w:tcPr>
          <w:p>
            <w:pPr>
              <w:tabs>
                <w:tab w:val="left" w:pos="14080"/>
              </w:tabs>
              <w:rPr>
                <w:rFonts w:ascii="Arial" w:hAnsi="Arial" w:cs="Arial"/>
                <w:color w:val="000000"/>
                <w:sz w:val="20"/>
                <w:szCs w:val="20"/>
              </w:rPr>
            </w:pPr>
          </w:p>
        </w:tc>
        <w:tc>
          <w:tcPr>
            <w:tcW w:w="960" w:type="dxa"/>
            <w:shd w:val="clear" w:color="auto" w:fill="auto"/>
            <w:vAlign w:val="bottom"/>
          </w:tcPr>
          <w:p>
            <w:pPr>
              <w:tabs>
                <w:tab w:val="left" w:pos="14080"/>
              </w:tabs>
              <w:rPr>
                <w:rFonts w:ascii="Arial" w:hAnsi="Arial" w:cs="Arial"/>
                <w:color w:val="000000"/>
                <w:sz w:val="20"/>
                <w:szCs w:val="20"/>
              </w:rPr>
            </w:pPr>
          </w:p>
        </w:tc>
        <w:tc>
          <w:tcPr>
            <w:tcW w:w="960" w:type="dxa"/>
            <w:shd w:val="clear" w:color="auto" w:fill="auto"/>
            <w:vAlign w:val="bottom"/>
          </w:tcPr>
          <w:p>
            <w:pPr>
              <w:tabs>
                <w:tab w:val="left" w:pos="14080"/>
              </w:tabs>
              <w:rPr>
                <w:rFonts w:ascii="Arial" w:hAnsi="Arial" w:cs="Arial"/>
                <w:color w:val="000000"/>
                <w:sz w:val="20"/>
                <w:szCs w:val="20"/>
              </w:rPr>
            </w:pPr>
          </w:p>
        </w:tc>
        <w:tc>
          <w:tcPr>
            <w:tcW w:w="960" w:type="dxa"/>
            <w:shd w:val="clear" w:color="auto" w:fill="auto"/>
            <w:vAlign w:val="bottom"/>
          </w:tcPr>
          <w:p>
            <w:pPr>
              <w:tabs>
                <w:tab w:val="left" w:pos="14080"/>
              </w:tabs>
              <w:rPr>
                <w:rFonts w:ascii="Arial" w:hAnsi="Arial" w:cs="Arial"/>
                <w:color w:val="000000"/>
                <w:sz w:val="20"/>
                <w:szCs w:val="20"/>
              </w:rPr>
            </w:pPr>
          </w:p>
        </w:tc>
        <w:tc>
          <w:tcPr>
            <w:tcW w:w="959" w:type="dxa"/>
            <w:shd w:val="clear" w:color="auto" w:fill="auto"/>
            <w:vAlign w:val="bottom"/>
          </w:tcPr>
          <w:p>
            <w:pPr>
              <w:widowControl/>
              <w:tabs>
                <w:tab w:val="left" w:pos="14080"/>
              </w:tabs>
              <w:jc w:val="right"/>
              <w:textAlignment w:val="bottom"/>
              <w:rPr>
                <w:rFonts w:ascii="宋体" w:hAnsi="宋体" w:cs="宋体"/>
                <w:color w:val="000000"/>
                <w:sz w:val="20"/>
                <w:szCs w:val="20"/>
              </w:rPr>
            </w:pPr>
            <w:r>
              <w:rPr>
                <w:rFonts w:hint="eastAsia" w:ascii="宋体" w:hAnsi="宋体" w:cs="宋体"/>
                <w:color w:val="000000"/>
                <w:sz w:val="20"/>
                <w:szCs w:val="20"/>
              </w:rPr>
              <w:t>金额单位：万元</w:t>
            </w:r>
          </w:p>
        </w:tc>
      </w:tr>
      <w:tr>
        <w:tblPrEx>
          <w:tblLayout w:type="fixed"/>
          <w:tblCellMar>
            <w:top w:w="15" w:type="dxa"/>
            <w:left w:w="15" w:type="dxa"/>
            <w:bottom w:w="15" w:type="dxa"/>
            <w:right w:w="15" w:type="dxa"/>
          </w:tblCellMar>
        </w:tblPrEx>
        <w:trPr>
          <w:trHeight w:val="301" w:hRule="atLeast"/>
        </w:trPr>
        <w:tc>
          <w:tcPr>
            <w:tcW w:w="6178" w:type="dxa"/>
            <w:gridSpan w:val="4"/>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项目</w:t>
            </w:r>
          </w:p>
        </w:tc>
        <w:tc>
          <w:tcPr>
            <w:tcW w:w="1681" w:type="dxa"/>
            <w:vMerge w:val="restart"/>
            <w:tcBorders>
              <w:top w:val="single" w:color="000000" w:sz="4" w:space="0"/>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年初结转和结余</w:t>
            </w:r>
          </w:p>
        </w:tc>
        <w:tc>
          <w:tcPr>
            <w:tcW w:w="960" w:type="dxa"/>
            <w:vMerge w:val="restart"/>
            <w:tcBorders>
              <w:top w:val="single" w:color="000000" w:sz="4" w:space="0"/>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本年收入</w:t>
            </w:r>
          </w:p>
        </w:tc>
        <w:tc>
          <w:tcPr>
            <w:tcW w:w="2880" w:type="dxa"/>
            <w:gridSpan w:val="3"/>
            <w:tcBorders>
              <w:top w:val="single" w:color="000000" w:sz="4" w:space="0"/>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本年支出</w:t>
            </w:r>
          </w:p>
        </w:tc>
        <w:tc>
          <w:tcPr>
            <w:tcW w:w="959" w:type="dxa"/>
            <w:vMerge w:val="restart"/>
            <w:tcBorders>
              <w:top w:val="single" w:color="000000" w:sz="4" w:space="0"/>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年末结转和结余</w:t>
            </w:r>
          </w:p>
        </w:tc>
      </w:tr>
      <w:tr>
        <w:tblPrEx>
          <w:tblLayout w:type="fixed"/>
          <w:tblCellMar>
            <w:top w:w="15" w:type="dxa"/>
            <w:left w:w="15" w:type="dxa"/>
            <w:bottom w:w="15" w:type="dxa"/>
            <w:right w:w="15" w:type="dxa"/>
          </w:tblCellMar>
        </w:tblPrEx>
        <w:trPr>
          <w:trHeight w:val="312" w:hRule="atLeast"/>
        </w:trPr>
        <w:tc>
          <w:tcPr>
            <w:tcW w:w="2248" w:type="dxa"/>
            <w:gridSpan w:val="3"/>
            <w:vMerge w:val="restart"/>
            <w:tcBorders>
              <w:left w:val="single" w:color="000000" w:sz="4" w:space="0"/>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功能分类科目编码</w:t>
            </w:r>
          </w:p>
        </w:tc>
        <w:tc>
          <w:tcPr>
            <w:tcW w:w="3930" w:type="dxa"/>
            <w:vMerge w:val="restart"/>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科目名称</w:t>
            </w:r>
          </w:p>
        </w:tc>
        <w:tc>
          <w:tcPr>
            <w:tcW w:w="1681" w:type="dxa"/>
            <w:vMerge w:val="continue"/>
            <w:tcBorders>
              <w:top w:val="single" w:color="000000" w:sz="4" w:space="0"/>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c>
          <w:tcPr>
            <w:tcW w:w="960" w:type="dxa"/>
            <w:vMerge w:val="restart"/>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小计</w:t>
            </w:r>
          </w:p>
        </w:tc>
        <w:tc>
          <w:tcPr>
            <w:tcW w:w="960" w:type="dxa"/>
            <w:vMerge w:val="restart"/>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基本支出</w:t>
            </w:r>
          </w:p>
        </w:tc>
        <w:tc>
          <w:tcPr>
            <w:tcW w:w="960" w:type="dxa"/>
            <w:vMerge w:val="restart"/>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项目支出</w:t>
            </w:r>
          </w:p>
        </w:tc>
        <w:tc>
          <w:tcPr>
            <w:tcW w:w="959" w:type="dxa"/>
            <w:vMerge w:val="continue"/>
            <w:tcBorders>
              <w:top w:val="single" w:color="000000" w:sz="4" w:space="0"/>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r>
      <w:tr>
        <w:tblPrEx>
          <w:tblLayout w:type="fixed"/>
          <w:tblCellMar>
            <w:top w:w="15" w:type="dxa"/>
            <w:left w:w="15" w:type="dxa"/>
            <w:bottom w:w="15" w:type="dxa"/>
            <w:right w:w="15" w:type="dxa"/>
          </w:tblCellMar>
        </w:tblPrEx>
        <w:trPr>
          <w:trHeight w:val="312" w:hRule="atLeast"/>
        </w:trPr>
        <w:tc>
          <w:tcPr>
            <w:tcW w:w="2248" w:type="dxa"/>
            <w:gridSpan w:val="3"/>
            <w:vMerge w:val="continue"/>
            <w:tcBorders>
              <w:left w:val="single" w:color="000000" w:sz="4" w:space="0"/>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c>
          <w:tcPr>
            <w:tcW w:w="3930" w:type="dxa"/>
            <w:vMerge w:val="continue"/>
            <w:tcBorders>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c>
          <w:tcPr>
            <w:tcW w:w="1681" w:type="dxa"/>
            <w:vMerge w:val="continue"/>
            <w:tcBorders>
              <w:top w:val="single" w:color="000000" w:sz="4" w:space="0"/>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c>
          <w:tcPr>
            <w:tcW w:w="960" w:type="dxa"/>
            <w:vMerge w:val="continue"/>
            <w:tcBorders>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c>
          <w:tcPr>
            <w:tcW w:w="960" w:type="dxa"/>
            <w:vMerge w:val="continue"/>
            <w:tcBorders>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c>
          <w:tcPr>
            <w:tcW w:w="960" w:type="dxa"/>
            <w:vMerge w:val="continue"/>
            <w:tcBorders>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c>
          <w:tcPr>
            <w:tcW w:w="959" w:type="dxa"/>
            <w:vMerge w:val="continue"/>
            <w:tcBorders>
              <w:top w:val="single" w:color="000000" w:sz="4" w:space="0"/>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r>
      <w:tr>
        <w:tblPrEx>
          <w:tblLayout w:type="fixed"/>
          <w:tblCellMar>
            <w:top w:w="15" w:type="dxa"/>
            <w:left w:w="15" w:type="dxa"/>
            <w:bottom w:w="15" w:type="dxa"/>
            <w:right w:w="15" w:type="dxa"/>
          </w:tblCellMar>
        </w:tblPrEx>
        <w:trPr>
          <w:trHeight w:val="312" w:hRule="atLeast"/>
        </w:trPr>
        <w:tc>
          <w:tcPr>
            <w:tcW w:w="2248" w:type="dxa"/>
            <w:gridSpan w:val="3"/>
            <w:vMerge w:val="continue"/>
            <w:tcBorders>
              <w:left w:val="single" w:color="000000" w:sz="4" w:space="0"/>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c>
          <w:tcPr>
            <w:tcW w:w="3930" w:type="dxa"/>
            <w:vMerge w:val="continue"/>
            <w:tcBorders>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c>
          <w:tcPr>
            <w:tcW w:w="1681" w:type="dxa"/>
            <w:vMerge w:val="continue"/>
            <w:tcBorders>
              <w:top w:val="single" w:color="000000" w:sz="4" w:space="0"/>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c>
          <w:tcPr>
            <w:tcW w:w="960" w:type="dxa"/>
            <w:vMerge w:val="continue"/>
            <w:tcBorders>
              <w:top w:val="single" w:color="000000" w:sz="4" w:space="0"/>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c>
          <w:tcPr>
            <w:tcW w:w="960" w:type="dxa"/>
            <w:vMerge w:val="continue"/>
            <w:tcBorders>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c>
          <w:tcPr>
            <w:tcW w:w="960" w:type="dxa"/>
            <w:vMerge w:val="continue"/>
            <w:tcBorders>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c>
          <w:tcPr>
            <w:tcW w:w="960" w:type="dxa"/>
            <w:vMerge w:val="continue"/>
            <w:tcBorders>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c>
          <w:tcPr>
            <w:tcW w:w="959" w:type="dxa"/>
            <w:vMerge w:val="continue"/>
            <w:tcBorders>
              <w:top w:val="single" w:color="000000" w:sz="4" w:space="0"/>
              <w:bottom w:val="single" w:color="000000" w:sz="4" w:space="0"/>
              <w:right w:val="single" w:color="000000" w:sz="4" w:space="0"/>
            </w:tcBorders>
            <w:shd w:val="clear" w:color="FFFFFF" w:fill="FFFFFF"/>
            <w:vAlign w:val="center"/>
          </w:tcPr>
          <w:p>
            <w:pPr>
              <w:tabs>
                <w:tab w:val="left" w:pos="14080"/>
              </w:tabs>
              <w:jc w:val="center"/>
              <w:rPr>
                <w:rFonts w:ascii="宋体" w:hAnsi="宋体" w:cs="宋体"/>
                <w:color w:val="000000"/>
              </w:rPr>
            </w:pPr>
          </w:p>
        </w:tc>
      </w:tr>
      <w:tr>
        <w:tblPrEx>
          <w:tblLayout w:type="fixed"/>
          <w:tblCellMar>
            <w:top w:w="15" w:type="dxa"/>
            <w:left w:w="15" w:type="dxa"/>
            <w:bottom w:w="15" w:type="dxa"/>
            <w:right w:w="15" w:type="dxa"/>
          </w:tblCellMar>
        </w:tblPrEx>
        <w:trPr>
          <w:trHeight w:val="301" w:hRule="atLeast"/>
        </w:trPr>
        <w:tc>
          <w:tcPr>
            <w:tcW w:w="6178" w:type="dxa"/>
            <w:gridSpan w:val="4"/>
            <w:tcBorders>
              <w:left w:val="single" w:color="000000" w:sz="4" w:space="0"/>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栏次</w:t>
            </w:r>
          </w:p>
        </w:tc>
        <w:tc>
          <w:tcPr>
            <w:tcW w:w="1681"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1</w:t>
            </w:r>
          </w:p>
        </w:tc>
        <w:tc>
          <w:tcPr>
            <w:tcW w:w="960"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2</w:t>
            </w:r>
          </w:p>
        </w:tc>
        <w:tc>
          <w:tcPr>
            <w:tcW w:w="960"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3</w:t>
            </w:r>
          </w:p>
        </w:tc>
        <w:tc>
          <w:tcPr>
            <w:tcW w:w="960"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4</w:t>
            </w:r>
          </w:p>
        </w:tc>
        <w:tc>
          <w:tcPr>
            <w:tcW w:w="960"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5</w:t>
            </w:r>
          </w:p>
        </w:tc>
        <w:tc>
          <w:tcPr>
            <w:tcW w:w="959" w:type="dxa"/>
            <w:tcBorders>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6</w:t>
            </w:r>
          </w:p>
        </w:tc>
      </w:tr>
      <w:tr>
        <w:tblPrEx>
          <w:tblLayout w:type="fixed"/>
          <w:tblCellMar>
            <w:top w:w="15" w:type="dxa"/>
            <w:left w:w="15" w:type="dxa"/>
            <w:bottom w:w="15" w:type="dxa"/>
            <w:right w:w="15" w:type="dxa"/>
          </w:tblCellMar>
        </w:tblPrEx>
        <w:trPr>
          <w:trHeight w:val="301" w:hRule="atLeast"/>
        </w:trPr>
        <w:tc>
          <w:tcPr>
            <w:tcW w:w="6178" w:type="dxa"/>
            <w:gridSpan w:val="4"/>
            <w:tcBorders>
              <w:left w:val="single" w:color="000000" w:sz="4" w:space="0"/>
              <w:bottom w:val="single" w:color="000000" w:sz="4" w:space="0"/>
              <w:right w:val="single" w:color="000000" w:sz="4" w:space="0"/>
            </w:tcBorders>
            <w:shd w:val="clear" w:color="FFFFFF" w:fill="FFFFFF"/>
            <w:vAlign w:val="center"/>
          </w:tcPr>
          <w:p>
            <w:pPr>
              <w:widowControl/>
              <w:tabs>
                <w:tab w:val="left" w:pos="14080"/>
              </w:tabs>
              <w:jc w:val="center"/>
              <w:textAlignment w:val="center"/>
              <w:rPr>
                <w:rFonts w:ascii="宋体" w:hAnsi="宋体" w:cs="宋体"/>
                <w:color w:val="000000"/>
              </w:rPr>
            </w:pPr>
            <w:r>
              <w:rPr>
                <w:rFonts w:hint="eastAsia" w:ascii="宋体" w:hAnsi="宋体" w:cs="宋体"/>
                <w:color w:val="000000"/>
              </w:rPr>
              <w:t>合计</w:t>
            </w:r>
          </w:p>
        </w:tc>
        <w:tc>
          <w:tcPr>
            <w:tcW w:w="1681" w:type="dxa"/>
            <w:tcBorders>
              <w:bottom w:val="single" w:color="000000" w:sz="4" w:space="0"/>
              <w:right w:val="single" w:color="000000" w:sz="4" w:space="0"/>
            </w:tcBorders>
            <w:shd w:val="clear" w:color="auto" w:fill="FFFFFF"/>
            <w:vAlign w:val="center"/>
          </w:tcPr>
          <w:p>
            <w:pPr>
              <w:tabs>
                <w:tab w:val="left" w:pos="14080"/>
              </w:tabs>
              <w:jc w:val="center"/>
              <w:rPr>
                <w:rFonts w:ascii="宋体" w:hAnsi="宋体" w:cs="宋体"/>
                <w:b/>
                <w:color w:val="000000"/>
              </w:rPr>
            </w:pPr>
            <w:r>
              <w:rPr>
                <w:rFonts w:hint="eastAsia" w:ascii="宋体" w:hAnsi="宋体" w:cs="宋体"/>
                <w:b/>
                <w:color w:val="000000"/>
              </w:rPr>
              <w:t>0</w:t>
            </w:r>
          </w:p>
        </w:tc>
        <w:tc>
          <w:tcPr>
            <w:tcW w:w="960" w:type="dxa"/>
            <w:tcBorders>
              <w:bottom w:val="single" w:color="000000" w:sz="4" w:space="0"/>
              <w:right w:val="single" w:color="000000" w:sz="4" w:space="0"/>
            </w:tcBorders>
            <w:shd w:val="clear" w:color="auto" w:fill="FFFFFF"/>
            <w:vAlign w:val="center"/>
          </w:tcPr>
          <w:p>
            <w:pPr>
              <w:tabs>
                <w:tab w:val="left" w:pos="14080"/>
              </w:tabs>
              <w:jc w:val="center"/>
              <w:rPr>
                <w:rFonts w:ascii="宋体" w:hAnsi="宋体" w:cs="宋体"/>
                <w:b/>
                <w:color w:val="000000"/>
              </w:rPr>
            </w:pPr>
            <w:r>
              <w:rPr>
                <w:rFonts w:hint="eastAsia" w:ascii="宋体" w:hAnsi="宋体" w:cs="宋体"/>
                <w:b/>
                <w:color w:val="000000"/>
              </w:rPr>
              <w:t>0</w:t>
            </w:r>
          </w:p>
        </w:tc>
        <w:tc>
          <w:tcPr>
            <w:tcW w:w="960" w:type="dxa"/>
            <w:tcBorders>
              <w:bottom w:val="single" w:color="000000" w:sz="4" w:space="0"/>
              <w:right w:val="single" w:color="000000" w:sz="4" w:space="0"/>
            </w:tcBorders>
            <w:shd w:val="clear" w:color="auto" w:fill="FFFFFF"/>
            <w:vAlign w:val="center"/>
          </w:tcPr>
          <w:p>
            <w:pPr>
              <w:tabs>
                <w:tab w:val="left" w:pos="14080"/>
              </w:tabs>
              <w:jc w:val="center"/>
              <w:rPr>
                <w:rFonts w:ascii="宋体" w:hAnsi="宋体" w:cs="宋体"/>
                <w:b/>
                <w:color w:val="000000"/>
              </w:rPr>
            </w:pPr>
            <w:r>
              <w:rPr>
                <w:rFonts w:hint="eastAsia" w:ascii="宋体" w:hAnsi="宋体" w:cs="宋体"/>
                <w:b/>
                <w:color w:val="000000"/>
              </w:rPr>
              <w:t>0</w:t>
            </w:r>
          </w:p>
        </w:tc>
        <w:tc>
          <w:tcPr>
            <w:tcW w:w="960" w:type="dxa"/>
            <w:tcBorders>
              <w:bottom w:val="single" w:color="000000" w:sz="4" w:space="0"/>
              <w:right w:val="single" w:color="000000" w:sz="4" w:space="0"/>
            </w:tcBorders>
            <w:shd w:val="clear" w:color="auto" w:fill="FFFFFF"/>
            <w:vAlign w:val="center"/>
          </w:tcPr>
          <w:p>
            <w:pPr>
              <w:tabs>
                <w:tab w:val="left" w:pos="14080"/>
              </w:tabs>
              <w:jc w:val="center"/>
              <w:rPr>
                <w:rFonts w:ascii="宋体" w:hAnsi="宋体" w:cs="宋体"/>
                <w:b/>
                <w:color w:val="000000"/>
              </w:rPr>
            </w:pPr>
            <w:r>
              <w:rPr>
                <w:rFonts w:hint="eastAsia" w:ascii="宋体" w:hAnsi="宋体" w:cs="宋体"/>
                <w:b/>
                <w:color w:val="000000"/>
              </w:rPr>
              <w:t>0</w:t>
            </w:r>
          </w:p>
        </w:tc>
        <w:tc>
          <w:tcPr>
            <w:tcW w:w="960" w:type="dxa"/>
            <w:tcBorders>
              <w:bottom w:val="single" w:color="000000" w:sz="4" w:space="0"/>
              <w:right w:val="single" w:color="000000" w:sz="4" w:space="0"/>
            </w:tcBorders>
            <w:shd w:val="clear" w:color="auto" w:fill="FFFFFF"/>
            <w:vAlign w:val="center"/>
          </w:tcPr>
          <w:p>
            <w:pPr>
              <w:tabs>
                <w:tab w:val="left" w:pos="14080"/>
              </w:tabs>
              <w:jc w:val="center"/>
              <w:rPr>
                <w:rFonts w:ascii="宋体" w:hAnsi="宋体" w:cs="宋体"/>
                <w:b/>
                <w:color w:val="000000"/>
              </w:rPr>
            </w:pPr>
            <w:r>
              <w:rPr>
                <w:rFonts w:hint="eastAsia" w:ascii="宋体" w:hAnsi="宋体" w:cs="宋体"/>
                <w:b/>
                <w:color w:val="000000"/>
              </w:rPr>
              <w:t>0</w:t>
            </w:r>
          </w:p>
        </w:tc>
        <w:tc>
          <w:tcPr>
            <w:tcW w:w="959" w:type="dxa"/>
            <w:tcBorders>
              <w:bottom w:val="single" w:color="000000" w:sz="4" w:space="0"/>
              <w:right w:val="single" w:color="000000" w:sz="4" w:space="0"/>
            </w:tcBorders>
            <w:shd w:val="clear" w:color="auto" w:fill="FFFFFF"/>
            <w:vAlign w:val="center"/>
          </w:tcPr>
          <w:p>
            <w:pPr>
              <w:tabs>
                <w:tab w:val="left" w:pos="14080"/>
              </w:tabs>
              <w:jc w:val="center"/>
              <w:rPr>
                <w:rFonts w:ascii="宋体" w:hAnsi="宋体" w:cs="宋体"/>
                <w:b/>
                <w:color w:val="000000"/>
              </w:rPr>
            </w:pPr>
            <w:r>
              <w:rPr>
                <w:rFonts w:hint="eastAsia" w:ascii="宋体" w:hAnsi="宋体" w:cs="宋体"/>
                <w:b/>
                <w:color w:val="000000"/>
              </w:rPr>
              <w:t>0</w:t>
            </w: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tabs>
                <w:tab w:val="left" w:pos="14080"/>
              </w:tabs>
              <w:rPr>
                <w:rFonts w:ascii="宋体" w:hAnsi="宋体" w:cs="宋体"/>
                <w:color w:val="000000"/>
              </w:rPr>
            </w:pPr>
          </w:p>
        </w:tc>
        <w:tc>
          <w:tcPr>
            <w:tcW w:w="3930" w:type="dxa"/>
            <w:tcBorders>
              <w:bottom w:val="single" w:color="000000" w:sz="4" w:space="0"/>
              <w:right w:val="single" w:color="000000" w:sz="4" w:space="0"/>
            </w:tcBorders>
            <w:shd w:val="clear" w:color="auto" w:fill="FFFFFF"/>
            <w:vAlign w:val="center"/>
          </w:tcPr>
          <w:p>
            <w:pPr>
              <w:tabs>
                <w:tab w:val="left" w:pos="14080"/>
              </w:tabs>
              <w:rPr>
                <w:rFonts w:ascii="宋体" w:hAnsi="宋体" w:cs="宋体"/>
                <w:color w:val="000000"/>
              </w:rPr>
            </w:pPr>
          </w:p>
        </w:tc>
        <w:tc>
          <w:tcPr>
            <w:tcW w:w="1681" w:type="dxa"/>
            <w:tcBorders>
              <w:bottom w:val="single" w:color="000000" w:sz="4" w:space="0"/>
              <w:right w:val="single" w:color="000000" w:sz="4" w:space="0"/>
            </w:tcBorders>
            <w:shd w:val="clear" w:color="auto" w:fill="FFFFFF"/>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FFFFFF"/>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FFFFFF"/>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FFFFFF"/>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FFFFFF"/>
            <w:vAlign w:val="center"/>
          </w:tcPr>
          <w:p>
            <w:pPr>
              <w:tabs>
                <w:tab w:val="left" w:pos="14080"/>
              </w:tabs>
              <w:jc w:val="right"/>
              <w:rPr>
                <w:rFonts w:ascii="宋体" w:hAnsi="宋体" w:cs="宋体"/>
                <w:color w:val="000000"/>
              </w:rPr>
            </w:pPr>
          </w:p>
        </w:tc>
        <w:tc>
          <w:tcPr>
            <w:tcW w:w="959" w:type="dxa"/>
            <w:tcBorders>
              <w:bottom w:val="single" w:color="000000" w:sz="4" w:space="0"/>
              <w:right w:val="single" w:color="000000" w:sz="4" w:space="0"/>
            </w:tcBorders>
            <w:shd w:val="clear" w:color="auto" w:fill="FFFFFF"/>
            <w:vAlign w:val="center"/>
          </w:tcPr>
          <w:p>
            <w:pPr>
              <w:tabs>
                <w:tab w:val="left" w:pos="14080"/>
              </w:tabs>
              <w:jc w:val="right"/>
              <w:rPr>
                <w:rFonts w:ascii="宋体" w:hAnsi="宋体" w:cs="宋体"/>
                <w:color w:val="000000"/>
              </w:rPr>
            </w:pP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FFFFFF"/>
            <w:vAlign w:val="center"/>
          </w:tcPr>
          <w:p>
            <w:pPr>
              <w:tabs>
                <w:tab w:val="left" w:pos="14080"/>
              </w:tabs>
              <w:rPr>
                <w:rFonts w:ascii="宋体" w:hAnsi="宋体" w:cs="宋体"/>
                <w:color w:val="000000"/>
              </w:rPr>
            </w:pPr>
          </w:p>
        </w:tc>
        <w:tc>
          <w:tcPr>
            <w:tcW w:w="3930" w:type="dxa"/>
            <w:tcBorders>
              <w:bottom w:val="single" w:color="000000" w:sz="4" w:space="0"/>
              <w:right w:val="single" w:color="000000" w:sz="4" w:space="0"/>
            </w:tcBorders>
            <w:shd w:val="clear" w:color="auto" w:fill="FFFFFF"/>
            <w:vAlign w:val="center"/>
          </w:tcPr>
          <w:p>
            <w:pPr>
              <w:tabs>
                <w:tab w:val="left" w:pos="14080"/>
              </w:tabs>
              <w:rPr>
                <w:rFonts w:ascii="宋体" w:hAnsi="宋体" w:cs="宋体"/>
                <w:color w:val="000000"/>
              </w:rPr>
            </w:pPr>
          </w:p>
        </w:tc>
        <w:tc>
          <w:tcPr>
            <w:tcW w:w="1681" w:type="dxa"/>
            <w:tcBorders>
              <w:bottom w:val="single" w:color="000000" w:sz="4" w:space="0"/>
              <w:right w:val="single" w:color="000000" w:sz="4" w:space="0"/>
            </w:tcBorders>
            <w:shd w:val="clear" w:color="auto" w:fill="FFFFFF"/>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FFFFFF"/>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FFFFFF"/>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FFFFFF"/>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FFFFFF"/>
            <w:vAlign w:val="center"/>
          </w:tcPr>
          <w:p>
            <w:pPr>
              <w:tabs>
                <w:tab w:val="left" w:pos="14080"/>
              </w:tabs>
              <w:jc w:val="right"/>
              <w:rPr>
                <w:rFonts w:ascii="宋体" w:hAnsi="宋体" w:cs="宋体"/>
                <w:color w:val="000000"/>
              </w:rPr>
            </w:pPr>
          </w:p>
        </w:tc>
        <w:tc>
          <w:tcPr>
            <w:tcW w:w="959" w:type="dxa"/>
            <w:tcBorders>
              <w:bottom w:val="single" w:color="000000" w:sz="4" w:space="0"/>
              <w:right w:val="single" w:color="000000" w:sz="4" w:space="0"/>
            </w:tcBorders>
            <w:shd w:val="clear" w:color="auto" w:fill="FFFFFF"/>
            <w:vAlign w:val="center"/>
          </w:tcPr>
          <w:p>
            <w:pPr>
              <w:tabs>
                <w:tab w:val="left" w:pos="14080"/>
              </w:tabs>
              <w:jc w:val="right"/>
              <w:rPr>
                <w:rFonts w:ascii="宋体" w:hAnsi="宋体" w:cs="宋体"/>
                <w:color w:val="000000"/>
              </w:rPr>
            </w:pP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tabs>
                <w:tab w:val="left" w:pos="14080"/>
              </w:tabs>
              <w:rPr>
                <w:rFonts w:ascii="宋体" w:hAnsi="宋体" w:cs="宋体"/>
                <w:color w:val="000000"/>
              </w:rPr>
            </w:pPr>
          </w:p>
        </w:tc>
        <w:tc>
          <w:tcPr>
            <w:tcW w:w="3930" w:type="dxa"/>
            <w:tcBorders>
              <w:bottom w:val="single" w:color="000000" w:sz="4" w:space="0"/>
              <w:right w:val="single" w:color="000000" w:sz="4" w:space="0"/>
            </w:tcBorders>
            <w:shd w:val="clear" w:color="auto" w:fill="auto"/>
            <w:vAlign w:val="center"/>
          </w:tcPr>
          <w:p>
            <w:pPr>
              <w:tabs>
                <w:tab w:val="left" w:pos="14080"/>
              </w:tabs>
              <w:rPr>
                <w:rFonts w:ascii="宋体" w:hAnsi="宋体" w:cs="宋体"/>
                <w:color w:val="000000"/>
              </w:rPr>
            </w:pPr>
          </w:p>
        </w:tc>
        <w:tc>
          <w:tcPr>
            <w:tcW w:w="1681"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c>
          <w:tcPr>
            <w:tcW w:w="959"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tabs>
                <w:tab w:val="left" w:pos="14080"/>
              </w:tabs>
              <w:rPr>
                <w:rFonts w:ascii="宋体" w:hAnsi="宋体" w:cs="宋体"/>
                <w:color w:val="000000"/>
              </w:rPr>
            </w:pPr>
          </w:p>
        </w:tc>
        <w:tc>
          <w:tcPr>
            <w:tcW w:w="3930" w:type="dxa"/>
            <w:tcBorders>
              <w:bottom w:val="single" w:color="000000" w:sz="4" w:space="0"/>
              <w:right w:val="single" w:color="000000" w:sz="4" w:space="0"/>
            </w:tcBorders>
            <w:shd w:val="clear" w:color="auto" w:fill="auto"/>
            <w:vAlign w:val="center"/>
          </w:tcPr>
          <w:p>
            <w:pPr>
              <w:tabs>
                <w:tab w:val="left" w:pos="14080"/>
              </w:tabs>
              <w:rPr>
                <w:rFonts w:ascii="宋体" w:hAnsi="宋体" w:cs="宋体"/>
                <w:color w:val="000000"/>
              </w:rPr>
            </w:pPr>
          </w:p>
        </w:tc>
        <w:tc>
          <w:tcPr>
            <w:tcW w:w="1681"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c>
          <w:tcPr>
            <w:tcW w:w="959"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tabs>
                <w:tab w:val="left" w:pos="14080"/>
              </w:tabs>
              <w:rPr>
                <w:rFonts w:ascii="宋体" w:hAnsi="宋体" w:cs="宋体"/>
                <w:color w:val="000000"/>
              </w:rPr>
            </w:pPr>
          </w:p>
        </w:tc>
        <w:tc>
          <w:tcPr>
            <w:tcW w:w="3930" w:type="dxa"/>
            <w:tcBorders>
              <w:bottom w:val="single" w:color="000000" w:sz="4" w:space="0"/>
              <w:right w:val="single" w:color="000000" w:sz="4" w:space="0"/>
            </w:tcBorders>
            <w:shd w:val="clear" w:color="auto" w:fill="auto"/>
            <w:vAlign w:val="center"/>
          </w:tcPr>
          <w:p>
            <w:pPr>
              <w:tabs>
                <w:tab w:val="left" w:pos="14080"/>
              </w:tabs>
              <w:rPr>
                <w:rFonts w:ascii="宋体" w:hAnsi="宋体" w:cs="宋体"/>
                <w:color w:val="000000"/>
              </w:rPr>
            </w:pPr>
          </w:p>
        </w:tc>
        <w:tc>
          <w:tcPr>
            <w:tcW w:w="1681"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c>
          <w:tcPr>
            <w:tcW w:w="959"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r>
      <w:tr>
        <w:tblPrEx>
          <w:tblLayout w:type="fixed"/>
          <w:tblCellMar>
            <w:top w:w="15" w:type="dxa"/>
            <w:left w:w="15" w:type="dxa"/>
            <w:bottom w:w="15" w:type="dxa"/>
            <w:right w:w="15" w:type="dxa"/>
          </w:tblCellMar>
        </w:tblPrEx>
        <w:trPr>
          <w:trHeight w:val="301" w:hRule="atLeast"/>
        </w:trPr>
        <w:tc>
          <w:tcPr>
            <w:tcW w:w="2248" w:type="dxa"/>
            <w:gridSpan w:val="3"/>
            <w:tcBorders>
              <w:left w:val="single" w:color="000000" w:sz="4" w:space="0"/>
              <w:bottom w:val="single" w:color="000000" w:sz="4" w:space="0"/>
              <w:right w:val="single" w:color="000000" w:sz="4" w:space="0"/>
            </w:tcBorders>
            <w:shd w:val="clear" w:color="auto" w:fill="auto"/>
            <w:vAlign w:val="center"/>
          </w:tcPr>
          <w:p>
            <w:pPr>
              <w:tabs>
                <w:tab w:val="left" w:pos="14080"/>
              </w:tabs>
              <w:rPr>
                <w:rFonts w:ascii="宋体" w:hAnsi="宋体" w:cs="宋体"/>
                <w:color w:val="000000"/>
              </w:rPr>
            </w:pPr>
          </w:p>
        </w:tc>
        <w:tc>
          <w:tcPr>
            <w:tcW w:w="3930" w:type="dxa"/>
            <w:tcBorders>
              <w:bottom w:val="single" w:color="000000" w:sz="4" w:space="0"/>
              <w:right w:val="single" w:color="000000" w:sz="4" w:space="0"/>
            </w:tcBorders>
            <w:shd w:val="clear" w:color="auto" w:fill="auto"/>
            <w:vAlign w:val="center"/>
          </w:tcPr>
          <w:p>
            <w:pPr>
              <w:tabs>
                <w:tab w:val="left" w:pos="14080"/>
              </w:tabs>
              <w:rPr>
                <w:rFonts w:ascii="宋体" w:hAnsi="宋体" w:cs="宋体"/>
                <w:color w:val="000000"/>
              </w:rPr>
            </w:pPr>
          </w:p>
        </w:tc>
        <w:tc>
          <w:tcPr>
            <w:tcW w:w="1681"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c>
          <w:tcPr>
            <w:tcW w:w="960"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c>
          <w:tcPr>
            <w:tcW w:w="959" w:type="dxa"/>
            <w:tcBorders>
              <w:bottom w:val="single" w:color="000000" w:sz="4" w:space="0"/>
              <w:right w:val="single" w:color="000000" w:sz="4" w:space="0"/>
            </w:tcBorders>
            <w:shd w:val="clear" w:color="auto" w:fill="auto"/>
            <w:vAlign w:val="center"/>
          </w:tcPr>
          <w:p>
            <w:pPr>
              <w:tabs>
                <w:tab w:val="left" w:pos="14080"/>
              </w:tabs>
              <w:jc w:val="right"/>
              <w:rPr>
                <w:rFonts w:ascii="宋体" w:hAnsi="宋体" w:cs="宋体"/>
                <w:color w:val="000000"/>
              </w:rPr>
            </w:pPr>
          </w:p>
        </w:tc>
      </w:tr>
      <w:tr>
        <w:tblPrEx>
          <w:tblLayout w:type="fixed"/>
          <w:tblCellMar>
            <w:top w:w="15" w:type="dxa"/>
            <w:left w:w="15" w:type="dxa"/>
            <w:bottom w:w="15" w:type="dxa"/>
            <w:right w:w="15" w:type="dxa"/>
          </w:tblCellMar>
        </w:tblPrEx>
        <w:trPr>
          <w:trHeight w:val="301" w:hRule="atLeast"/>
        </w:trPr>
        <w:tc>
          <w:tcPr>
            <w:tcW w:w="12658" w:type="dxa"/>
            <w:gridSpan w:val="10"/>
            <w:shd w:val="clear" w:color="auto" w:fill="auto"/>
            <w:vAlign w:val="center"/>
          </w:tcPr>
          <w:p>
            <w:pPr>
              <w:widowControl/>
              <w:tabs>
                <w:tab w:val="left" w:pos="14080"/>
              </w:tabs>
              <w:textAlignment w:val="center"/>
              <w:rPr>
                <w:rFonts w:ascii="宋体" w:hAnsi="宋体" w:cs="宋体"/>
                <w:color w:val="000000"/>
              </w:rPr>
            </w:pPr>
            <w:r>
              <w:rPr>
                <w:rFonts w:hint="eastAsia" w:ascii="宋体" w:hAnsi="宋体" w:cs="宋体"/>
                <w:color w:val="000000"/>
              </w:rPr>
              <w:t>注：本表反映部门本年度政府性基金预算财政拨款收入、支出及结转和结余情况。</w:t>
            </w:r>
          </w:p>
        </w:tc>
      </w:tr>
      <w:tr>
        <w:tblPrEx>
          <w:tblLayout w:type="fixed"/>
          <w:tblCellMar>
            <w:top w:w="15" w:type="dxa"/>
            <w:left w:w="15" w:type="dxa"/>
            <w:bottom w:w="15" w:type="dxa"/>
            <w:right w:w="15" w:type="dxa"/>
          </w:tblCellMar>
        </w:tblPrEx>
        <w:trPr>
          <w:trHeight w:val="271" w:hRule="atLeast"/>
        </w:trPr>
        <w:tc>
          <w:tcPr>
            <w:tcW w:w="12658" w:type="dxa"/>
            <w:gridSpan w:val="10"/>
            <w:shd w:val="clear" w:color="auto" w:fill="auto"/>
            <w:vAlign w:val="center"/>
          </w:tcPr>
          <w:p>
            <w:pPr>
              <w:widowControl/>
              <w:tabs>
                <w:tab w:val="left" w:pos="14080"/>
              </w:tabs>
              <w:textAlignment w:val="center"/>
              <w:rPr>
                <w:rFonts w:ascii="宋体" w:hAnsi="宋体" w:cs="宋体"/>
                <w:color w:val="000000"/>
              </w:rPr>
            </w:pPr>
            <w:r>
              <w:rPr>
                <w:rFonts w:hint="eastAsia" w:ascii="宋体" w:hAnsi="宋体" w:cs="宋体"/>
                <w:color w:val="000000"/>
              </w:rPr>
              <w:t>（该报表全部数据为零时）说明：西华县科学技术协会没有政府性基金收入，也没有使用政府性基金安排的支出，故本表无数据。</w:t>
            </w:r>
          </w:p>
        </w:tc>
      </w:tr>
    </w:tbl>
    <w:p>
      <w:pPr>
        <w:pStyle w:val="3"/>
        <w:spacing w:before="2" w:line="520" w:lineRule="exact"/>
        <w:ind w:left="317" w:right="270" w:firstLine="640" w:firstLineChars="200"/>
        <w:jc w:val="both"/>
        <w:rPr>
          <w:lang w:val="en-US"/>
        </w:rPr>
      </w:pPr>
    </w:p>
    <w:sectPr>
      <w:pgSz w:w="16840" w:h="11910" w:orient="landscape"/>
      <w:pgMar w:top="1480" w:right="1520" w:bottom="1276" w:left="1180" w:header="0" w:footer="998" w:gutter="0"/>
      <w:paperSrc/>
      <w:cols w:space="0" w:num="1"/>
      <w:rtlGutter w:val="0"/>
      <w:docGrid w:linePitch="29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Arial">
    <w:panose1 w:val="020B0604020202020204"/>
    <w:charset w:val="00"/>
    <w:family w:val="swiss"/>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r>
      <w:rPr>
        <w:lang w:val="en-US" w:bidi="ar-SA"/>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14935" cy="329565"/>
              <wp:effectExtent l="0" t="0" r="0" b="0"/>
              <wp:wrapNone/>
              <wp:docPr id="5" name="Text Box 1025"/>
              <wp:cNvGraphicFramePr/>
              <a:graphic xmlns:a="http://schemas.openxmlformats.org/drawingml/2006/main">
                <a:graphicData uri="http://schemas.microsoft.com/office/word/2010/wordprocessingShape">
                  <wps:wsp>
                    <wps:cNvSpPr txBox="1">
                      <a:spLocks noChangeArrowheads="1"/>
                    </wps:cNvSpPr>
                    <wps:spPr bwMode="auto">
                      <a:xfrm>
                        <a:off x="0" y="0"/>
                        <a:ext cx="114935" cy="329565"/>
                      </a:xfrm>
                      <a:prstGeom prst="rect">
                        <a:avLst/>
                      </a:prstGeom>
                      <a:noFill/>
                      <a:ln>
                        <a:noFill/>
                      </a:ln>
                    </wps:spPr>
                    <wps:txbx>
                      <w:txbxContent>
                        <w:p>
                          <w:pPr>
                            <w:pStyle w:val="5"/>
                            <w:jc w:val="center"/>
                          </w:pPr>
                          <w:r>
                            <w:fldChar w:fldCharType="begin"/>
                          </w:r>
                          <w:r>
                            <w:instrText xml:space="preserve"> PAGE   \* MERGEFORMAT </w:instrText>
                          </w:r>
                          <w:r>
                            <w:fldChar w:fldCharType="separate"/>
                          </w:r>
                          <w:r>
                            <w:t>3</w:t>
                          </w:r>
                          <w:r>
                            <w:fldChar w:fldCharType="end"/>
                          </w:r>
                        </w:p>
                        <w:p/>
                      </w:txbxContent>
                    </wps:txbx>
                    <wps:bodyPr rot="0" vert="horz" wrap="none" lIns="0" tIns="0" rIns="0" bIns="0" anchor="t" anchorCtr="0" upright="1">
                      <a:spAutoFit/>
                    </wps:bodyPr>
                  </wps:wsp>
                </a:graphicData>
              </a:graphic>
            </wp:anchor>
          </w:drawing>
        </mc:Choice>
        <mc:Fallback>
          <w:pict>
            <v:shape id="Text Box 1025" o:spid="_x0000_s1026" o:spt="202" type="#_x0000_t202" style="position:absolute;left:0pt;margin-top:0pt;height:25.95pt;width:9.05pt;mso-position-horizontal:center;mso-position-horizontal-relative:margin;mso-wrap-style:none;z-index:251660288;mso-width-relative:page;mso-height-relative:page;" filled="f" stroked="f" coordsize="21600,21600" o:gfxdata="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y06D0dEAAAADAQAADwAAAAAA&#10;AAABACAAAAAiAAAAZHJzL2Rvd25yZXYueG1sUEsBAhQAFAAAAAgAh07iQCuzmnjhAQAAtgMAAA4A&#10;AAAAAAAAAQAgAAAAIAEAAGRycy9lMm9Eb2MueG1sUEsFBgAAAAAGAAYAWQEAAHMFAAAAAA==&#10;">
              <v:fill on="f" focussize="0,0"/>
              <v:stroke on="f"/>
              <v:imagedata o:title=""/>
              <o:lock v:ext="edit" aspectratio="f"/>
              <v:textbox inset="0mm,0mm,0mm,0mm" style="mso-fit-shape-to-text:t;">
                <w:txbxContent>
                  <w:p>
                    <w:pPr>
                      <w:pStyle w:val="5"/>
                      <w:jc w:val="center"/>
                    </w:pPr>
                    <w:r>
                      <w:fldChar w:fldCharType="begin"/>
                    </w:r>
                    <w:r>
                      <w:instrText xml:space="preserve"> PAGE   \* MERGEFORMAT </w:instrText>
                    </w:r>
                    <w:r>
                      <w:fldChar w:fldCharType="separate"/>
                    </w:r>
                    <w:r>
                      <w:t>3</w:t>
                    </w:r>
                    <w:r>
                      <w:fldChar w:fldCharType="end"/>
                    </w:r>
                  </w:p>
                  <w:p/>
                </w:txbxContent>
              </v:textbox>
            </v:shape>
          </w:pict>
        </mc:Fallback>
      </mc:AlternateContent>
    </w:r>
  </w:p>
  <w:p>
    <w:pPr>
      <w:pStyle w:val="3"/>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rPr>
        <w:lang w:val="en-US" w:bidi="ar-SA"/>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14935" cy="147955"/>
              <wp:effectExtent l="0" t="0" r="0" b="0"/>
              <wp:wrapNone/>
              <wp:docPr id="2" name="Text Box 1028"/>
              <wp:cNvGraphicFramePr/>
              <a:graphic xmlns:a="http://schemas.openxmlformats.org/drawingml/2006/main">
                <a:graphicData uri="http://schemas.microsoft.com/office/word/2010/wordprocessingShape">
                  <wps:wsp>
                    <wps:cNvSpPr txBox="1">
                      <a:spLocks noChangeArrowheads="1"/>
                    </wps:cNvSpPr>
                    <wps:spPr bwMode="auto">
                      <a:xfrm>
                        <a:off x="0" y="0"/>
                        <a:ext cx="114935" cy="147955"/>
                      </a:xfrm>
                      <a:prstGeom prst="rect">
                        <a:avLst/>
                      </a:prstGeom>
                      <a:noFill/>
                      <a:ln>
                        <a:noFill/>
                      </a:ln>
                    </wps:spPr>
                    <wps:txbx>
                      <w:txbxContent>
                        <w:p>
                          <w:pPr>
                            <w:pStyle w:val="5"/>
                          </w:pPr>
                          <w:r>
                            <w:rPr>
                              <w:rFonts w:hint="eastAsia"/>
                            </w:rPr>
                            <w:fldChar w:fldCharType="begin"/>
                          </w:r>
                          <w:r>
                            <w:rPr>
                              <w:rFonts w:hint="eastAsia"/>
                            </w:rPr>
                            <w:instrText xml:space="preserve"> PAGE  \* MERGEFORMAT </w:instrText>
                          </w:r>
                          <w:r>
                            <w:rPr>
                              <w:rFonts w:hint="eastAsia"/>
                            </w:rPr>
                            <w:fldChar w:fldCharType="separate"/>
                          </w:r>
                          <w:r>
                            <w:t>25</w:t>
                          </w:r>
                          <w:r>
                            <w:rPr>
                              <w:rFonts w:hint="eastAsia"/>
                            </w:rPr>
                            <w:fldChar w:fldCharType="end"/>
                          </w:r>
                        </w:p>
                      </w:txbxContent>
                    </wps:txbx>
                    <wps:bodyPr rot="0" vert="horz" wrap="none" lIns="0" tIns="0" rIns="0" bIns="0" anchor="t" anchorCtr="0" upright="1">
                      <a:spAutoFit/>
                    </wps:bodyPr>
                  </wps:wsp>
                </a:graphicData>
              </a:graphic>
            </wp:anchor>
          </w:drawing>
        </mc:Choice>
        <mc:Fallback>
          <w:pict>
            <v:shape id="Text Box 1028" o:spid="_x0000_s1026" o:spt="202" type="#_x0000_t202" style="position:absolute;left:0pt;margin-top:0pt;height:11.65pt;width:9.05pt;mso-position-horizontal:center;mso-position-horizontal-relative:margin;mso-wrap-style:none;z-index:251662336;mso-width-relative:page;mso-height-relative:page;" filled="f" stroked="f" coordsize="21600,21600" o:gfxdata="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Gulvw/RAAAAAwEAAA8AAAAA&#10;AAAAAQAgAAAAIgAAAGRycy9kb3ducmV2LnhtbFBLAQIUABQAAAAIAIdO4kAyI9nf4gEAALYDAAAO&#10;AAAAAAAAAAEAIAAAACABAABkcnMvZTJvRG9jLnhtbFBLBQYAAAAABgAGAFkBAAB0BQAAAAA=&#10;">
              <v:fill on="f" focussize="0,0"/>
              <v:stroke on="f"/>
              <v:imagedata o:title=""/>
              <o:lock v:ext="edit" aspectratio="f"/>
              <v:textbox inset="0mm,0mm,0mm,0mm" style="mso-fit-shape-to-text:t;">
                <w:txbxContent>
                  <w:p>
                    <w:pPr>
                      <w:pStyle w:val="5"/>
                    </w:pPr>
                    <w:r>
                      <w:rPr>
                        <w:rFonts w:hint="eastAsia"/>
                      </w:rPr>
                      <w:fldChar w:fldCharType="begin"/>
                    </w:r>
                    <w:r>
                      <w:rPr>
                        <w:rFonts w:hint="eastAsia"/>
                      </w:rPr>
                      <w:instrText xml:space="preserve"> PAGE  \* MERGEFORMAT </w:instrText>
                    </w:r>
                    <w:r>
                      <w:rPr>
                        <w:rFonts w:hint="eastAsia"/>
                      </w:rPr>
                      <w:fldChar w:fldCharType="separate"/>
                    </w:r>
                    <w:r>
                      <w:t>25</w:t>
                    </w:r>
                    <w:r>
                      <w:rPr>
                        <w:rFonts w:hint="eastAsia"/>
                      </w:rPr>
                      <w:fldChar w:fldCharType="end"/>
                    </w:r>
                  </w:p>
                </w:txbxContent>
              </v:textbox>
            </v:shape>
          </w:pict>
        </mc:Fallback>
      </mc:AlternateContent>
    </w:r>
    <w:r>
      <w:rPr>
        <w:lang w:val="en-US" w:bidi="ar-SA"/>
      </w:rPr>
      <mc:AlternateContent>
        <mc:Choice Requires="wps">
          <w:drawing>
            <wp:anchor distT="0" distB="0" distL="114300" distR="114300" simplePos="0" relativeHeight="251659264" behindDoc="1" locked="0" layoutInCell="1" allowOverlap="1">
              <wp:simplePos x="0" y="0"/>
              <wp:positionH relativeFrom="page">
                <wp:posOffset>3748405</wp:posOffset>
              </wp:positionH>
              <wp:positionV relativeFrom="page">
                <wp:posOffset>9919335</wp:posOffset>
              </wp:positionV>
              <wp:extent cx="82550" cy="152400"/>
              <wp:effectExtent l="0" t="3810" r="0" b="0"/>
              <wp:wrapNone/>
              <wp:docPr id="1" name="Text Box 1029"/>
              <wp:cNvGraphicFramePr/>
              <a:graphic xmlns:a="http://schemas.openxmlformats.org/drawingml/2006/main">
                <a:graphicData uri="http://schemas.microsoft.com/office/word/2010/wordprocessingShape">
                  <wps:wsp>
                    <wps:cNvSpPr txBox="1">
                      <a:spLocks noChangeArrowheads="1"/>
                    </wps:cNvSpPr>
                    <wps:spPr bwMode="auto">
                      <a:xfrm>
                        <a:off x="0" y="0"/>
                        <a:ext cx="82550" cy="152400"/>
                      </a:xfrm>
                      <a:prstGeom prst="rect">
                        <a:avLst/>
                      </a:prstGeom>
                      <a:noFill/>
                      <a:ln>
                        <a:noFill/>
                      </a:ln>
                    </wps:spPr>
                    <wps:txbx>
                      <w:txbxContent>
                        <w:p>
                          <w:pPr>
                            <w:spacing w:before="12"/>
                            <w:rPr>
                              <w:rFonts w:ascii="Times New Roman"/>
                              <w:sz w:val="18"/>
                            </w:rPr>
                          </w:pPr>
                        </w:p>
                      </w:txbxContent>
                    </wps:txbx>
                    <wps:bodyPr rot="0" vert="horz" wrap="square" lIns="0" tIns="0" rIns="0" bIns="0" anchor="t" anchorCtr="0" upright="1">
                      <a:noAutofit/>
                    </wps:bodyPr>
                  </wps:wsp>
                </a:graphicData>
              </a:graphic>
            </wp:anchor>
          </w:drawing>
        </mc:Choice>
        <mc:Fallback>
          <w:pict>
            <v:shape id="Text Box 1029" o:spid="_x0000_s1026" o:spt="202" type="#_x0000_t202" style="position:absolute;left:0pt;margin-left:295.15pt;margin-top:781.05pt;height:12pt;width:6.5pt;mso-position-horizontal-relative:page;mso-position-vertical-relative:page;z-index:-251657216;mso-width-relative:page;mso-height-relative:page;" filled="f" stroked="f" coordsize="21600,21600" o:gfxdata="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OzVi13aAAAA&#10;DQEAAA8AAAAAAAAAAQAgAAAAIgAAAGRycy9kb3ducmV2LnhtbFBLAQIUABQAAAAIAIdO4kDz3osD&#10;4gEAALcDAAAOAAAAAAAAAAEAIAAAACkBAABkcnMvZTJvRG9jLnhtbFBLBQYAAAAABgAGAFkBAAB9&#10;BQAAAAA=&#10;">
              <v:fill on="f" focussize="0,0"/>
              <v:stroke on="f"/>
              <v:imagedata o:title=""/>
              <o:lock v:ext="edit" aspectratio="f"/>
              <v:textbox inset="0mm,0mm,0mm,0mm">
                <w:txbxContent>
                  <w:p>
                    <w:pPr>
                      <w:spacing w:before="12"/>
                      <w:rPr>
                        <w:rFonts w:ascii="Times New Roman"/>
                        <w:sz w:val="18"/>
                      </w:rPr>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0359FC"/>
    <w:multiLevelType w:val="singleLevel"/>
    <w:tmpl w:val="4D0359FC"/>
    <w:lvl w:ilvl="0" w:tentative="0">
      <w:start w:val="1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drawingGridHorizontalSpacing w:val="110"/>
  <w:drawingGridVerticalSpacing w:val="159"/>
  <w:displayHorizontalDrawingGridEvery w:val="2"/>
  <w:displayVerticalDrawingGridEvery w:val="2"/>
  <w:characterSpacingControl w:val="doNotCompress"/>
  <w:compat>
    <w:spaceForUL/>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642C"/>
    <w:rsid w:val="000056F6"/>
    <w:rsid w:val="0013693A"/>
    <w:rsid w:val="002D623D"/>
    <w:rsid w:val="006D7B7C"/>
    <w:rsid w:val="00794633"/>
    <w:rsid w:val="00797020"/>
    <w:rsid w:val="007D642C"/>
    <w:rsid w:val="00856764"/>
    <w:rsid w:val="008D605C"/>
    <w:rsid w:val="00901852"/>
    <w:rsid w:val="009B15F7"/>
    <w:rsid w:val="00DB4D8A"/>
    <w:rsid w:val="1031468C"/>
    <w:rsid w:val="23A02CB7"/>
    <w:rsid w:val="314F3E97"/>
    <w:rsid w:val="36371B05"/>
    <w:rsid w:val="4EF745A9"/>
    <w:rsid w:val="5E4A1E32"/>
    <w:rsid w:val="7FBB5465"/>
    <w:rsid w:val="7FD95E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iPriority="99"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autoSpaceDE w:val="0"/>
      <w:autoSpaceDN w:val="0"/>
    </w:pPr>
    <w:rPr>
      <w:rFonts w:ascii="仿宋_GB2312" w:hAnsi="仿宋_GB2312" w:eastAsia="仿宋_GB2312" w:cs="仿宋_GB2312"/>
      <w:sz w:val="22"/>
      <w:szCs w:val="22"/>
      <w:lang w:val="zh-CN" w:eastAsia="zh-CN" w:bidi="zh-CN"/>
    </w:rPr>
  </w:style>
  <w:style w:type="paragraph" w:styleId="2">
    <w:name w:val="heading 1"/>
    <w:basedOn w:val="1"/>
    <w:next w:val="1"/>
    <w:link w:val="21"/>
    <w:qFormat/>
    <w:uiPriority w:val="9"/>
    <w:pPr>
      <w:keepNext/>
      <w:keepLines/>
      <w:autoSpaceDE/>
      <w:autoSpaceDN/>
      <w:spacing w:before="340" w:after="330" w:line="576" w:lineRule="auto"/>
      <w:jc w:val="both"/>
      <w:outlineLvl w:val="0"/>
    </w:pPr>
    <w:rPr>
      <w:rFonts w:ascii="Calibri" w:hAnsi="Calibri" w:eastAsia="宋体" w:cs="Times New Roman"/>
      <w:b/>
      <w:kern w:val="44"/>
      <w:sz w:val="44"/>
      <w:lang w:val="en-US" w:bidi="ar-SA"/>
    </w:rPr>
  </w:style>
  <w:style w:type="character" w:default="1" w:styleId="8">
    <w:name w:val="Default Paragraph Font"/>
    <w:semiHidden/>
    <w:unhideWhenUsed/>
    <w:uiPriority w:val="1"/>
  </w:style>
  <w:style w:type="table" w:default="1" w:styleId="11">
    <w:name w:val="Normal Table"/>
    <w:semiHidden/>
    <w:unhideWhenUsed/>
    <w:uiPriority w:val="99"/>
    <w:tblPr>
      <w:tblLayout w:type="fixed"/>
      <w:tblCellMar>
        <w:top w:w="0" w:type="dxa"/>
        <w:left w:w="108" w:type="dxa"/>
        <w:bottom w:w="0" w:type="dxa"/>
        <w:right w:w="108" w:type="dxa"/>
      </w:tblCellMar>
    </w:tblPr>
  </w:style>
  <w:style w:type="paragraph" w:styleId="3">
    <w:name w:val="Body Text"/>
    <w:basedOn w:val="1"/>
    <w:qFormat/>
    <w:uiPriority w:val="0"/>
    <w:rPr>
      <w:sz w:val="32"/>
      <w:szCs w:val="32"/>
    </w:rPr>
  </w:style>
  <w:style w:type="paragraph" w:styleId="4">
    <w:name w:val="Balloon Text"/>
    <w:basedOn w:val="1"/>
    <w:link w:val="22"/>
    <w:unhideWhenUsed/>
    <w:uiPriority w:val="99"/>
    <w:pPr>
      <w:autoSpaceDE/>
      <w:autoSpaceDN/>
      <w:jc w:val="both"/>
    </w:pPr>
    <w:rPr>
      <w:rFonts w:ascii="Times New Roman" w:hAnsi="Times New Roman" w:eastAsia="宋体" w:cs="Times New Roman"/>
      <w:kern w:val="2"/>
      <w:sz w:val="18"/>
      <w:szCs w:val="18"/>
      <w:lang w:val="en-US" w:bidi="ar-SA"/>
    </w:rPr>
  </w:style>
  <w:style w:type="paragraph" w:styleId="5">
    <w:name w:val="footer"/>
    <w:basedOn w:val="1"/>
    <w:link w:val="15"/>
    <w:qFormat/>
    <w:uiPriority w:val="99"/>
    <w:pPr>
      <w:tabs>
        <w:tab w:val="center" w:pos="4153"/>
        <w:tab w:val="right" w:pos="8306"/>
      </w:tabs>
      <w:snapToGrid w:val="0"/>
    </w:pPr>
    <w:rPr>
      <w:sz w:val="18"/>
      <w:szCs w:val="18"/>
    </w:rPr>
  </w:style>
  <w:style w:type="paragraph" w:styleId="6">
    <w:name w:val="header"/>
    <w:basedOn w:val="1"/>
    <w:link w:val="16"/>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99"/>
    <w:pPr>
      <w:autoSpaceDE/>
      <w:autoSpaceDN/>
    </w:pPr>
    <w:rPr>
      <w:rFonts w:ascii="Calibri" w:hAnsi="Calibri" w:eastAsia="宋体" w:cs="Times New Roman"/>
      <w:sz w:val="24"/>
      <w:lang w:val="en-US" w:bidi="ar-SA"/>
    </w:rPr>
  </w:style>
  <w:style w:type="character" w:styleId="9">
    <w:name w:val="FollowedHyperlink"/>
    <w:basedOn w:val="8"/>
    <w:qFormat/>
    <w:uiPriority w:val="99"/>
    <w:rPr>
      <w:color w:val="800080"/>
      <w:u w:val="single"/>
    </w:rPr>
  </w:style>
  <w:style w:type="character" w:styleId="10">
    <w:name w:val="Hyperlink"/>
    <w:unhideWhenUsed/>
    <w:qFormat/>
    <w:uiPriority w:val="99"/>
    <w:rPr>
      <w:color w:val="0000FF"/>
      <w:u w:val="single"/>
    </w:rPr>
  </w:style>
  <w:style w:type="table" w:styleId="12">
    <w:name w:val="Table Grid"/>
    <w:basedOn w:val="11"/>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13">
    <w:name w:val="批注框文本1"/>
    <w:basedOn w:val="1"/>
    <w:link w:val="14"/>
    <w:qFormat/>
    <w:uiPriority w:val="0"/>
    <w:rPr>
      <w:sz w:val="18"/>
      <w:szCs w:val="18"/>
    </w:rPr>
  </w:style>
  <w:style w:type="character" w:customStyle="1" w:styleId="14">
    <w:name w:val="批注框文本 Char"/>
    <w:basedOn w:val="8"/>
    <w:link w:val="13"/>
    <w:uiPriority w:val="99"/>
    <w:rPr>
      <w:rFonts w:ascii="仿宋_GB2312" w:hAnsi="仿宋_GB2312" w:eastAsia="仿宋_GB2312" w:cs="仿宋_GB2312"/>
      <w:sz w:val="18"/>
      <w:szCs w:val="18"/>
      <w:lang w:val="zh-CN" w:bidi="zh-CN"/>
    </w:rPr>
  </w:style>
  <w:style w:type="character" w:customStyle="1" w:styleId="15">
    <w:name w:val="页脚 Char"/>
    <w:basedOn w:val="8"/>
    <w:link w:val="5"/>
    <w:qFormat/>
    <w:uiPriority w:val="99"/>
    <w:rPr>
      <w:rFonts w:ascii="仿宋_GB2312" w:hAnsi="仿宋_GB2312" w:eastAsia="仿宋_GB2312" w:cs="仿宋_GB2312"/>
      <w:sz w:val="18"/>
      <w:szCs w:val="18"/>
      <w:lang w:val="zh-CN" w:eastAsia="zh-CN" w:bidi="zh-CN"/>
    </w:rPr>
  </w:style>
  <w:style w:type="character" w:customStyle="1" w:styleId="16">
    <w:name w:val="页眉 Char"/>
    <w:basedOn w:val="8"/>
    <w:link w:val="6"/>
    <w:qFormat/>
    <w:uiPriority w:val="99"/>
    <w:rPr>
      <w:rFonts w:ascii="仿宋_GB2312" w:hAnsi="仿宋_GB2312" w:eastAsia="仿宋_GB2312" w:cs="仿宋_GB2312"/>
      <w:sz w:val="18"/>
      <w:szCs w:val="18"/>
      <w:lang w:val="zh-CN" w:eastAsia="zh-CN" w:bidi="zh-CN"/>
    </w:rPr>
  </w:style>
  <w:style w:type="paragraph" w:customStyle="1" w:styleId="17">
    <w:name w:val="普通(网站)1"/>
    <w:basedOn w:val="1"/>
    <w:qFormat/>
    <w:uiPriority w:val="0"/>
    <w:pPr>
      <w:widowControl/>
      <w:spacing w:before="100" w:beforeAutospacing="1" w:after="100" w:afterAutospacing="1"/>
    </w:pPr>
    <w:rPr>
      <w:rFonts w:ascii="宋体" w:hAnsi="宋体" w:eastAsia="宋体" w:cs="宋体"/>
      <w:sz w:val="24"/>
      <w:szCs w:val="24"/>
      <w:lang w:val="en-US" w:bidi="ar-SA"/>
    </w:rPr>
  </w:style>
  <w:style w:type="paragraph" w:customStyle="1" w:styleId="18">
    <w:name w:val="标题 11"/>
    <w:basedOn w:val="1"/>
    <w:qFormat/>
    <w:uiPriority w:val="0"/>
    <w:pPr>
      <w:spacing w:before="27"/>
      <w:ind w:left="2273" w:right="2175"/>
      <w:jc w:val="center"/>
      <w:outlineLvl w:val="1"/>
    </w:pPr>
    <w:rPr>
      <w:rFonts w:ascii="黑体" w:hAnsi="黑体" w:eastAsia="黑体" w:cs="黑体"/>
      <w:sz w:val="52"/>
      <w:szCs w:val="52"/>
    </w:rPr>
  </w:style>
  <w:style w:type="paragraph" w:customStyle="1" w:styleId="19">
    <w:name w:val="列出段落1"/>
    <w:basedOn w:val="1"/>
    <w:qFormat/>
    <w:uiPriority w:val="0"/>
  </w:style>
  <w:style w:type="paragraph" w:customStyle="1" w:styleId="20">
    <w:name w:val="Table Paragraph"/>
    <w:basedOn w:val="1"/>
    <w:qFormat/>
    <w:uiPriority w:val="0"/>
  </w:style>
  <w:style w:type="character" w:customStyle="1" w:styleId="21">
    <w:name w:val="标题 1 Char"/>
    <w:basedOn w:val="8"/>
    <w:link w:val="2"/>
    <w:qFormat/>
    <w:uiPriority w:val="9"/>
    <w:rPr>
      <w:rFonts w:ascii="Calibri" w:hAnsi="Calibri"/>
      <w:b/>
      <w:kern w:val="44"/>
      <w:sz w:val="44"/>
      <w:szCs w:val="22"/>
    </w:rPr>
  </w:style>
  <w:style w:type="character" w:customStyle="1" w:styleId="22">
    <w:name w:val="批注框文本 Char1"/>
    <w:basedOn w:val="8"/>
    <w:link w:val="4"/>
    <w:qFormat/>
    <w:uiPriority w:val="99"/>
    <w:rPr>
      <w:kern w:val="2"/>
      <w:sz w:val="18"/>
      <w:szCs w:val="18"/>
    </w:rPr>
  </w:style>
  <w:style w:type="character" w:customStyle="1" w:styleId="23">
    <w:name w:val="font21"/>
    <w:basedOn w:val="8"/>
    <w:uiPriority w:val="0"/>
    <w:rPr>
      <w:rFonts w:hint="eastAsia" w:ascii="宋体" w:hAnsi="宋体" w:eastAsia="宋体" w:cs="宋体"/>
      <w:color w:val="000000"/>
      <w:sz w:val="22"/>
      <w:szCs w:val="22"/>
      <w:u w:val="none"/>
    </w:rPr>
  </w:style>
  <w:style w:type="paragraph" w:customStyle="1" w:styleId="24">
    <w:name w:val="p16"/>
    <w:basedOn w:val="1"/>
    <w:qFormat/>
    <w:uiPriority w:val="0"/>
    <w:pPr>
      <w:widowControl/>
      <w:autoSpaceDE/>
      <w:autoSpaceDN/>
      <w:spacing w:before="100" w:beforeAutospacing="1" w:after="100" w:afterAutospacing="1"/>
    </w:pPr>
    <w:rPr>
      <w:rFonts w:ascii="宋体" w:hAnsi="宋体" w:eastAsia="宋体" w:cs="宋体"/>
      <w:sz w:val="24"/>
      <w:szCs w:val="24"/>
      <w:lang w:val="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28</Pages>
  <Words>1735</Words>
  <Characters>9891</Characters>
  <Lines>82</Lines>
  <Paragraphs>23</Paragraphs>
  <TotalTime>27</TotalTime>
  <ScaleCrop>false</ScaleCrop>
  <LinksUpToDate>false</LinksUpToDate>
  <CharactersWithSpaces>11603</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2019-02-02T07:22:00Z</dcterms:created>
  <dc:creator>Administrator</dc:creator>
  <cp:lastModifiedBy>Administrator</cp:lastModifiedBy>
  <dcterms:modified xsi:type="dcterms:W3CDTF">2019-02-02T08:06:13Z</dcterms:modified>
  <dc:title>&lt;4D6963726F736F667420576F7264202D20BAD3C4CFCAA1B2C6D5FECCFC32303137C4EABEF6CBE3B9ABBFAACBB5C3F7205F382E3238B2CCD6F7C8CEB8C45F&gt;</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2018-08-31T00:00:00Z</vt:filetime>
  </property>
  <property fmtid="{D5CDD505-2E9C-101B-9397-08002B2CF9AE}" pid="3" name="Creator">
    <vt:lpwstr>PScript5.dll Version 5.2</vt:lpwstr>
  </property>
  <property fmtid="{D5CDD505-2E9C-101B-9397-08002B2CF9AE}" pid="4" name="LastSaved">
    <vt:filetime>2018-09-06T00:00:00Z</vt:filetime>
  </property>
  <property fmtid="{D5CDD505-2E9C-101B-9397-08002B2CF9AE}" pid="5" name="KSOProductBuildVer">
    <vt:lpwstr>2052-10.1.0.7698</vt:lpwstr>
  </property>
</Properties>
</file>