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olor w:val="000000"/>
          <w:sz w:val="52"/>
          <w:szCs w:val="52"/>
        </w:rPr>
      </w:pPr>
    </w:p>
    <w:p>
      <w:pPr>
        <w:jc w:val="center"/>
        <w:rPr>
          <w:rFonts w:hint="eastAsia" w:ascii="黑体" w:hAnsi="黑体" w:eastAsia="黑体"/>
          <w:color w:val="000000"/>
          <w:sz w:val="52"/>
          <w:szCs w:val="52"/>
        </w:rPr>
      </w:pPr>
    </w:p>
    <w:p>
      <w:pPr>
        <w:jc w:val="center"/>
        <w:rPr>
          <w:rFonts w:hint="eastAsia" w:ascii="黑体" w:hAnsi="黑体" w:eastAsia="黑体"/>
          <w:color w:val="000000"/>
          <w:sz w:val="52"/>
          <w:szCs w:val="52"/>
        </w:rPr>
      </w:pPr>
      <w:r>
        <w:rPr>
          <w:rFonts w:hint="eastAsia" w:ascii="黑体" w:hAnsi="黑体" w:eastAsia="黑体"/>
          <w:color w:val="000000"/>
          <w:sz w:val="52"/>
          <w:szCs w:val="52"/>
        </w:rPr>
        <w:t>西华县商务局</w:t>
      </w:r>
    </w:p>
    <w:p>
      <w:pPr>
        <w:jc w:val="center"/>
        <w:rPr>
          <w:rFonts w:ascii="黑体" w:hAnsi="黑体" w:eastAsia="黑体"/>
          <w:color w:val="000000"/>
          <w:sz w:val="52"/>
          <w:szCs w:val="52"/>
        </w:rPr>
      </w:pPr>
      <w:r>
        <w:rPr>
          <w:rFonts w:hint="eastAsia" w:ascii="黑体" w:hAnsi="黑体" w:eastAsia="黑体"/>
          <w:color w:val="000000"/>
          <w:sz w:val="52"/>
          <w:szCs w:val="52"/>
        </w:rPr>
        <w:t>2021年度部门预算</w:t>
      </w:r>
    </w:p>
    <w:p>
      <w:pPr>
        <w:jc w:val="center"/>
        <w:rPr>
          <w:rFonts w:ascii="黑体" w:hAnsi="黑体" w:eastAsia="黑体"/>
          <w:color w:val="000000"/>
          <w:sz w:val="52"/>
          <w:szCs w:val="52"/>
        </w:rPr>
      </w:pPr>
    </w:p>
    <w:p>
      <w:pPr>
        <w:jc w:val="center"/>
        <w:rPr>
          <w:rFonts w:ascii="黑体" w:hAnsi="黑体" w:eastAsia="黑体"/>
          <w:color w:val="000000"/>
          <w:sz w:val="52"/>
          <w:szCs w:val="52"/>
        </w:rPr>
      </w:pPr>
    </w:p>
    <w:p>
      <w:pPr>
        <w:jc w:val="center"/>
        <w:rPr>
          <w:rFonts w:ascii="黑体" w:hAnsi="黑体" w:eastAsia="黑体"/>
          <w:color w:val="000000"/>
          <w:sz w:val="52"/>
          <w:szCs w:val="52"/>
        </w:rPr>
      </w:pPr>
    </w:p>
    <w:p>
      <w:pPr>
        <w:jc w:val="center"/>
        <w:rPr>
          <w:rFonts w:ascii="黑体" w:hAnsi="黑体" w:eastAsia="黑体"/>
          <w:color w:val="000000"/>
          <w:sz w:val="52"/>
          <w:szCs w:val="52"/>
        </w:rPr>
      </w:pPr>
    </w:p>
    <w:p>
      <w:pPr>
        <w:adjustRightInd w:val="0"/>
        <w:snapToGrid w:val="0"/>
        <w:spacing w:line="360" w:lineRule="auto"/>
        <w:jc w:val="center"/>
        <w:rPr>
          <w:rFonts w:hint="eastAsia" w:ascii="黑体" w:hAnsi="方正小标宋简体" w:eastAsia="黑体" w:cs="方正小标宋简体"/>
          <w:color w:val="000000"/>
          <w:sz w:val="32"/>
          <w:szCs w:val="32"/>
        </w:rPr>
      </w:pPr>
    </w:p>
    <w:p>
      <w:pPr>
        <w:adjustRightInd w:val="0"/>
        <w:snapToGrid w:val="0"/>
        <w:spacing w:line="360" w:lineRule="auto"/>
        <w:jc w:val="center"/>
        <w:rPr>
          <w:rFonts w:hint="eastAsia" w:ascii="黑体" w:hAnsi="方正小标宋简体" w:eastAsia="黑体" w:cs="方正小标宋简体"/>
          <w:color w:val="000000"/>
          <w:sz w:val="32"/>
          <w:szCs w:val="32"/>
        </w:rPr>
      </w:pPr>
    </w:p>
    <w:p>
      <w:pPr>
        <w:adjustRightInd w:val="0"/>
        <w:snapToGrid w:val="0"/>
        <w:spacing w:line="360" w:lineRule="auto"/>
        <w:jc w:val="center"/>
        <w:rPr>
          <w:rFonts w:hint="eastAsia" w:ascii="黑体" w:hAnsi="方正小标宋简体" w:eastAsia="黑体" w:cs="方正小标宋简体"/>
          <w:color w:val="000000"/>
          <w:sz w:val="32"/>
          <w:szCs w:val="32"/>
        </w:rPr>
      </w:pPr>
    </w:p>
    <w:p>
      <w:pPr>
        <w:adjustRightInd w:val="0"/>
        <w:snapToGrid w:val="0"/>
        <w:spacing w:line="360" w:lineRule="auto"/>
        <w:jc w:val="center"/>
        <w:rPr>
          <w:rFonts w:hint="eastAsia" w:ascii="黑体" w:hAnsi="方正小标宋简体" w:eastAsia="黑体" w:cs="方正小标宋简体"/>
          <w:color w:val="000000"/>
          <w:sz w:val="32"/>
          <w:szCs w:val="32"/>
        </w:rPr>
      </w:pPr>
    </w:p>
    <w:p>
      <w:pPr>
        <w:adjustRightInd w:val="0"/>
        <w:snapToGrid w:val="0"/>
        <w:spacing w:line="360" w:lineRule="auto"/>
        <w:jc w:val="center"/>
        <w:rPr>
          <w:rFonts w:hint="eastAsia" w:ascii="黑体" w:hAnsi="方正小标宋简体" w:eastAsia="黑体" w:cs="方正小标宋简体"/>
          <w:color w:val="000000"/>
          <w:sz w:val="32"/>
          <w:szCs w:val="32"/>
        </w:rPr>
      </w:pPr>
    </w:p>
    <w:p>
      <w:pPr>
        <w:adjustRightInd w:val="0"/>
        <w:snapToGrid w:val="0"/>
        <w:spacing w:line="360" w:lineRule="auto"/>
        <w:jc w:val="center"/>
        <w:rPr>
          <w:rFonts w:hint="eastAsia" w:ascii="黑体" w:hAnsi="方正小标宋简体" w:eastAsia="黑体" w:cs="方正小标宋简体"/>
          <w:color w:val="000000"/>
          <w:sz w:val="32"/>
          <w:szCs w:val="32"/>
        </w:rPr>
      </w:pPr>
    </w:p>
    <w:p>
      <w:pPr>
        <w:adjustRightInd w:val="0"/>
        <w:snapToGrid w:val="0"/>
        <w:spacing w:line="360" w:lineRule="auto"/>
        <w:jc w:val="center"/>
        <w:rPr>
          <w:rFonts w:ascii="黑体" w:hAnsi="方正小标宋简体" w:eastAsia="黑体" w:cs="方正小标宋简体"/>
          <w:color w:val="000000"/>
          <w:sz w:val="44"/>
          <w:szCs w:val="44"/>
        </w:rPr>
      </w:pPr>
      <w:r>
        <w:rPr>
          <w:rFonts w:hint="eastAsia" w:ascii="黑体" w:hAnsi="方正小标宋简体" w:eastAsia="黑体" w:cs="方正小标宋简体"/>
          <w:color w:val="000000"/>
          <w:sz w:val="32"/>
          <w:szCs w:val="32"/>
        </w:rPr>
        <w:t>二○二一年</w:t>
      </w:r>
      <w:r>
        <w:rPr>
          <w:rFonts w:hint="eastAsia" w:ascii="黑体" w:hAnsi="方正小标宋简体" w:eastAsia="黑体" w:cs="方正小标宋简体"/>
          <w:color w:val="000000"/>
          <w:sz w:val="32"/>
          <w:szCs w:val="32"/>
          <w:lang w:val="en-US" w:eastAsia="zh-CN"/>
        </w:rPr>
        <w:t>十</w:t>
      </w:r>
      <w:r>
        <w:rPr>
          <w:rFonts w:hint="eastAsia" w:ascii="黑体" w:hAnsi="方正小标宋简体" w:eastAsia="黑体" w:cs="方正小标宋简体"/>
          <w:color w:val="000000"/>
          <w:sz w:val="32"/>
          <w:szCs w:val="32"/>
        </w:rPr>
        <w:t>月</w:t>
      </w:r>
    </w:p>
    <w:p>
      <w:pPr>
        <w:kinsoku w:val="0"/>
        <w:overflowPunct w:val="0"/>
        <w:adjustRightInd w:val="0"/>
        <w:snapToGrid w:val="0"/>
        <w:spacing w:line="360" w:lineRule="auto"/>
        <w:ind w:left="101" w:right="3569" w:firstLine="640" w:firstLineChars="200"/>
        <w:rPr>
          <w:rFonts w:ascii="仿宋_GB2312" w:hAnsi="仿宋_GB2312" w:eastAsia="仿宋_GB2312" w:cs="仿宋_GB2312"/>
          <w:color w:val="000000"/>
          <w:sz w:val="32"/>
          <w:szCs w:val="32"/>
        </w:rPr>
      </w:pPr>
    </w:p>
    <w:p>
      <w:pPr>
        <w:kinsoku w:val="0"/>
        <w:overflowPunct w:val="0"/>
        <w:adjustRightInd w:val="0"/>
        <w:snapToGrid w:val="0"/>
        <w:spacing w:line="580" w:lineRule="exact"/>
        <w:ind w:right="51"/>
        <w:rPr>
          <w:rFonts w:ascii="仿宋_GB2312" w:hAnsi="仿宋_GB2312" w:eastAsia="仿宋_GB2312" w:cs="仿宋_GB2312"/>
          <w:color w:val="000000"/>
          <w:sz w:val="44"/>
          <w:szCs w:val="44"/>
        </w:rPr>
      </w:pPr>
    </w:p>
    <w:p>
      <w:pPr>
        <w:kinsoku w:val="0"/>
        <w:overflowPunct w:val="0"/>
        <w:adjustRightInd w:val="0"/>
        <w:snapToGrid w:val="0"/>
        <w:spacing w:line="580" w:lineRule="exact"/>
        <w:ind w:left="-142" w:right="51" w:firstLine="30" w:firstLineChars="7"/>
        <w:jc w:val="center"/>
        <w:rPr>
          <w:rFonts w:hint="eastAsia" w:ascii="方正小标宋简体" w:hAnsi="仿宋_GB2312" w:eastAsia="方正小标宋简体" w:cs="仿宋_GB2312"/>
          <w:color w:val="000000"/>
          <w:sz w:val="44"/>
          <w:szCs w:val="44"/>
        </w:rPr>
      </w:pPr>
    </w:p>
    <w:p>
      <w:pPr>
        <w:kinsoku w:val="0"/>
        <w:overflowPunct w:val="0"/>
        <w:adjustRightInd w:val="0"/>
        <w:snapToGrid w:val="0"/>
        <w:spacing w:line="580" w:lineRule="exact"/>
        <w:ind w:left="-142" w:right="51" w:firstLine="30" w:firstLineChars="7"/>
        <w:jc w:val="center"/>
        <w:rPr>
          <w:rFonts w:ascii="方正小标宋简体" w:hAnsi="仿宋_GB2312" w:eastAsia="方正小标宋简体" w:cs="仿宋_GB2312"/>
          <w:color w:val="000000"/>
          <w:sz w:val="44"/>
          <w:szCs w:val="44"/>
        </w:rPr>
      </w:pPr>
      <w:r>
        <w:rPr>
          <w:rFonts w:hint="eastAsia" w:ascii="方正小标宋简体" w:hAnsi="仿宋_GB2312" w:eastAsia="方正小标宋简体" w:cs="仿宋_GB2312"/>
          <w:color w:val="000000"/>
          <w:sz w:val="44"/>
          <w:szCs w:val="44"/>
        </w:rPr>
        <w:t>目</w:t>
      </w:r>
      <w:r>
        <w:rPr>
          <w:rFonts w:hint="eastAsia" w:ascii="方正小标宋简体" w:hAnsi="仿宋_GB2312" w:eastAsia="方正小标宋简体" w:cs="仿宋_GB2312"/>
          <w:color w:val="000000"/>
          <w:spacing w:val="2"/>
          <w:sz w:val="44"/>
          <w:szCs w:val="44"/>
        </w:rPr>
        <w:t xml:space="preserve"> </w:t>
      </w:r>
      <w:r>
        <w:rPr>
          <w:rFonts w:hint="eastAsia" w:ascii="方正小标宋简体" w:hAnsi="仿宋_GB2312" w:eastAsia="方正小标宋简体" w:cs="仿宋_GB2312"/>
          <w:color w:val="000000"/>
          <w:sz w:val="44"/>
          <w:szCs w:val="44"/>
        </w:rPr>
        <w:t>录</w:t>
      </w:r>
    </w:p>
    <w:p>
      <w:pPr>
        <w:kinsoku w:val="0"/>
        <w:overflowPunct w:val="0"/>
        <w:adjustRightInd w:val="0"/>
        <w:snapToGrid w:val="0"/>
        <w:spacing w:line="580" w:lineRule="exact"/>
        <w:ind w:right="3569" w:firstLine="643" w:firstLineChars="200"/>
        <w:rPr>
          <w:rFonts w:ascii="仿宋_GB2312" w:hAnsi="仿宋_GB2312" w:eastAsia="仿宋_GB2312" w:cs="仿宋_GB2312"/>
          <w:b/>
          <w:bCs/>
          <w:color w:val="000000"/>
          <w:sz w:val="32"/>
          <w:szCs w:val="32"/>
        </w:rPr>
      </w:pPr>
    </w:p>
    <w:p>
      <w:pPr>
        <w:kinsoku w:val="0"/>
        <w:overflowPunct w:val="0"/>
        <w:adjustRightInd w:val="0"/>
        <w:snapToGrid w:val="0"/>
        <w:spacing w:line="360" w:lineRule="auto"/>
        <w:ind w:right="3569" w:firstLine="643" w:firstLineChars="200"/>
        <w:rPr>
          <w:rFonts w:ascii="仿宋_GB2312" w:hAnsi="仿宋_GB2312" w:eastAsia="仿宋_GB2312" w:cs="仿宋_GB2312"/>
          <w:w w:val="99"/>
          <w:sz w:val="32"/>
          <w:szCs w:val="32"/>
        </w:rPr>
      </w:pPr>
      <w:r>
        <w:rPr>
          <w:rFonts w:hint="eastAsia" w:ascii="仿宋_GB2312" w:hAnsi="仿宋_GB2312" w:eastAsia="仿宋_GB2312" w:cs="仿宋_GB2312"/>
          <w:b/>
          <w:bCs/>
          <w:sz w:val="32"/>
          <w:szCs w:val="32"/>
        </w:rPr>
        <w:t>第一部分  概况</w:t>
      </w:r>
      <w:r>
        <w:rPr>
          <w:rFonts w:hint="eastAsia" w:ascii="仿宋_GB2312" w:hAnsi="仿宋_GB2312" w:eastAsia="仿宋_GB2312" w:cs="仿宋_GB2312"/>
          <w:w w:val="99"/>
          <w:sz w:val="32"/>
          <w:szCs w:val="32"/>
        </w:rPr>
        <w:t xml:space="preserve"> </w:t>
      </w:r>
    </w:p>
    <w:p>
      <w:pPr>
        <w:kinsoku w:val="0"/>
        <w:overflowPunct w:val="0"/>
        <w:adjustRightInd w:val="0"/>
        <w:snapToGrid w:val="0"/>
        <w:spacing w:line="360" w:lineRule="auto"/>
        <w:ind w:right="3569"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一、主要职能</w:t>
      </w:r>
    </w:p>
    <w:p>
      <w:pPr>
        <w:kinsoku w:val="0"/>
        <w:overflowPunct w:val="0"/>
        <w:adjustRightInd w:val="0"/>
        <w:snapToGrid w:val="0"/>
        <w:spacing w:line="360" w:lineRule="auto"/>
        <w:ind w:right="3569"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二、部门预算单位构成</w:t>
      </w:r>
    </w:p>
    <w:p>
      <w:pPr>
        <w:kinsoku w:val="0"/>
        <w:overflowPunct w:val="0"/>
        <w:adjustRightInd w:val="0"/>
        <w:snapToGrid w:val="0"/>
        <w:spacing w:line="360" w:lineRule="auto"/>
        <w:ind w:right="521"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第二部分 西华县商务局2021年部门预算情况说明</w:t>
      </w:r>
    </w:p>
    <w:p>
      <w:pPr>
        <w:kinsoku w:val="0"/>
        <w:overflowPunct w:val="0"/>
        <w:adjustRightInd w:val="0"/>
        <w:snapToGrid w:val="0"/>
        <w:spacing w:line="360" w:lineRule="auto"/>
        <w:ind w:right="521"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第三部分 名词解释</w:t>
      </w:r>
    </w:p>
    <w:p>
      <w:pPr>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附件：西华县商务局2021年度部门预算表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一、部门收支总体情况表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二、部门收入总体情况表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三、部门支出总体情况表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四、财政拨款收支总体情况表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五、一般公共预算支出情况表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六、一般公共预算基本支出情况表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七、一般公共预算“三公”经费支出情况表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八、政府性基金预算支出情况表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九、国有资本经营预算收支情况表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十、机关运行经费</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十一、部门（单位）整体绩效目标表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十二、项目（政策）绩效目标表</w:t>
      </w:r>
    </w:p>
    <w:p>
      <w:pPr>
        <w:adjustRightInd w:val="0"/>
        <w:snapToGrid w:val="0"/>
        <w:spacing w:line="580" w:lineRule="exact"/>
        <w:jc w:val="center"/>
        <w:rPr>
          <w:rFonts w:hint="eastAsia" w:ascii="黑体" w:hAnsi="仿宋_GB2312" w:eastAsia="黑体" w:cs="仿宋_GB2312"/>
          <w:bCs/>
          <w:color w:val="000000"/>
          <w:sz w:val="36"/>
          <w:szCs w:val="36"/>
        </w:rPr>
      </w:pPr>
    </w:p>
    <w:p>
      <w:pPr>
        <w:adjustRightInd w:val="0"/>
        <w:snapToGrid w:val="0"/>
        <w:spacing w:line="580" w:lineRule="exact"/>
        <w:jc w:val="center"/>
        <w:rPr>
          <w:rFonts w:hint="eastAsia" w:ascii="黑体" w:hAnsi="仿宋_GB2312" w:eastAsia="黑体" w:cs="仿宋_GB2312"/>
          <w:bCs/>
          <w:color w:val="000000"/>
          <w:sz w:val="36"/>
          <w:szCs w:val="36"/>
        </w:rPr>
      </w:pPr>
    </w:p>
    <w:p>
      <w:pPr>
        <w:adjustRightInd w:val="0"/>
        <w:snapToGrid w:val="0"/>
        <w:spacing w:line="580" w:lineRule="exact"/>
        <w:jc w:val="center"/>
        <w:rPr>
          <w:rFonts w:ascii="黑体" w:hAnsi="仿宋_GB2312" w:eastAsia="黑体" w:cs="仿宋_GB2312"/>
          <w:bCs/>
          <w:color w:val="000000"/>
          <w:sz w:val="36"/>
          <w:szCs w:val="36"/>
        </w:rPr>
      </w:pPr>
      <w:r>
        <w:rPr>
          <w:rFonts w:hint="eastAsia" w:ascii="黑体" w:hAnsi="仿宋_GB2312" w:eastAsia="黑体" w:cs="仿宋_GB2312"/>
          <w:bCs/>
          <w:color w:val="000000"/>
          <w:sz w:val="36"/>
          <w:szCs w:val="36"/>
        </w:rPr>
        <w:t>第一部分</w:t>
      </w:r>
    </w:p>
    <w:p>
      <w:pPr>
        <w:adjustRightInd w:val="0"/>
        <w:snapToGrid w:val="0"/>
        <w:spacing w:line="580" w:lineRule="exact"/>
        <w:jc w:val="center"/>
        <w:rPr>
          <w:rFonts w:hint="eastAsia" w:ascii="黑体" w:hAnsi="仿宋_GB2312" w:eastAsia="黑体" w:cs="仿宋_GB2312"/>
          <w:bCs/>
          <w:color w:val="000000"/>
          <w:sz w:val="36"/>
          <w:szCs w:val="36"/>
        </w:rPr>
      </w:pPr>
      <w:r>
        <w:rPr>
          <w:rFonts w:hint="eastAsia" w:ascii="黑体" w:hAnsi="仿宋_GB2312" w:eastAsia="黑体" w:cs="仿宋_GB2312"/>
          <w:bCs/>
          <w:color w:val="000000"/>
          <w:sz w:val="36"/>
          <w:szCs w:val="36"/>
        </w:rPr>
        <w:t>西华县商务局概况</w:t>
      </w:r>
    </w:p>
    <w:p>
      <w:pPr>
        <w:adjustRightInd w:val="0"/>
        <w:snapToGrid w:val="0"/>
        <w:spacing w:line="580" w:lineRule="exact"/>
        <w:ind w:firstLine="640" w:firstLineChars="200"/>
        <w:jc w:val="center"/>
        <w:rPr>
          <w:rFonts w:ascii="仿宋_GB2312" w:hAnsi="仿宋_GB2312" w:eastAsia="仿宋_GB2312" w:cs="仿宋_GB2312"/>
          <w:color w:val="000000"/>
          <w:sz w:val="32"/>
          <w:szCs w:val="32"/>
        </w:rPr>
      </w:pPr>
    </w:p>
    <w:p>
      <w:pPr>
        <w:numPr>
          <w:ilvl w:val="0"/>
          <w:numId w:val="1"/>
        </w:numPr>
        <w:adjustRightInd w:val="0"/>
        <w:snapToGrid w:val="0"/>
        <w:spacing w:line="580" w:lineRule="exact"/>
        <w:ind w:firstLine="640" w:firstLineChars="200"/>
        <w:outlineLvl w:val="0"/>
        <w:rPr>
          <w:rFonts w:ascii="黑体" w:hAnsi="仿宋_GB2312" w:eastAsia="黑体" w:cs="仿宋_GB2312"/>
          <w:color w:val="000000"/>
          <w:sz w:val="32"/>
          <w:szCs w:val="32"/>
        </w:rPr>
      </w:pPr>
      <w:r>
        <w:rPr>
          <w:rFonts w:hint="eastAsia" w:ascii="黑体" w:hAnsi="仿宋_GB2312" w:eastAsia="黑体" w:cs="仿宋_GB2312"/>
          <w:color w:val="000000"/>
          <w:sz w:val="32"/>
          <w:szCs w:val="32"/>
        </w:rPr>
        <w:t>主要职能</w:t>
      </w:r>
    </w:p>
    <w:p>
      <w:pPr>
        <w:kinsoku w:val="0"/>
        <w:overflowPunct w:val="0"/>
        <w:adjustRightInd w:val="0"/>
        <w:snapToGrid w:val="0"/>
        <w:spacing w:line="580" w:lineRule="exact"/>
        <w:ind w:right="3569" w:firstLine="640" w:firstLineChars="200"/>
        <w:jc w:val="left"/>
        <w:rPr>
          <w:rFonts w:ascii="楷体_GB2312" w:hAnsi="仿宋_GB2312" w:eastAsia="楷体_GB2312" w:cs="仿宋_GB2312"/>
          <w:color w:val="000000"/>
          <w:sz w:val="32"/>
          <w:szCs w:val="32"/>
        </w:rPr>
      </w:pPr>
      <w:r>
        <w:rPr>
          <w:rFonts w:hint="eastAsia" w:ascii="楷体_GB2312" w:hAnsi="仿宋_GB2312" w:eastAsia="楷体_GB2312" w:cs="仿宋_GB2312"/>
          <w:color w:val="000000"/>
          <w:sz w:val="32"/>
          <w:szCs w:val="32"/>
        </w:rPr>
        <w:t>（一）机构设置情况</w:t>
      </w:r>
    </w:p>
    <w:p>
      <w:pPr>
        <w:shd w:val="clear" w:color="auto" w:fill="FFFFFF"/>
        <w:spacing w:line="594" w:lineRule="exact"/>
        <w:ind w:firstLine="640" w:firstLineChars="200"/>
        <w:jc w:val="both"/>
        <w:rPr>
          <w:rFonts w:ascii="仿宋" w:hAnsi="仿宋" w:eastAsia="仿宋" w:cs="宋体"/>
          <w:color w:val="000000"/>
          <w:sz w:val="17"/>
          <w:szCs w:val="17"/>
        </w:rPr>
      </w:pPr>
      <w:r>
        <w:rPr>
          <w:rFonts w:hint="eastAsia" w:ascii="仿宋" w:hAnsi="仿宋" w:eastAsia="仿宋" w:cs="宋体"/>
          <w:color w:val="353535"/>
          <w:sz w:val="32"/>
          <w:szCs w:val="32"/>
        </w:rPr>
        <w:t>西华县商务局为县政府组成部门，局机关共设行政股室10个、事业股室4个，局属二级机构3个。</w:t>
      </w:r>
      <w:r>
        <w:rPr>
          <w:rFonts w:hint="eastAsia" w:ascii="仿宋" w:hAnsi="仿宋" w:eastAsia="仿宋" w:cs="宋体"/>
          <w:color w:val="000000"/>
          <w:sz w:val="32"/>
          <w:szCs w:val="32"/>
        </w:rPr>
        <w:t>西华县商务局共有编制63人，其中：行政编制19人，事业编制44人。目前，商务局在职人员74人，离休人员1人</w:t>
      </w:r>
      <w:r>
        <w:rPr>
          <w:rFonts w:ascii="仿宋" w:hAnsi="仿宋" w:eastAsia="仿宋" w:cs="宋体"/>
          <w:color w:val="000000"/>
          <w:sz w:val="32"/>
          <w:szCs w:val="32"/>
        </w:rPr>
        <w:t>,</w:t>
      </w:r>
      <w:r>
        <w:rPr>
          <w:rFonts w:hint="eastAsia" w:ascii="仿宋" w:hAnsi="仿宋" w:eastAsia="仿宋" w:cs="宋体"/>
          <w:color w:val="000000"/>
          <w:sz w:val="32"/>
          <w:szCs w:val="32"/>
        </w:rPr>
        <w:t>退休人员30人</w:t>
      </w:r>
      <w:r>
        <w:rPr>
          <w:rFonts w:ascii="仿宋" w:hAnsi="仿宋" w:eastAsia="仿宋" w:cs="宋体"/>
          <w:color w:val="000000"/>
          <w:sz w:val="32"/>
          <w:szCs w:val="32"/>
        </w:rPr>
        <w:t>,</w:t>
      </w:r>
      <w:r>
        <w:rPr>
          <w:rFonts w:hint="eastAsia" w:ascii="仿宋" w:hAnsi="仿宋" w:eastAsia="仿宋" w:cs="宋体"/>
          <w:color w:val="000000"/>
          <w:sz w:val="32"/>
          <w:szCs w:val="32"/>
        </w:rPr>
        <w:t>遗嘱人8人。</w:t>
      </w:r>
    </w:p>
    <w:p>
      <w:pPr>
        <w:kinsoku w:val="0"/>
        <w:overflowPunct w:val="0"/>
        <w:adjustRightInd w:val="0"/>
        <w:snapToGrid w:val="0"/>
        <w:spacing w:line="580" w:lineRule="exact"/>
        <w:ind w:right="3569" w:firstLine="640" w:firstLineChars="200"/>
        <w:jc w:val="left"/>
        <w:rPr>
          <w:rFonts w:ascii="楷体_GB2312" w:hAnsi="仿宋_GB2312" w:eastAsia="楷体_GB2312" w:cs="仿宋_GB2312"/>
          <w:color w:val="000000"/>
          <w:sz w:val="32"/>
          <w:szCs w:val="32"/>
        </w:rPr>
      </w:pPr>
      <w:r>
        <w:rPr>
          <w:rFonts w:hint="eastAsia" w:ascii="楷体_GB2312" w:hAnsi="仿宋_GB2312" w:eastAsia="楷体_GB2312" w:cs="仿宋_GB2312"/>
          <w:color w:val="000000"/>
          <w:sz w:val="32"/>
          <w:szCs w:val="32"/>
        </w:rPr>
        <w:t>（二）部门职责</w:t>
      </w:r>
    </w:p>
    <w:p>
      <w:pPr>
        <w:shd w:val="clear" w:color="auto" w:fill="FFFFFF"/>
        <w:ind w:firstLine="640" w:firstLineChars="200"/>
        <w:jc w:val="both"/>
        <w:rPr>
          <w:rFonts w:hint="eastAsia" w:ascii="仿宋" w:hAnsi="仿宋" w:eastAsia="仿宋" w:cs="宋体"/>
          <w:color w:val="333333"/>
          <w:kern w:val="0"/>
          <w:sz w:val="32"/>
          <w:szCs w:val="32"/>
        </w:rPr>
      </w:pPr>
      <w:r>
        <w:rPr>
          <w:rFonts w:hint="eastAsia" w:ascii="仿宋" w:hAnsi="仿宋" w:eastAsia="仿宋" w:cs="宋体"/>
          <w:color w:val="333333"/>
          <w:kern w:val="0"/>
          <w:sz w:val="32"/>
          <w:szCs w:val="32"/>
        </w:rPr>
        <w:t>贯彻落实国家、省、市有关国内外贸易和国际经济合作的发展战略、方针、政策，拟定全县相应的发展规划以及规定、办法和措施，研究流通体制改革并提出建议。</w:t>
      </w:r>
    </w:p>
    <w:p>
      <w:pPr>
        <w:shd w:val="clear" w:color="auto" w:fill="FFFFFF"/>
        <w:ind w:firstLine="640" w:firstLineChars="200"/>
        <w:jc w:val="both"/>
        <w:rPr>
          <w:rFonts w:hint="eastAsia" w:ascii="仿宋" w:hAnsi="仿宋" w:eastAsia="仿宋" w:cs="宋体"/>
          <w:color w:val="333333"/>
          <w:kern w:val="0"/>
          <w:sz w:val="32"/>
          <w:szCs w:val="32"/>
        </w:rPr>
      </w:pPr>
      <w:r>
        <w:rPr>
          <w:rFonts w:hint="eastAsia" w:ascii="仿宋" w:hAnsi="仿宋" w:eastAsia="仿宋" w:cs="宋体"/>
          <w:color w:val="333333"/>
          <w:kern w:val="0"/>
          <w:sz w:val="32"/>
          <w:szCs w:val="32"/>
        </w:rPr>
        <w:t>负责提出全县流通体制改革意见，培育发展城乡市场，推进流通产业结构调整，指导流通企业改革，商贸服务业和社区商业发展，提出促进商贸中小企业发展的政策建议，推进流通标准化产业结构调整和连锁经营、商业特许经营、物流配送等现代流通方式的发展。</w:t>
      </w:r>
    </w:p>
    <w:p>
      <w:pPr>
        <w:shd w:val="clear" w:color="auto" w:fill="FFFFFF"/>
        <w:ind w:firstLine="640" w:firstLineChars="200"/>
        <w:jc w:val="both"/>
        <w:rPr>
          <w:rFonts w:ascii="仿宋" w:hAnsi="仿宋" w:eastAsia="仿宋" w:cs="宋体"/>
          <w:color w:val="333333"/>
          <w:kern w:val="0"/>
          <w:sz w:val="32"/>
          <w:szCs w:val="32"/>
        </w:rPr>
      </w:pPr>
      <w:r>
        <w:rPr>
          <w:rFonts w:hint="eastAsia" w:ascii="仿宋" w:hAnsi="仿宋" w:eastAsia="仿宋" w:cs="宋体"/>
          <w:color w:val="333333"/>
          <w:kern w:val="0"/>
          <w:sz w:val="32"/>
          <w:szCs w:val="32"/>
        </w:rPr>
        <w:t>负责产业损害调查，重要工业品和原材料进出口计划组织实施、区域间经济技术协作、成品油、润滑油、煤炭市场的管理工作，负责拍卖、典当、实物租赁（除汽车租赁和房屋租赁外）、再生资源回收、旧货流通、旧机动车交易、汽车报废的管理职能。</w:t>
      </w:r>
    </w:p>
    <w:p>
      <w:pPr>
        <w:shd w:val="clear" w:color="auto" w:fill="FFFFFF"/>
        <w:ind w:firstLine="640" w:firstLineChars="200"/>
        <w:jc w:val="both"/>
        <w:rPr>
          <w:rFonts w:ascii="仿宋" w:hAnsi="仿宋" w:eastAsia="仿宋" w:cs="宋体"/>
          <w:color w:val="333333"/>
          <w:kern w:val="0"/>
          <w:sz w:val="32"/>
          <w:szCs w:val="32"/>
        </w:rPr>
      </w:pPr>
      <w:r>
        <w:rPr>
          <w:rFonts w:hint="eastAsia" w:ascii="仿宋" w:hAnsi="仿宋" w:eastAsia="仿宋" w:cs="宋体"/>
          <w:color w:val="333333"/>
          <w:kern w:val="0"/>
          <w:sz w:val="32"/>
          <w:szCs w:val="32"/>
        </w:rPr>
        <w:t>拟定国内贸易发展规划，促进城乡市场发展，研究提出引导国内外资金投向市场体系建设的政策，指导大宗产品批发市场规划和城市商业网点规划、商业体系建设工作，推进农村商场体系建设，组织实施农村现代流通网络工程。</w:t>
      </w:r>
    </w:p>
    <w:p>
      <w:pPr>
        <w:shd w:val="clear" w:color="auto" w:fill="FFFFFF"/>
        <w:ind w:firstLine="640" w:firstLineChars="200"/>
        <w:jc w:val="both"/>
        <w:rPr>
          <w:rFonts w:ascii="仿宋" w:hAnsi="仿宋" w:eastAsia="仿宋" w:cs="宋体"/>
          <w:color w:val="333333"/>
          <w:kern w:val="0"/>
          <w:sz w:val="32"/>
          <w:szCs w:val="32"/>
        </w:rPr>
      </w:pPr>
      <w:r>
        <w:rPr>
          <w:rFonts w:hint="eastAsia" w:ascii="仿宋" w:hAnsi="仿宋" w:eastAsia="仿宋" w:cs="宋体"/>
          <w:color w:val="333333"/>
          <w:kern w:val="0"/>
          <w:sz w:val="32"/>
          <w:szCs w:val="32"/>
        </w:rPr>
        <w:t>推动商务领域信用建设，指导商业信用销售，建立市场公共服务平台，受理全县商务领域举报投诉，参与组织打击侵犯知识产权、商业欺诈等扰乱市场秩序的行为，保障消费者和企业的合法权益。</w:t>
      </w:r>
    </w:p>
    <w:p>
      <w:pPr>
        <w:shd w:val="clear" w:color="auto" w:fill="FFFFFF"/>
        <w:ind w:firstLine="640" w:firstLineChars="200"/>
        <w:jc w:val="both"/>
        <w:rPr>
          <w:rFonts w:ascii="仿宋" w:hAnsi="仿宋" w:eastAsia="仿宋" w:cs="宋体"/>
          <w:color w:val="333333"/>
          <w:kern w:val="0"/>
          <w:sz w:val="32"/>
          <w:szCs w:val="32"/>
        </w:rPr>
      </w:pPr>
      <w:r>
        <w:rPr>
          <w:rFonts w:hint="eastAsia" w:ascii="仿宋" w:hAnsi="仿宋" w:eastAsia="仿宋" w:cs="宋体"/>
          <w:color w:val="333333"/>
          <w:kern w:val="0"/>
          <w:sz w:val="32"/>
          <w:szCs w:val="32"/>
        </w:rPr>
        <w:t>负责协调管理与国外贸易有关的单位、公司和全县驻境外商务机构的队伍建设、人员选派和管理工作；负责审核申报全县从事经贸活动人员和劳务人员出国批件和管理工作；指导协调全县商贸流通行业协会、学会等社团工作。</w:t>
      </w:r>
    </w:p>
    <w:p>
      <w:pPr>
        <w:shd w:val="clear" w:color="auto" w:fill="FFFFFF"/>
        <w:ind w:firstLine="640" w:firstLineChars="200"/>
        <w:jc w:val="both"/>
        <w:rPr>
          <w:rFonts w:ascii="仿宋" w:hAnsi="仿宋" w:eastAsia="仿宋" w:cs="宋体"/>
          <w:color w:val="333333"/>
          <w:kern w:val="0"/>
          <w:sz w:val="32"/>
          <w:szCs w:val="32"/>
        </w:rPr>
      </w:pPr>
      <w:r>
        <w:rPr>
          <w:rFonts w:hint="eastAsia" w:ascii="仿宋" w:hAnsi="仿宋" w:eastAsia="仿宋" w:cs="宋体"/>
          <w:color w:val="333333"/>
          <w:kern w:val="0"/>
          <w:sz w:val="32"/>
          <w:szCs w:val="32"/>
        </w:rPr>
        <w:t>负责对外贸易经营者备案登记和国际货运代理企业的资格审定工作；负责境外就业职业介绍机构资格认定、审批工作；负责加油站建设及成品油零售经营资格的审批、变更和年检。</w:t>
      </w:r>
    </w:p>
    <w:p>
      <w:pPr>
        <w:shd w:val="clear" w:color="auto" w:fill="FFFFFF"/>
        <w:ind w:firstLine="640" w:firstLineChars="200"/>
        <w:jc w:val="both"/>
        <w:rPr>
          <w:rFonts w:ascii="仿宋" w:hAnsi="仿宋" w:eastAsia="仿宋" w:cs="宋体"/>
          <w:color w:val="333333"/>
          <w:kern w:val="0"/>
          <w:sz w:val="32"/>
          <w:szCs w:val="32"/>
        </w:rPr>
      </w:pPr>
      <w:r>
        <w:rPr>
          <w:rFonts w:hint="eastAsia" w:ascii="仿宋" w:hAnsi="仿宋" w:eastAsia="仿宋" w:cs="宋体"/>
          <w:color w:val="333333"/>
          <w:kern w:val="0"/>
          <w:sz w:val="32"/>
          <w:szCs w:val="32"/>
        </w:rPr>
        <w:t>承办县委、县政府交办的其他事项。</w:t>
      </w:r>
    </w:p>
    <w:p>
      <w:pPr>
        <w:shd w:val="clear" w:color="auto" w:fill="FFFFFF"/>
        <w:ind w:firstLine="640" w:firstLineChars="200"/>
        <w:jc w:val="left"/>
        <w:rPr>
          <w:rFonts w:hint="eastAsia" w:ascii="黑体" w:hAnsi="仿宋_GB2312" w:eastAsia="黑体" w:cs="仿宋_GB2312"/>
          <w:color w:val="000000"/>
          <w:sz w:val="32"/>
          <w:szCs w:val="32"/>
        </w:rPr>
      </w:pPr>
      <w:r>
        <w:rPr>
          <w:rFonts w:hint="eastAsia" w:ascii="黑体" w:hAnsi="仿宋_GB2312" w:eastAsia="黑体" w:cs="仿宋_GB2312"/>
          <w:color w:val="000000"/>
          <w:sz w:val="32"/>
          <w:szCs w:val="32"/>
        </w:rPr>
        <w:t>二、西华县商务局预算单位构成</w:t>
      </w:r>
    </w:p>
    <w:p>
      <w:pPr>
        <w:keepNext w:val="0"/>
        <w:keepLines w:val="0"/>
        <w:pageBreakBefore w:val="0"/>
        <w:widowControl w:val="0"/>
        <w:kinsoku/>
        <w:wordWrap/>
        <w:overflowPunct/>
        <w:topLinePunct w:val="0"/>
        <w:autoSpaceDE/>
        <w:autoSpaceDN/>
        <w:bidi w:val="0"/>
        <w:adjustRightInd/>
        <w:snapToGrid/>
        <w:spacing w:line="576" w:lineRule="exact"/>
        <w:ind w:firstLine="640"/>
        <w:textAlignment w:val="auto"/>
        <w:rPr>
          <w:rFonts w:hint="eastAsia" w:ascii="仿宋" w:hAnsi="仿宋" w:eastAsia="仿宋" w:cs="仿宋"/>
          <w:sz w:val="32"/>
          <w:lang w:val="en-US" w:eastAsia="zh-CN"/>
        </w:rPr>
      </w:pPr>
      <w:r>
        <w:rPr>
          <w:rFonts w:hint="eastAsia" w:ascii="仿宋" w:hAnsi="仿宋" w:eastAsia="仿宋" w:cs="仿宋"/>
          <w:sz w:val="32"/>
          <w:lang w:val="en-US" w:eastAsia="zh-CN"/>
        </w:rPr>
        <w:t>从预算单位构成看，西华县商务局部门预算包括本级预算、所属单位预算。</w:t>
      </w:r>
    </w:p>
    <w:p>
      <w:pPr>
        <w:keepNext w:val="0"/>
        <w:keepLines w:val="0"/>
        <w:pageBreakBefore w:val="0"/>
        <w:widowControl w:val="0"/>
        <w:kinsoku/>
        <w:wordWrap/>
        <w:overflowPunct/>
        <w:topLinePunct w:val="0"/>
        <w:autoSpaceDE/>
        <w:autoSpaceDN/>
        <w:bidi w:val="0"/>
        <w:adjustRightInd/>
        <w:snapToGrid/>
        <w:spacing w:line="576" w:lineRule="exact"/>
        <w:ind w:firstLine="640"/>
        <w:textAlignment w:val="auto"/>
        <w:rPr>
          <w:rFonts w:hint="eastAsia" w:ascii="仿宋" w:hAnsi="仿宋" w:eastAsia="仿宋" w:cs="仿宋"/>
          <w:sz w:val="32"/>
          <w:lang w:val="en-US" w:eastAsia="zh-CN"/>
        </w:rPr>
      </w:pPr>
      <w:r>
        <w:rPr>
          <w:rFonts w:hint="eastAsia" w:ascii="仿宋" w:hAnsi="仿宋" w:eastAsia="仿宋" w:cs="仿宋"/>
          <w:sz w:val="32"/>
          <w:lang w:val="en-US" w:eastAsia="zh-CN"/>
        </w:rPr>
        <w:t>本预算为汇总预算，</w:t>
      </w:r>
      <w:r>
        <w:rPr>
          <w:rFonts w:hint="eastAsia" w:ascii="仿宋" w:hAnsi="仿宋" w:eastAsia="仿宋" w:cs="仿宋"/>
          <w:sz w:val="32"/>
        </w:rPr>
        <w:t>纳入</w:t>
      </w:r>
      <w:r>
        <w:rPr>
          <w:rFonts w:hint="eastAsia" w:ascii="仿宋" w:hAnsi="仿宋" w:eastAsia="仿宋" w:cs="仿宋"/>
          <w:sz w:val="32"/>
          <w:lang w:val="en-US" w:eastAsia="zh-CN"/>
        </w:rPr>
        <w:t>本部门</w:t>
      </w:r>
      <w:r>
        <w:rPr>
          <w:rFonts w:hint="eastAsia" w:ascii="仿宋" w:hAnsi="仿宋" w:eastAsia="仿宋" w:cs="仿宋"/>
          <w:sz w:val="32"/>
        </w:rPr>
        <w:t>20</w:t>
      </w:r>
      <w:r>
        <w:rPr>
          <w:rFonts w:hint="eastAsia" w:ascii="仿宋" w:hAnsi="仿宋" w:eastAsia="仿宋" w:cs="仿宋"/>
          <w:sz w:val="32"/>
          <w:lang w:val="en-US" w:eastAsia="zh-CN"/>
        </w:rPr>
        <w:t>21</w:t>
      </w:r>
      <w:r>
        <w:rPr>
          <w:rFonts w:hint="eastAsia" w:ascii="仿宋" w:hAnsi="仿宋" w:eastAsia="仿宋" w:cs="仿宋"/>
          <w:sz w:val="32"/>
        </w:rPr>
        <w:t>年度</w:t>
      </w:r>
      <w:r>
        <w:rPr>
          <w:rFonts w:hint="eastAsia" w:ascii="仿宋" w:hAnsi="仿宋" w:eastAsia="仿宋" w:cs="仿宋"/>
          <w:sz w:val="32"/>
          <w:lang w:val="en-US" w:eastAsia="zh-CN"/>
        </w:rPr>
        <w:t>预算</w:t>
      </w:r>
      <w:r>
        <w:rPr>
          <w:rFonts w:hint="eastAsia" w:ascii="仿宋" w:hAnsi="仿宋" w:eastAsia="仿宋" w:cs="仿宋"/>
          <w:sz w:val="32"/>
        </w:rPr>
        <w:t>编制范围的单位</w:t>
      </w:r>
      <w:r>
        <w:rPr>
          <w:rFonts w:hint="eastAsia" w:ascii="仿宋" w:hAnsi="仿宋" w:eastAsia="仿宋" w:cs="仿宋"/>
          <w:sz w:val="32"/>
          <w:lang w:val="en-US" w:eastAsia="zh-CN"/>
        </w:rPr>
        <w:t>共三个，其中二级预算单位两个，具体是：</w:t>
      </w:r>
    </w:p>
    <w:p>
      <w:pPr>
        <w:keepNext w:val="0"/>
        <w:keepLines w:val="0"/>
        <w:pageBreakBefore w:val="0"/>
        <w:widowControl w:val="0"/>
        <w:numPr>
          <w:ilvl w:val="0"/>
          <w:numId w:val="2"/>
        </w:numPr>
        <w:kinsoku/>
        <w:wordWrap/>
        <w:overflowPunct/>
        <w:topLinePunct w:val="0"/>
        <w:autoSpaceDE/>
        <w:autoSpaceDN/>
        <w:bidi w:val="0"/>
        <w:adjustRightInd/>
        <w:snapToGrid/>
        <w:spacing w:line="576" w:lineRule="exact"/>
        <w:ind w:firstLine="640"/>
        <w:textAlignment w:val="auto"/>
        <w:rPr>
          <w:rFonts w:hint="eastAsia" w:ascii="仿宋" w:hAnsi="仿宋" w:eastAsia="仿宋" w:cs="仿宋"/>
          <w:sz w:val="32"/>
          <w:lang w:val="en-US" w:eastAsia="zh-CN"/>
        </w:rPr>
      </w:pPr>
      <w:r>
        <w:rPr>
          <w:rFonts w:hint="eastAsia" w:ascii="仿宋" w:hAnsi="仿宋" w:eastAsia="仿宋" w:cs="仿宋"/>
          <w:sz w:val="32"/>
          <w:lang w:val="en-US" w:eastAsia="zh-CN"/>
        </w:rPr>
        <w:t>西华县商务局本级</w:t>
      </w:r>
    </w:p>
    <w:p>
      <w:pPr>
        <w:keepNext w:val="0"/>
        <w:keepLines w:val="0"/>
        <w:pageBreakBefore w:val="0"/>
        <w:widowControl w:val="0"/>
        <w:numPr>
          <w:ilvl w:val="0"/>
          <w:numId w:val="2"/>
        </w:numPr>
        <w:kinsoku/>
        <w:wordWrap/>
        <w:overflowPunct/>
        <w:topLinePunct w:val="0"/>
        <w:autoSpaceDE/>
        <w:autoSpaceDN/>
        <w:bidi w:val="0"/>
        <w:adjustRightInd/>
        <w:snapToGrid/>
        <w:spacing w:line="576" w:lineRule="exact"/>
        <w:ind w:firstLine="640"/>
        <w:textAlignment w:val="auto"/>
        <w:rPr>
          <w:rFonts w:ascii="仿宋" w:hAnsi="仿宋" w:eastAsia="仿宋" w:cs="仿宋"/>
          <w:sz w:val="32"/>
        </w:rPr>
      </w:pPr>
      <w:r>
        <w:rPr>
          <w:rFonts w:hint="eastAsia" w:ascii="仿宋" w:hAnsi="仿宋" w:eastAsia="仿宋" w:cs="仿宋"/>
          <w:sz w:val="32"/>
        </w:rPr>
        <w:t>西华县外商投诉受理中心</w:t>
      </w:r>
    </w:p>
    <w:p>
      <w:pPr>
        <w:keepNext w:val="0"/>
        <w:keepLines w:val="0"/>
        <w:pageBreakBefore w:val="0"/>
        <w:widowControl w:val="0"/>
        <w:numPr>
          <w:ilvl w:val="0"/>
          <w:numId w:val="2"/>
        </w:numPr>
        <w:kinsoku/>
        <w:wordWrap/>
        <w:overflowPunct/>
        <w:topLinePunct w:val="0"/>
        <w:autoSpaceDE/>
        <w:autoSpaceDN/>
        <w:bidi w:val="0"/>
        <w:adjustRightInd/>
        <w:snapToGrid/>
        <w:spacing w:line="576" w:lineRule="exact"/>
        <w:ind w:firstLine="640"/>
        <w:textAlignment w:val="auto"/>
        <w:rPr>
          <w:rFonts w:ascii="仿宋" w:hAnsi="仿宋" w:eastAsia="仿宋" w:cs="仿宋"/>
          <w:sz w:val="32"/>
        </w:rPr>
      </w:pPr>
      <w:r>
        <w:rPr>
          <w:rFonts w:hint="eastAsia" w:ascii="仿宋" w:hAnsi="仿宋" w:eastAsia="仿宋" w:cs="仿宋"/>
          <w:sz w:val="32"/>
        </w:rPr>
        <w:t>西华县商务综合执法大队</w:t>
      </w:r>
    </w:p>
    <w:p>
      <w:pPr>
        <w:keepNext w:val="0"/>
        <w:keepLines w:val="0"/>
        <w:pageBreakBefore w:val="0"/>
        <w:widowControl w:val="0"/>
        <w:kinsoku/>
        <w:wordWrap/>
        <w:overflowPunct/>
        <w:topLinePunct w:val="0"/>
        <w:autoSpaceDE/>
        <w:autoSpaceDN/>
        <w:bidi w:val="0"/>
        <w:adjustRightInd/>
        <w:snapToGrid/>
        <w:spacing w:line="576" w:lineRule="exact"/>
        <w:ind w:firstLine="640"/>
        <w:textAlignment w:val="auto"/>
        <w:rPr>
          <w:rFonts w:hint="eastAsia" w:ascii="仿宋" w:hAnsi="仿宋" w:eastAsia="仿宋" w:cs="仿宋"/>
          <w:sz w:val="32"/>
          <w:lang w:val="en-US" w:eastAsia="zh-CN"/>
        </w:rPr>
      </w:pPr>
    </w:p>
    <w:p>
      <w:pPr>
        <w:widowControl/>
        <w:shd w:val="clear" w:color="auto" w:fill="FFFFFF"/>
        <w:spacing w:line="580" w:lineRule="exact"/>
        <w:jc w:val="center"/>
        <w:rPr>
          <w:rFonts w:ascii="黑体" w:hAnsi="仿宋_GB2312" w:eastAsia="黑体" w:cs="仿宋_GB2312"/>
          <w:bCs/>
          <w:color w:val="000000"/>
          <w:sz w:val="36"/>
          <w:szCs w:val="36"/>
        </w:rPr>
      </w:pPr>
    </w:p>
    <w:p>
      <w:pPr>
        <w:widowControl/>
        <w:shd w:val="clear" w:color="auto" w:fill="FFFFFF"/>
        <w:spacing w:line="580" w:lineRule="exact"/>
        <w:jc w:val="center"/>
        <w:rPr>
          <w:rFonts w:ascii="黑体" w:hAnsi="仿宋_GB2312" w:eastAsia="黑体" w:cs="仿宋_GB2312"/>
          <w:bCs/>
          <w:color w:val="000000"/>
          <w:sz w:val="36"/>
          <w:szCs w:val="36"/>
        </w:rPr>
      </w:pPr>
      <w:r>
        <w:rPr>
          <w:rFonts w:hint="eastAsia" w:ascii="黑体" w:hAnsi="仿宋_GB2312" w:eastAsia="黑体" w:cs="仿宋_GB2312"/>
          <w:bCs/>
          <w:color w:val="000000"/>
          <w:sz w:val="36"/>
          <w:szCs w:val="36"/>
        </w:rPr>
        <w:t>第二部分</w:t>
      </w:r>
    </w:p>
    <w:p>
      <w:pPr>
        <w:widowControl/>
        <w:shd w:val="clear" w:color="auto" w:fill="FFFFFF"/>
        <w:spacing w:line="580" w:lineRule="exact"/>
        <w:jc w:val="center"/>
        <w:rPr>
          <w:rFonts w:ascii="黑体" w:hAnsi="仿宋_GB2312" w:eastAsia="黑体" w:cs="仿宋_GB2312"/>
          <w:bCs/>
          <w:color w:val="000000"/>
          <w:sz w:val="36"/>
          <w:szCs w:val="36"/>
        </w:rPr>
      </w:pPr>
      <w:r>
        <w:rPr>
          <w:rFonts w:hint="eastAsia" w:ascii="黑体" w:hAnsi="仿宋_GB2312" w:eastAsia="黑体" w:cs="仿宋_GB2312"/>
          <w:bCs/>
          <w:color w:val="000000"/>
          <w:sz w:val="36"/>
          <w:szCs w:val="36"/>
          <w:lang w:val="en-US" w:eastAsia="zh-CN"/>
        </w:rPr>
        <w:t>西华县商务局</w:t>
      </w:r>
      <w:r>
        <w:rPr>
          <w:rFonts w:hint="eastAsia" w:ascii="黑体" w:hAnsi="仿宋_GB2312" w:eastAsia="黑体" w:cs="仿宋_GB2312"/>
          <w:bCs/>
          <w:color w:val="000000"/>
          <w:sz w:val="36"/>
          <w:szCs w:val="36"/>
        </w:rPr>
        <w:t>2021年度部门预算情况说明</w:t>
      </w:r>
    </w:p>
    <w:p>
      <w:pPr>
        <w:adjustRightInd w:val="0"/>
        <w:snapToGrid w:val="0"/>
        <w:spacing w:line="580" w:lineRule="exact"/>
        <w:ind w:firstLine="640" w:firstLineChars="200"/>
        <w:outlineLvl w:val="0"/>
        <w:rPr>
          <w:rFonts w:ascii="仿宋_GB2312" w:hAnsi="仿宋_GB2312" w:eastAsia="仿宋_GB2312" w:cs="仿宋_GB2312"/>
          <w:color w:val="000000"/>
          <w:sz w:val="32"/>
          <w:szCs w:val="32"/>
        </w:rPr>
      </w:pPr>
    </w:p>
    <w:p>
      <w:pPr>
        <w:adjustRightInd w:val="0"/>
        <w:snapToGrid w:val="0"/>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sz w:val="32"/>
          <w:szCs w:val="32"/>
        </w:rPr>
        <w:t>一、收入支出预算总体情况说明</w:t>
      </w:r>
    </w:p>
    <w:p>
      <w:pPr>
        <w:adjustRightInd w:val="0"/>
        <w:snapToGrid w:val="0"/>
        <w:spacing w:line="580" w:lineRule="exact"/>
        <w:ind w:firstLine="640" w:firstLineChars="200"/>
        <w:rPr>
          <w:rFonts w:ascii="Arial" w:hAnsi="Arial" w:eastAsia="仿宋_GB2312" w:cs="Arial"/>
          <w:color w:val="0000FF"/>
          <w:sz w:val="32"/>
          <w:szCs w:val="32"/>
        </w:rPr>
      </w:pPr>
      <w:r>
        <w:rPr>
          <w:rFonts w:hint="eastAsia" w:ascii="仿宋" w:hAnsi="宋体" w:eastAsia="仿宋" w:cs="宋体"/>
          <w:kern w:val="0"/>
          <w:sz w:val="32"/>
          <w:szCs w:val="32"/>
        </w:rPr>
        <w:t>西华县商务局202</w:t>
      </w:r>
      <w:r>
        <w:rPr>
          <w:rFonts w:hint="eastAsia" w:ascii="仿宋" w:hAnsi="宋体" w:eastAsia="仿宋" w:cs="宋体"/>
          <w:kern w:val="0"/>
          <w:sz w:val="32"/>
          <w:szCs w:val="32"/>
          <w:lang w:val="en-US" w:eastAsia="zh-CN"/>
        </w:rPr>
        <w:t>1</w:t>
      </w:r>
      <w:r>
        <w:rPr>
          <w:rFonts w:hint="eastAsia" w:ascii="仿宋" w:hAnsi="宋体" w:eastAsia="仿宋" w:cs="宋体"/>
          <w:kern w:val="0"/>
          <w:sz w:val="32"/>
          <w:szCs w:val="32"/>
        </w:rPr>
        <w:t>年收入总计</w:t>
      </w:r>
      <w:r>
        <w:rPr>
          <w:rFonts w:hint="eastAsia" w:ascii="仿宋" w:hAnsi="宋体" w:eastAsia="仿宋" w:cs="宋体"/>
          <w:kern w:val="0"/>
          <w:sz w:val="32"/>
          <w:szCs w:val="32"/>
          <w:lang w:val="en-US" w:eastAsia="zh-CN"/>
        </w:rPr>
        <w:t>483.17</w:t>
      </w:r>
      <w:r>
        <w:rPr>
          <w:rFonts w:hint="eastAsia" w:ascii="仿宋" w:hAnsi="宋体" w:eastAsia="仿宋" w:cs="宋体"/>
          <w:kern w:val="0"/>
          <w:sz w:val="32"/>
          <w:szCs w:val="32"/>
        </w:rPr>
        <w:t>万元，支出总计</w:t>
      </w:r>
      <w:r>
        <w:rPr>
          <w:rFonts w:hint="eastAsia" w:ascii="仿宋" w:hAnsi="宋体" w:eastAsia="仿宋" w:cs="宋体"/>
          <w:kern w:val="0"/>
          <w:sz w:val="32"/>
          <w:szCs w:val="32"/>
          <w:lang w:val="en-US" w:eastAsia="zh-CN"/>
        </w:rPr>
        <w:t>483.17</w:t>
      </w:r>
      <w:r>
        <w:rPr>
          <w:rFonts w:hint="eastAsia" w:ascii="仿宋" w:hAnsi="宋体" w:eastAsia="仿宋" w:cs="宋体"/>
          <w:kern w:val="0"/>
          <w:sz w:val="32"/>
          <w:szCs w:val="32"/>
        </w:rPr>
        <w:t>万元，与20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年相比，收、支总计各</w:t>
      </w:r>
      <w:r>
        <w:rPr>
          <w:rFonts w:hint="eastAsia" w:ascii="仿宋" w:hAnsi="宋体" w:eastAsia="仿宋" w:cs="宋体"/>
          <w:kern w:val="0"/>
          <w:sz w:val="32"/>
          <w:szCs w:val="32"/>
          <w:lang w:val="en-US" w:eastAsia="zh-CN"/>
        </w:rPr>
        <w:t>增加202.66</w:t>
      </w:r>
      <w:r>
        <w:rPr>
          <w:rFonts w:hint="eastAsia" w:ascii="仿宋" w:hAnsi="宋体" w:eastAsia="仿宋" w:cs="宋体"/>
          <w:kern w:val="0"/>
          <w:sz w:val="32"/>
          <w:szCs w:val="32"/>
        </w:rPr>
        <w:t>万元，</w:t>
      </w:r>
      <w:r>
        <w:rPr>
          <w:rFonts w:hint="eastAsia" w:ascii="仿宋" w:hAnsi="宋体" w:eastAsia="仿宋" w:cs="宋体"/>
          <w:kern w:val="0"/>
          <w:sz w:val="32"/>
          <w:szCs w:val="32"/>
          <w:lang w:val="en-US" w:eastAsia="zh-CN"/>
        </w:rPr>
        <w:t>增加72</w:t>
      </w:r>
      <w:r>
        <w:rPr>
          <w:rFonts w:hint="eastAsia" w:ascii="仿宋" w:hAnsi="宋体" w:eastAsia="仿宋" w:cs="宋体"/>
          <w:kern w:val="0"/>
          <w:sz w:val="32"/>
          <w:szCs w:val="32"/>
        </w:rPr>
        <w:t>%。收支</w:t>
      </w:r>
      <w:r>
        <w:rPr>
          <w:rFonts w:hint="eastAsia" w:ascii="仿宋" w:hAnsi="宋体" w:eastAsia="仿宋" w:cs="宋体"/>
          <w:kern w:val="0"/>
          <w:sz w:val="32"/>
          <w:szCs w:val="32"/>
          <w:lang w:val="en-US" w:eastAsia="zh-CN"/>
        </w:rPr>
        <w:t>增加</w:t>
      </w:r>
      <w:r>
        <w:rPr>
          <w:rFonts w:hint="eastAsia" w:ascii="仿宋" w:hAnsi="宋体" w:eastAsia="仿宋" w:cs="宋体"/>
          <w:kern w:val="0"/>
          <w:sz w:val="32"/>
          <w:szCs w:val="32"/>
        </w:rPr>
        <w:t>原因是20</w:t>
      </w:r>
      <w:r>
        <w:rPr>
          <w:rFonts w:hint="eastAsia" w:ascii="仿宋" w:hAnsi="宋体" w:eastAsia="仿宋" w:cs="宋体"/>
          <w:kern w:val="0"/>
          <w:sz w:val="32"/>
          <w:szCs w:val="32"/>
          <w:lang w:val="en-US" w:eastAsia="zh-CN"/>
        </w:rPr>
        <w:t>21</w:t>
      </w:r>
      <w:r>
        <w:rPr>
          <w:rFonts w:hint="eastAsia" w:ascii="仿宋" w:hAnsi="宋体" w:eastAsia="仿宋" w:cs="宋体"/>
          <w:kern w:val="0"/>
          <w:sz w:val="32"/>
          <w:szCs w:val="32"/>
        </w:rPr>
        <w:t>年</w:t>
      </w:r>
      <w:r>
        <w:rPr>
          <w:rFonts w:hint="eastAsia" w:ascii="仿宋" w:hAnsi="宋体" w:eastAsia="仿宋" w:cs="宋体"/>
          <w:kern w:val="0"/>
          <w:sz w:val="32"/>
          <w:szCs w:val="32"/>
          <w:lang w:val="en-US" w:eastAsia="zh-CN"/>
        </w:rPr>
        <w:t>是全市招商引资突破年，招商活动频繁，任务较重，各项开支明显增加。</w:t>
      </w:r>
      <w:r>
        <w:rPr>
          <w:rFonts w:hint="eastAsia" w:ascii="仿宋" w:hAnsi="宋体" w:eastAsia="仿宋" w:cs="宋体"/>
          <w:kern w:val="0"/>
          <w:sz w:val="32"/>
          <w:szCs w:val="32"/>
        </w:rPr>
        <w:t xml:space="preserve"> </w:t>
      </w:r>
    </w:p>
    <w:p>
      <w:pPr>
        <w:adjustRightInd w:val="0"/>
        <w:snapToGrid w:val="0"/>
        <w:spacing w:line="580" w:lineRule="exact"/>
        <w:ind w:firstLine="640" w:firstLineChars="200"/>
        <w:rPr>
          <w:rFonts w:ascii="黑体" w:hAnsi="黑体" w:eastAsia="黑体"/>
          <w:color w:val="000000"/>
          <w:sz w:val="32"/>
          <w:szCs w:val="32"/>
        </w:rPr>
      </w:pPr>
      <w:r>
        <w:rPr>
          <w:rFonts w:hint="eastAsia" w:ascii="黑体" w:hAnsi="黑体" w:eastAsia="黑体"/>
          <w:color w:val="000000"/>
          <w:sz w:val="32"/>
          <w:szCs w:val="32"/>
        </w:rPr>
        <w:t>二、收入预算总体情况说明</w:t>
      </w:r>
    </w:p>
    <w:p>
      <w:pPr>
        <w:widowControl/>
        <w:spacing w:line="560" w:lineRule="atLeast"/>
        <w:ind w:firstLine="640"/>
        <w:jc w:val="left"/>
        <w:rPr>
          <w:rFonts w:hint="eastAsia" w:ascii="仿宋" w:hAnsi="宋体" w:eastAsia="仿宋" w:cs="宋体"/>
          <w:kern w:val="0"/>
          <w:sz w:val="32"/>
          <w:szCs w:val="32"/>
        </w:rPr>
      </w:pPr>
      <w:r>
        <w:rPr>
          <w:rFonts w:hint="eastAsia" w:ascii="仿宋" w:hAnsi="宋体" w:eastAsia="仿宋" w:cs="宋体"/>
          <w:kern w:val="0"/>
          <w:sz w:val="32"/>
          <w:szCs w:val="32"/>
        </w:rPr>
        <w:t>西华县商务局</w:t>
      </w:r>
      <w:r>
        <w:rPr>
          <w:rFonts w:ascii="仿宋" w:hAnsi="宋体" w:eastAsia="仿宋" w:cs="宋体"/>
          <w:kern w:val="0"/>
          <w:sz w:val="32"/>
          <w:szCs w:val="32"/>
        </w:rPr>
        <w:t>20</w:t>
      </w:r>
      <w:r>
        <w:rPr>
          <w:rFonts w:hint="eastAsia" w:ascii="仿宋" w:hAnsi="宋体" w:eastAsia="仿宋" w:cs="宋体"/>
          <w:kern w:val="0"/>
          <w:sz w:val="32"/>
          <w:szCs w:val="32"/>
        </w:rPr>
        <w:t>2</w:t>
      </w:r>
      <w:r>
        <w:rPr>
          <w:rFonts w:hint="eastAsia" w:ascii="仿宋" w:hAnsi="宋体" w:eastAsia="仿宋" w:cs="宋体"/>
          <w:kern w:val="0"/>
          <w:sz w:val="32"/>
          <w:szCs w:val="32"/>
          <w:lang w:val="en-US" w:eastAsia="zh-CN"/>
        </w:rPr>
        <w:t>1</w:t>
      </w:r>
      <w:r>
        <w:rPr>
          <w:rFonts w:hint="eastAsia" w:ascii="仿宋" w:hAnsi="宋体" w:eastAsia="仿宋" w:cs="宋体"/>
          <w:kern w:val="0"/>
          <w:sz w:val="32"/>
          <w:szCs w:val="32"/>
        </w:rPr>
        <w:t>年收入合计</w:t>
      </w:r>
      <w:r>
        <w:rPr>
          <w:rFonts w:hint="eastAsia" w:ascii="仿宋" w:hAnsi="宋体" w:eastAsia="仿宋" w:cs="宋体"/>
          <w:kern w:val="0"/>
          <w:sz w:val="32"/>
          <w:szCs w:val="32"/>
          <w:lang w:val="en-US" w:eastAsia="zh-CN"/>
        </w:rPr>
        <w:t>483.17</w:t>
      </w:r>
      <w:r>
        <w:rPr>
          <w:rFonts w:hint="eastAsia" w:ascii="仿宋" w:hAnsi="宋体" w:eastAsia="仿宋" w:cs="宋体"/>
          <w:kern w:val="0"/>
          <w:sz w:val="32"/>
          <w:szCs w:val="32"/>
        </w:rPr>
        <w:t>万元，其中：一般公共预算</w:t>
      </w:r>
      <w:r>
        <w:rPr>
          <w:rFonts w:hint="eastAsia" w:ascii="仿宋" w:hAnsi="宋体" w:eastAsia="仿宋" w:cs="宋体"/>
          <w:kern w:val="0"/>
          <w:sz w:val="32"/>
          <w:szCs w:val="32"/>
          <w:lang w:val="en-US" w:eastAsia="zh-CN"/>
        </w:rPr>
        <w:t>483.17</w:t>
      </w:r>
      <w:r>
        <w:rPr>
          <w:rFonts w:hint="eastAsia" w:ascii="仿宋" w:hAnsi="宋体" w:eastAsia="仿宋" w:cs="宋体"/>
          <w:kern w:val="0"/>
          <w:sz w:val="32"/>
          <w:szCs w:val="32"/>
        </w:rPr>
        <w:t>万元；政府性基金收入0万元</w:t>
      </w:r>
      <w:r>
        <w:rPr>
          <w:rFonts w:hint="eastAsia" w:ascii="仿宋" w:hAnsi="宋体" w:eastAsia="仿宋" w:cs="宋体"/>
          <w:kern w:val="0"/>
          <w:sz w:val="32"/>
          <w:szCs w:val="32"/>
          <w:lang w:eastAsia="zh-CN"/>
        </w:rPr>
        <w:t>；</w:t>
      </w:r>
      <w:r>
        <w:rPr>
          <w:rFonts w:hint="eastAsia" w:ascii="仿宋" w:hAnsi="宋体" w:eastAsia="仿宋" w:cs="宋体"/>
          <w:kern w:val="0"/>
          <w:sz w:val="32"/>
          <w:szCs w:val="32"/>
        </w:rPr>
        <w:t>其他收入</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 xml:space="preserve">万元。 </w:t>
      </w:r>
    </w:p>
    <w:p>
      <w:pPr>
        <w:spacing w:line="580" w:lineRule="exact"/>
        <w:ind w:firstLine="640" w:firstLineChars="200"/>
        <w:outlineLvl w:val="0"/>
        <w:rPr>
          <w:rFonts w:ascii="仿宋_GB2312" w:hAnsi="仿宋_GB2312" w:eastAsia="仿宋_GB2312" w:cs="仿宋_GB2312"/>
          <w:color w:val="000000"/>
          <w:sz w:val="32"/>
          <w:szCs w:val="32"/>
        </w:rPr>
      </w:pPr>
      <w:r>
        <w:rPr>
          <w:rFonts w:hint="eastAsia" w:ascii="黑体" w:hAnsi="黑体" w:eastAsia="黑体"/>
          <w:color w:val="000000"/>
          <w:sz w:val="32"/>
          <w:szCs w:val="32"/>
        </w:rPr>
        <w:t>三、支出预算总体情况说明</w:t>
      </w:r>
    </w:p>
    <w:p>
      <w:pPr>
        <w:ind w:firstLine="640" w:firstLineChars="200"/>
        <w:jc w:val="both"/>
        <w:rPr>
          <w:rFonts w:ascii="仿宋" w:hAnsi="仿宋" w:eastAsia="仿宋" w:cs="宋体"/>
          <w:color w:val="000000"/>
          <w:sz w:val="17"/>
          <w:szCs w:val="17"/>
        </w:rPr>
      </w:pPr>
      <w:r>
        <w:rPr>
          <w:rFonts w:hint="eastAsia" w:ascii="仿宋" w:hAnsi="仿宋" w:eastAsia="仿宋" w:cs="宋体"/>
          <w:color w:val="000000"/>
          <w:sz w:val="32"/>
          <w:szCs w:val="32"/>
        </w:rPr>
        <w:t>西华县商务局</w:t>
      </w:r>
      <w:r>
        <w:rPr>
          <w:rFonts w:ascii="仿宋" w:hAnsi="仿宋" w:eastAsia="仿宋" w:cs="宋体"/>
          <w:color w:val="000000"/>
          <w:sz w:val="32"/>
          <w:szCs w:val="32"/>
        </w:rPr>
        <w:t>20</w:t>
      </w:r>
      <w:r>
        <w:rPr>
          <w:rFonts w:hint="eastAsia" w:ascii="仿宋" w:hAnsi="仿宋" w:eastAsia="仿宋" w:cs="宋体"/>
          <w:color w:val="000000"/>
          <w:sz w:val="32"/>
          <w:szCs w:val="32"/>
        </w:rPr>
        <w:t>2</w:t>
      </w:r>
      <w:r>
        <w:rPr>
          <w:rFonts w:hint="eastAsia" w:ascii="仿宋" w:hAnsi="仿宋" w:eastAsia="仿宋" w:cs="宋体"/>
          <w:color w:val="000000"/>
          <w:sz w:val="32"/>
          <w:szCs w:val="32"/>
          <w:lang w:val="en-US" w:eastAsia="zh-CN"/>
        </w:rPr>
        <w:t>1</w:t>
      </w:r>
      <w:r>
        <w:rPr>
          <w:rFonts w:hint="eastAsia" w:ascii="仿宋" w:hAnsi="仿宋" w:eastAsia="仿宋" w:cs="宋体"/>
          <w:color w:val="000000"/>
          <w:sz w:val="32"/>
          <w:szCs w:val="32"/>
        </w:rPr>
        <w:t>年支出预算</w:t>
      </w:r>
      <w:r>
        <w:rPr>
          <w:rFonts w:hint="eastAsia" w:ascii="仿宋" w:hAnsi="宋体" w:eastAsia="仿宋" w:cs="宋体"/>
          <w:kern w:val="0"/>
          <w:sz w:val="32"/>
          <w:szCs w:val="32"/>
          <w:lang w:val="en-US" w:eastAsia="zh-CN"/>
        </w:rPr>
        <w:t>483.17</w:t>
      </w:r>
      <w:r>
        <w:rPr>
          <w:rFonts w:hint="eastAsia" w:ascii="仿宋" w:hAnsi="仿宋" w:eastAsia="仿宋" w:cs="宋体"/>
          <w:color w:val="000000"/>
          <w:sz w:val="32"/>
          <w:szCs w:val="32"/>
        </w:rPr>
        <w:t>万元，按经济用途划分为：</w:t>
      </w:r>
      <w:r>
        <w:rPr>
          <w:rFonts w:hint="eastAsia" w:ascii="仿宋" w:hAnsi="仿宋" w:eastAsia="仿宋" w:cs="宋体"/>
          <w:color w:val="000000"/>
          <w:sz w:val="32"/>
          <w:szCs w:val="32"/>
          <w:lang w:val="en-US" w:eastAsia="zh-CN"/>
        </w:rPr>
        <w:t>其中</w:t>
      </w:r>
      <w:r>
        <w:rPr>
          <w:rFonts w:hint="eastAsia" w:ascii="仿宋" w:hAnsi="仿宋" w:eastAsia="仿宋" w:cs="宋体"/>
          <w:color w:val="000000"/>
          <w:sz w:val="32"/>
          <w:szCs w:val="32"/>
        </w:rPr>
        <w:t>基本支出</w:t>
      </w:r>
      <w:r>
        <w:rPr>
          <w:rFonts w:hint="eastAsia" w:ascii="仿宋" w:hAnsi="仿宋" w:eastAsia="仿宋" w:cs="宋体"/>
          <w:color w:val="000000"/>
          <w:sz w:val="32"/>
          <w:szCs w:val="32"/>
          <w:lang w:val="en-US" w:eastAsia="zh-CN"/>
        </w:rPr>
        <w:t>271.17</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56</w:t>
      </w:r>
      <w:r>
        <w:rPr>
          <w:rFonts w:ascii="仿宋" w:hAnsi="仿宋" w:eastAsia="仿宋" w:cs="宋体"/>
          <w:color w:val="000000"/>
          <w:sz w:val="32"/>
          <w:szCs w:val="32"/>
        </w:rPr>
        <w:t>%</w:t>
      </w:r>
      <w:r>
        <w:rPr>
          <w:rFonts w:hint="eastAsia" w:ascii="仿宋" w:hAnsi="仿宋" w:eastAsia="仿宋" w:cs="宋体"/>
          <w:color w:val="000000"/>
          <w:sz w:val="32"/>
          <w:szCs w:val="32"/>
          <w:lang w:eastAsia="zh-CN"/>
        </w:rPr>
        <w:t>；</w:t>
      </w:r>
      <w:r>
        <w:rPr>
          <w:rFonts w:hint="eastAsia" w:ascii="仿宋" w:hAnsi="仿宋" w:eastAsia="仿宋" w:cs="宋体"/>
          <w:color w:val="000000"/>
          <w:sz w:val="32"/>
          <w:szCs w:val="32"/>
        </w:rPr>
        <w:t>项目支出</w:t>
      </w:r>
      <w:r>
        <w:rPr>
          <w:rFonts w:hint="eastAsia" w:ascii="仿宋" w:hAnsi="仿宋" w:eastAsia="仿宋" w:cs="宋体"/>
          <w:color w:val="000000"/>
          <w:sz w:val="32"/>
          <w:szCs w:val="32"/>
          <w:lang w:val="en-US" w:eastAsia="zh-CN"/>
        </w:rPr>
        <w:t>212</w:t>
      </w:r>
      <w:r>
        <w:rPr>
          <w:rFonts w:hint="eastAsia" w:ascii="仿宋" w:hAnsi="仿宋" w:eastAsia="仿宋" w:cs="宋体"/>
          <w:color w:val="000000"/>
          <w:sz w:val="32"/>
          <w:szCs w:val="32"/>
        </w:rPr>
        <w:t>万元，占4</w:t>
      </w:r>
      <w:r>
        <w:rPr>
          <w:rFonts w:hint="eastAsia" w:ascii="仿宋" w:hAnsi="仿宋" w:eastAsia="仿宋" w:cs="宋体"/>
          <w:color w:val="000000"/>
          <w:sz w:val="32"/>
          <w:szCs w:val="32"/>
          <w:lang w:val="en-US" w:eastAsia="zh-CN"/>
        </w:rPr>
        <w:t>4</w:t>
      </w:r>
      <w:r>
        <w:rPr>
          <w:rFonts w:ascii="仿宋" w:hAnsi="仿宋" w:eastAsia="仿宋" w:cs="宋体"/>
          <w:color w:val="000000"/>
          <w:sz w:val="32"/>
          <w:szCs w:val="32"/>
        </w:rPr>
        <w:t>%</w:t>
      </w:r>
      <w:r>
        <w:rPr>
          <w:rFonts w:hint="eastAsia" w:ascii="仿宋" w:hAnsi="仿宋" w:eastAsia="仿宋" w:cs="宋体"/>
          <w:color w:val="000000"/>
          <w:sz w:val="32"/>
          <w:szCs w:val="32"/>
        </w:rPr>
        <w:t>。</w:t>
      </w:r>
      <w:r>
        <w:rPr>
          <w:rFonts w:ascii="仿宋" w:hAnsi="宋体" w:eastAsia="仿宋" w:cs="宋体"/>
          <w:color w:val="000000"/>
          <w:sz w:val="32"/>
          <w:szCs w:val="32"/>
        </w:rPr>
        <w:t> </w:t>
      </w:r>
    </w:p>
    <w:p>
      <w:pPr>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sz w:val="32"/>
          <w:szCs w:val="32"/>
        </w:rPr>
        <w:t>四、财政拨款收入支出预算总体情况说明</w:t>
      </w:r>
    </w:p>
    <w:p>
      <w:pPr>
        <w:spacing w:line="580" w:lineRule="exact"/>
        <w:ind w:firstLine="640" w:firstLineChars="200"/>
        <w:outlineLvl w:val="0"/>
        <w:rPr>
          <w:rFonts w:hint="eastAsia" w:ascii="仿宋" w:hAnsi="宋体" w:eastAsia="仿宋" w:cs="宋体"/>
          <w:kern w:val="0"/>
          <w:sz w:val="32"/>
          <w:szCs w:val="32"/>
        </w:rPr>
      </w:pPr>
      <w:r>
        <w:rPr>
          <w:rFonts w:hint="eastAsia" w:ascii="仿宋" w:hAnsi="宋体" w:eastAsia="仿宋" w:cs="宋体"/>
          <w:kern w:val="0"/>
          <w:sz w:val="32"/>
          <w:szCs w:val="32"/>
        </w:rPr>
        <w:t>西华县商务局</w:t>
      </w:r>
      <w:r>
        <w:rPr>
          <w:rFonts w:ascii="仿宋" w:hAnsi="宋体" w:eastAsia="仿宋" w:cs="宋体"/>
          <w:kern w:val="0"/>
          <w:sz w:val="32"/>
          <w:szCs w:val="32"/>
        </w:rPr>
        <w:t>20</w:t>
      </w:r>
      <w:r>
        <w:rPr>
          <w:rFonts w:hint="eastAsia" w:ascii="仿宋" w:hAnsi="宋体" w:eastAsia="仿宋" w:cs="宋体"/>
          <w:kern w:val="0"/>
          <w:sz w:val="32"/>
          <w:szCs w:val="32"/>
        </w:rPr>
        <w:t>2</w:t>
      </w:r>
      <w:r>
        <w:rPr>
          <w:rFonts w:hint="eastAsia" w:ascii="仿宋" w:hAnsi="宋体" w:eastAsia="仿宋" w:cs="宋体"/>
          <w:kern w:val="0"/>
          <w:sz w:val="32"/>
          <w:szCs w:val="32"/>
          <w:lang w:val="en-US" w:eastAsia="zh-CN"/>
        </w:rPr>
        <w:t>1</w:t>
      </w:r>
      <w:r>
        <w:rPr>
          <w:rFonts w:hint="eastAsia" w:ascii="仿宋" w:hAnsi="宋体" w:eastAsia="仿宋" w:cs="宋体"/>
          <w:kern w:val="0"/>
          <w:sz w:val="32"/>
          <w:szCs w:val="32"/>
        </w:rPr>
        <w:t>年收入总计</w:t>
      </w:r>
      <w:r>
        <w:rPr>
          <w:rFonts w:hint="eastAsia" w:ascii="仿宋" w:hAnsi="宋体" w:eastAsia="仿宋" w:cs="宋体"/>
          <w:kern w:val="0"/>
          <w:sz w:val="32"/>
          <w:szCs w:val="32"/>
          <w:lang w:val="en-US" w:eastAsia="zh-CN"/>
        </w:rPr>
        <w:t>483.17</w:t>
      </w:r>
      <w:r>
        <w:rPr>
          <w:rFonts w:hint="eastAsia" w:ascii="仿宋" w:hAnsi="宋体" w:eastAsia="仿宋" w:cs="宋体"/>
          <w:kern w:val="0"/>
          <w:sz w:val="32"/>
          <w:szCs w:val="32"/>
        </w:rPr>
        <w:t>万元，支出总计</w:t>
      </w:r>
      <w:r>
        <w:rPr>
          <w:rFonts w:hint="eastAsia" w:ascii="仿宋" w:hAnsi="宋体" w:eastAsia="仿宋" w:cs="宋体"/>
          <w:kern w:val="0"/>
          <w:sz w:val="32"/>
          <w:szCs w:val="32"/>
          <w:lang w:val="en-US" w:eastAsia="zh-CN"/>
        </w:rPr>
        <w:t>483.17</w:t>
      </w:r>
      <w:r>
        <w:rPr>
          <w:rFonts w:hint="eastAsia" w:ascii="仿宋" w:hAnsi="宋体" w:eastAsia="仿宋" w:cs="宋体"/>
          <w:kern w:val="0"/>
          <w:sz w:val="32"/>
          <w:szCs w:val="32"/>
        </w:rPr>
        <w:t>万元，与</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年相比，收、支总计各</w:t>
      </w:r>
      <w:r>
        <w:rPr>
          <w:rFonts w:hint="eastAsia" w:ascii="仿宋" w:hAnsi="宋体" w:eastAsia="仿宋" w:cs="宋体"/>
          <w:kern w:val="0"/>
          <w:sz w:val="32"/>
          <w:szCs w:val="32"/>
          <w:lang w:val="en-US" w:eastAsia="zh-CN"/>
        </w:rPr>
        <w:t>增加202.66</w:t>
      </w:r>
      <w:r>
        <w:rPr>
          <w:rFonts w:hint="eastAsia" w:ascii="仿宋" w:hAnsi="宋体" w:eastAsia="仿宋" w:cs="宋体"/>
          <w:kern w:val="0"/>
          <w:sz w:val="32"/>
          <w:szCs w:val="32"/>
        </w:rPr>
        <w:t>万元，</w:t>
      </w:r>
      <w:r>
        <w:rPr>
          <w:rFonts w:hint="eastAsia" w:ascii="仿宋" w:hAnsi="宋体" w:eastAsia="仿宋" w:cs="宋体"/>
          <w:kern w:val="0"/>
          <w:sz w:val="32"/>
          <w:szCs w:val="32"/>
          <w:lang w:val="en-US" w:eastAsia="zh-CN"/>
        </w:rPr>
        <w:t>增加72</w:t>
      </w:r>
      <w:r>
        <w:rPr>
          <w:rFonts w:hint="eastAsia" w:ascii="仿宋" w:hAnsi="宋体" w:eastAsia="仿宋" w:cs="宋体"/>
          <w:kern w:val="0"/>
          <w:sz w:val="32"/>
          <w:szCs w:val="32"/>
        </w:rPr>
        <w:t>%。收支</w:t>
      </w:r>
      <w:r>
        <w:rPr>
          <w:rFonts w:hint="eastAsia" w:ascii="仿宋" w:hAnsi="宋体" w:eastAsia="仿宋" w:cs="宋体"/>
          <w:kern w:val="0"/>
          <w:sz w:val="32"/>
          <w:szCs w:val="32"/>
          <w:lang w:val="en-US" w:eastAsia="zh-CN"/>
        </w:rPr>
        <w:t>增加</w:t>
      </w:r>
      <w:r>
        <w:rPr>
          <w:rFonts w:hint="eastAsia" w:ascii="仿宋" w:hAnsi="宋体" w:eastAsia="仿宋" w:cs="宋体"/>
          <w:kern w:val="0"/>
          <w:sz w:val="32"/>
          <w:szCs w:val="32"/>
        </w:rPr>
        <w:t>原因是20</w:t>
      </w:r>
      <w:r>
        <w:rPr>
          <w:rFonts w:hint="eastAsia" w:ascii="仿宋" w:hAnsi="宋体" w:eastAsia="仿宋" w:cs="宋体"/>
          <w:kern w:val="0"/>
          <w:sz w:val="32"/>
          <w:szCs w:val="32"/>
          <w:lang w:val="en-US" w:eastAsia="zh-CN"/>
        </w:rPr>
        <w:t>21</w:t>
      </w:r>
      <w:r>
        <w:rPr>
          <w:rFonts w:hint="eastAsia" w:ascii="仿宋" w:hAnsi="宋体" w:eastAsia="仿宋" w:cs="宋体"/>
          <w:kern w:val="0"/>
          <w:sz w:val="32"/>
          <w:szCs w:val="32"/>
        </w:rPr>
        <w:t>年</w:t>
      </w:r>
      <w:r>
        <w:rPr>
          <w:rFonts w:hint="eastAsia" w:ascii="仿宋" w:hAnsi="宋体" w:eastAsia="仿宋" w:cs="宋体"/>
          <w:kern w:val="0"/>
          <w:sz w:val="32"/>
          <w:szCs w:val="32"/>
          <w:lang w:val="en-US" w:eastAsia="zh-CN"/>
        </w:rPr>
        <w:t>是全市招商引资突破年，招商活动频繁，任务较重，各项开支明显增加。</w:t>
      </w:r>
      <w:r>
        <w:rPr>
          <w:rFonts w:hint="eastAsia" w:ascii="仿宋" w:hAnsi="宋体" w:eastAsia="仿宋" w:cs="宋体"/>
          <w:kern w:val="0"/>
          <w:sz w:val="32"/>
          <w:szCs w:val="32"/>
        </w:rPr>
        <w:t xml:space="preserve"> </w:t>
      </w:r>
    </w:p>
    <w:p>
      <w:pPr>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sz w:val="32"/>
          <w:szCs w:val="32"/>
        </w:rPr>
        <w:t>五、一般公共预算支出预算情况说明</w:t>
      </w:r>
    </w:p>
    <w:p>
      <w:pPr>
        <w:widowControl/>
        <w:spacing w:line="360" w:lineRule="auto"/>
        <w:ind w:firstLine="640"/>
        <w:jc w:val="both"/>
        <w:rPr>
          <w:rFonts w:hint="eastAsia" w:ascii="仿宋" w:hAnsi="宋体" w:eastAsia="仿宋" w:cs="宋体"/>
          <w:kern w:val="0"/>
          <w:sz w:val="32"/>
          <w:szCs w:val="32"/>
        </w:rPr>
      </w:pPr>
      <w:r>
        <w:rPr>
          <w:rFonts w:hint="eastAsia" w:ascii="仿宋" w:hAnsi="宋体" w:eastAsia="仿宋" w:cs="宋体"/>
          <w:kern w:val="0"/>
          <w:sz w:val="32"/>
          <w:szCs w:val="32"/>
        </w:rPr>
        <w:t>西华县商务局</w:t>
      </w:r>
      <w:r>
        <w:rPr>
          <w:rFonts w:ascii="仿宋" w:hAnsi="宋体" w:eastAsia="仿宋" w:cs="宋体"/>
          <w:kern w:val="0"/>
          <w:sz w:val="32"/>
          <w:szCs w:val="32"/>
        </w:rPr>
        <w:t>20</w:t>
      </w:r>
      <w:r>
        <w:rPr>
          <w:rFonts w:hint="eastAsia" w:ascii="仿宋" w:hAnsi="宋体" w:eastAsia="仿宋" w:cs="宋体"/>
          <w:kern w:val="0"/>
          <w:sz w:val="32"/>
          <w:szCs w:val="32"/>
        </w:rPr>
        <w:t>2</w:t>
      </w:r>
      <w:r>
        <w:rPr>
          <w:rFonts w:hint="eastAsia" w:ascii="仿宋" w:hAnsi="宋体" w:eastAsia="仿宋" w:cs="宋体"/>
          <w:kern w:val="0"/>
          <w:sz w:val="32"/>
          <w:szCs w:val="32"/>
          <w:lang w:val="en-US" w:eastAsia="zh-CN"/>
        </w:rPr>
        <w:t>1</w:t>
      </w:r>
      <w:r>
        <w:rPr>
          <w:rFonts w:hint="eastAsia" w:ascii="仿宋" w:hAnsi="宋体" w:eastAsia="仿宋" w:cs="宋体"/>
          <w:kern w:val="0"/>
          <w:sz w:val="32"/>
          <w:szCs w:val="32"/>
        </w:rPr>
        <w:t>年一般公共预算支出年初预算为</w:t>
      </w:r>
      <w:r>
        <w:rPr>
          <w:rFonts w:hint="eastAsia" w:ascii="仿宋" w:hAnsi="宋体" w:eastAsia="仿宋" w:cs="宋体"/>
          <w:kern w:val="0"/>
          <w:sz w:val="32"/>
          <w:szCs w:val="32"/>
          <w:lang w:val="en-US" w:eastAsia="zh-CN"/>
        </w:rPr>
        <w:t>483.17</w:t>
      </w:r>
      <w:r>
        <w:rPr>
          <w:rFonts w:hint="eastAsia" w:ascii="仿宋" w:hAnsi="宋体" w:eastAsia="仿宋" w:cs="宋体"/>
          <w:kern w:val="0"/>
          <w:sz w:val="32"/>
          <w:szCs w:val="32"/>
        </w:rPr>
        <w:t>万元。主要用于以下方面：</w:t>
      </w:r>
    </w:p>
    <w:p>
      <w:pPr>
        <w:widowControl/>
        <w:numPr>
          <w:ilvl w:val="0"/>
          <w:numId w:val="3"/>
        </w:numPr>
        <w:spacing w:line="360" w:lineRule="auto"/>
        <w:ind w:firstLine="640"/>
        <w:jc w:val="both"/>
        <w:rPr>
          <w:rFonts w:ascii="仿宋" w:hAnsi="宋体" w:eastAsia="仿宋" w:cs="宋体"/>
          <w:kern w:val="0"/>
          <w:sz w:val="32"/>
          <w:szCs w:val="32"/>
        </w:rPr>
      </w:pPr>
      <w:r>
        <w:rPr>
          <w:rFonts w:hint="eastAsia" w:ascii="仿宋" w:hAnsi="宋体" w:eastAsia="仿宋" w:cs="宋体"/>
          <w:kern w:val="0"/>
          <w:sz w:val="32"/>
          <w:szCs w:val="32"/>
        </w:rPr>
        <w:t>一般公共服务（类）行政运行支出</w:t>
      </w:r>
      <w:r>
        <w:rPr>
          <w:rFonts w:hint="eastAsia" w:ascii="仿宋" w:hAnsi="宋体" w:eastAsia="仿宋" w:cs="宋体"/>
          <w:kern w:val="0"/>
          <w:sz w:val="32"/>
          <w:szCs w:val="32"/>
          <w:lang w:val="en-US" w:eastAsia="zh-CN"/>
        </w:rPr>
        <w:t>425.87</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87.8</w:t>
      </w:r>
      <w:r>
        <w:rPr>
          <w:rFonts w:ascii="仿宋" w:hAnsi="宋体" w:eastAsia="仿宋" w:cs="宋体"/>
          <w:kern w:val="0"/>
          <w:sz w:val="32"/>
          <w:szCs w:val="32"/>
        </w:rPr>
        <w:t>%</w:t>
      </w:r>
      <w:r>
        <w:rPr>
          <w:rFonts w:hint="eastAsia" w:ascii="仿宋" w:hAnsi="宋体" w:eastAsia="仿宋" w:cs="宋体"/>
          <w:kern w:val="0"/>
          <w:sz w:val="32"/>
          <w:szCs w:val="32"/>
        </w:rPr>
        <w:t>；</w:t>
      </w:r>
    </w:p>
    <w:p>
      <w:pPr>
        <w:widowControl/>
        <w:numPr>
          <w:ilvl w:val="0"/>
          <w:numId w:val="3"/>
        </w:numPr>
        <w:spacing w:line="360" w:lineRule="auto"/>
        <w:ind w:firstLine="640"/>
        <w:jc w:val="both"/>
        <w:rPr>
          <w:rFonts w:ascii="仿宋" w:hAnsi="宋体" w:eastAsia="仿宋" w:cs="宋体"/>
          <w:kern w:val="0"/>
          <w:sz w:val="32"/>
          <w:szCs w:val="32"/>
        </w:rPr>
      </w:pPr>
      <w:r>
        <w:rPr>
          <w:rFonts w:hint="eastAsia" w:ascii="仿宋" w:hAnsi="宋体" w:eastAsia="仿宋" w:cs="宋体"/>
          <w:kern w:val="0"/>
          <w:sz w:val="32"/>
          <w:szCs w:val="32"/>
        </w:rPr>
        <w:t>机关事业单位基本养老保险缴费支出</w:t>
      </w:r>
      <w:r>
        <w:rPr>
          <w:rFonts w:hint="eastAsia" w:ascii="仿宋" w:hAnsi="宋体" w:eastAsia="仿宋" w:cs="宋体"/>
          <w:kern w:val="0"/>
          <w:sz w:val="32"/>
          <w:szCs w:val="32"/>
          <w:lang w:val="en-US" w:eastAsia="zh-CN"/>
        </w:rPr>
        <w:t>25.77</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5</w:t>
      </w:r>
      <w:r>
        <w:rPr>
          <w:rFonts w:ascii="仿宋" w:hAnsi="宋体" w:eastAsia="仿宋" w:cs="宋体"/>
          <w:kern w:val="0"/>
          <w:sz w:val="32"/>
          <w:szCs w:val="32"/>
        </w:rPr>
        <w:t>%</w:t>
      </w:r>
      <w:r>
        <w:rPr>
          <w:rFonts w:hint="eastAsia" w:ascii="仿宋" w:hAnsi="宋体" w:eastAsia="仿宋" w:cs="宋体"/>
          <w:kern w:val="0"/>
          <w:sz w:val="32"/>
          <w:szCs w:val="32"/>
        </w:rPr>
        <w:t>；其他社会保障和就业支出</w:t>
      </w:r>
      <w:r>
        <w:rPr>
          <w:rFonts w:hint="eastAsia" w:ascii="仿宋" w:hAnsi="宋体" w:eastAsia="仿宋" w:cs="宋体"/>
          <w:kern w:val="0"/>
          <w:sz w:val="32"/>
          <w:szCs w:val="32"/>
          <w:lang w:val="en-US" w:eastAsia="zh-CN"/>
        </w:rPr>
        <w:t>0.85</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0.2</w:t>
      </w:r>
      <w:r>
        <w:rPr>
          <w:rFonts w:ascii="仿宋" w:hAnsi="宋体" w:eastAsia="仿宋" w:cs="宋体"/>
          <w:kern w:val="0"/>
          <w:sz w:val="32"/>
          <w:szCs w:val="32"/>
        </w:rPr>
        <w:t>%</w:t>
      </w:r>
      <w:r>
        <w:rPr>
          <w:rFonts w:hint="eastAsia" w:ascii="仿宋" w:hAnsi="宋体" w:eastAsia="仿宋" w:cs="宋体"/>
          <w:kern w:val="0"/>
          <w:sz w:val="32"/>
          <w:szCs w:val="32"/>
          <w:lang w:eastAsia="zh-CN"/>
        </w:rPr>
        <w:t>；</w:t>
      </w:r>
    </w:p>
    <w:p>
      <w:pPr>
        <w:widowControl/>
        <w:numPr>
          <w:ilvl w:val="0"/>
          <w:numId w:val="3"/>
        </w:numPr>
        <w:spacing w:line="360" w:lineRule="auto"/>
        <w:ind w:firstLine="640"/>
        <w:jc w:val="both"/>
        <w:rPr>
          <w:rFonts w:ascii="仿宋" w:hAnsi="宋体" w:eastAsia="仿宋" w:cs="宋体"/>
          <w:kern w:val="0"/>
          <w:sz w:val="32"/>
          <w:szCs w:val="32"/>
        </w:rPr>
      </w:pPr>
      <w:r>
        <w:rPr>
          <w:rFonts w:hint="eastAsia" w:ascii="仿宋" w:hAnsi="宋体" w:eastAsia="仿宋" w:cs="宋体"/>
          <w:kern w:val="0"/>
          <w:sz w:val="32"/>
          <w:szCs w:val="32"/>
        </w:rPr>
        <w:t>卫生健康支出（类）行政单位医疗支出</w:t>
      </w:r>
      <w:r>
        <w:rPr>
          <w:rFonts w:hint="eastAsia" w:ascii="仿宋" w:hAnsi="宋体" w:eastAsia="仿宋" w:cs="宋体"/>
          <w:kern w:val="0"/>
          <w:sz w:val="32"/>
          <w:szCs w:val="32"/>
          <w:lang w:val="en-US" w:eastAsia="zh-CN"/>
        </w:rPr>
        <w:t>17.8</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4</w:t>
      </w:r>
      <w:r>
        <w:rPr>
          <w:rFonts w:ascii="仿宋" w:hAnsi="宋体" w:eastAsia="仿宋" w:cs="宋体"/>
          <w:kern w:val="0"/>
          <w:sz w:val="32"/>
          <w:szCs w:val="32"/>
        </w:rPr>
        <w:t>%</w:t>
      </w:r>
      <w:r>
        <w:rPr>
          <w:rFonts w:hint="eastAsia" w:ascii="仿宋" w:hAnsi="宋体" w:eastAsia="仿宋" w:cs="宋体"/>
          <w:kern w:val="0"/>
          <w:sz w:val="32"/>
          <w:szCs w:val="32"/>
        </w:rPr>
        <w:t>；</w:t>
      </w:r>
    </w:p>
    <w:p>
      <w:pPr>
        <w:widowControl/>
        <w:numPr>
          <w:ilvl w:val="0"/>
          <w:numId w:val="3"/>
        </w:numPr>
        <w:spacing w:line="360" w:lineRule="auto"/>
        <w:ind w:firstLine="640"/>
        <w:jc w:val="both"/>
        <w:rPr>
          <w:rFonts w:ascii="仿宋" w:hAnsi="宋体" w:eastAsia="仿宋" w:cs="宋体"/>
          <w:kern w:val="0"/>
          <w:sz w:val="32"/>
          <w:szCs w:val="32"/>
        </w:rPr>
      </w:pPr>
      <w:r>
        <w:rPr>
          <w:rFonts w:hint="eastAsia" w:ascii="仿宋" w:hAnsi="宋体" w:eastAsia="仿宋" w:cs="宋体"/>
          <w:kern w:val="0"/>
          <w:sz w:val="32"/>
          <w:szCs w:val="32"/>
        </w:rPr>
        <w:t>住房保障支出（类）住房改革支出（款）住房公积金支出（项）</w:t>
      </w:r>
      <w:r>
        <w:rPr>
          <w:rFonts w:hint="eastAsia" w:ascii="仿宋" w:hAnsi="宋体" w:eastAsia="仿宋" w:cs="宋体"/>
          <w:kern w:val="0"/>
          <w:sz w:val="32"/>
          <w:szCs w:val="32"/>
          <w:lang w:val="en-US" w:eastAsia="zh-CN"/>
        </w:rPr>
        <w:t>12.89</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3</w:t>
      </w:r>
      <w:r>
        <w:rPr>
          <w:rFonts w:ascii="仿宋" w:hAnsi="宋体" w:eastAsia="仿宋" w:cs="宋体"/>
          <w:kern w:val="0"/>
          <w:sz w:val="32"/>
          <w:szCs w:val="32"/>
        </w:rPr>
        <w:t>%</w:t>
      </w:r>
      <w:r>
        <w:rPr>
          <w:rFonts w:hint="eastAsia" w:ascii="仿宋" w:hAnsi="宋体" w:eastAsia="仿宋" w:cs="宋体"/>
          <w:kern w:val="0"/>
          <w:sz w:val="32"/>
          <w:szCs w:val="32"/>
        </w:rPr>
        <w:t>。</w:t>
      </w:r>
    </w:p>
    <w:p>
      <w:pPr>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kern w:val="0"/>
          <w:sz w:val="32"/>
          <w:szCs w:val="32"/>
        </w:rPr>
        <w:t>六、一般公共预算基本支出预算情况说明</w:t>
      </w:r>
    </w:p>
    <w:p>
      <w:pPr>
        <w:widowControl/>
        <w:spacing w:line="560" w:lineRule="atLeast"/>
        <w:ind w:firstLine="640"/>
        <w:jc w:val="both"/>
        <w:rPr>
          <w:rFonts w:hint="eastAsia" w:ascii="仿宋" w:hAnsi="宋体" w:eastAsia="仿宋" w:cs="宋体"/>
          <w:kern w:val="0"/>
          <w:sz w:val="32"/>
          <w:szCs w:val="32"/>
        </w:rPr>
      </w:pPr>
      <w:r>
        <w:rPr>
          <w:rFonts w:hint="eastAsia" w:ascii="仿宋" w:hAnsi="宋体" w:eastAsia="仿宋" w:cs="宋体"/>
          <w:kern w:val="0"/>
          <w:sz w:val="32"/>
          <w:szCs w:val="32"/>
        </w:rPr>
        <w:t>西华县商务局</w:t>
      </w:r>
      <w:r>
        <w:rPr>
          <w:rFonts w:ascii="仿宋" w:hAnsi="宋体" w:eastAsia="仿宋" w:cs="宋体"/>
          <w:kern w:val="0"/>
          <w:sz w:val="32"/>
          <w:szCs w:val="32"/>
        </w:rPr>
        <w:t>20</w:t>
      </w:r>
      <w:r>
        <w:rPr>
          <w:rFonts w:hint="eastAsia" w:ascii="仿宋" w:hAnsi="宋体" w:eastAsia="仿宋" w:cs="宋体"/>
          <w:kern w:val="0"/>
          <w:sz w:val="32"/>
          <w:szCs w:val="32"/>
        </w:rPr>
        <w:t>2</w:t>
      </w:r>
      <w:r>
        <w:rPr>
          <w:rFonts w:hint="eastAsia" w:ascii="仿宋" w:hAnsi="宋体" w:eastAsia="仿宋" w:cs="宋体"/>
          <w:kern w:val="0"/>
          <w:sz w:val="32"/>
          <w:szCs w:val="32"/>
          <w:lang w:val="en-US" w:eastAsia="zh-CN"/>
        </w:rPr>
        <w:t>1</w:t>
      </w:r>
      <w:r>
        <w:rPr>
          <w:rFonts w:hint="eastAsia" w:ascii="仿宋" w:hAnsi="宋体" w:eastAsia="仿宋" w:cs="宋体"/>
          <w:kern w:val="0"/>
          <w:sz w:val="32"/>
          <w:szCs w:val="32"/>
        </w:rPr>
        <w:t>年一般公共预算基本支出</w:t>
      </w:r>
      <w:r>
        <w:rPr>
          <w:rFonts w:hint="eastAsia" w:ascii="仿宋" w:hAnsi="宋体" w:eastAsia="仿宋" w:cs="宋体"/>
          <w:kern w:val="0"/>
          <w:sz w:val="32"/>
          <w:szCs w:val="32"/>
          <w:lang w:val="en-US" w:eastAsia="zh-CN"/>
        </w:rPr>
        <w:t>271.17</w:t>
      </w:r>
      <w:r>
        <w:rPr>
          <w:rFonts w:hint="eastAsia" w:ascii="仿宋" w:hAnsi="宋体" w:eastAsia="仿宋" w:cs="宋体"/>
          <w:kern w:val="0"/>
          <w:sz w:val="32"/>
          <w:szCs w:val="32"/>
        </w:rPr>
        <w:t>万元，其中：</w:t>
      </w:r>
      <w:r>
        <w:rPr>
          <w:rFonts w:hint="eastAsia" w:ascii="仿宋" w:hAnsi="宋体" w:eastAsia="仿宋" w:cs="宋体"/>
          <w:b/>
          <w:bCs/>
          <w:spacing w:val="-1"/>
          <w:kern w:val="0"/>
          <w:sz w:val="32"/>
          <w:szCs w:val="32"/>
        </w:rPr>
        <w:t>人员经费</w:t>
      </w:r>
      <w:r>
        <w:rPr>
          <w:rFonts w:hint="eastAsia" w:ascii="仿宋" w:hAnsi="宋体" w:eastAsia="仿宋" w:cs="宋体"/>
          <w:kern w:val="0"/>
          <w:sz w:val="32"/>
          <w:szCs w:val="32"/>
          <w:lang w:val="en-US" w:eastAsia="zh-CN"/>
        </w:rPr>
        <w:t>243.28</w:t>
      </w:r>
      <w:r>
        <w:rPr>
          <w:rFonts w:hint="eastAsia" w:ascii="仿宋" w:hAnsi="宋体" w:eastAsia="仿宋" w:cs="宋体"/>
          <w:kern w:val="0"/>
          <w:sz w:val="32"/>
          <w:szCs w:val="32"/>
        </w:rPr>
        <w:t>万元，主要包括：基本工资、津贴补贴、奖金、机关事业单位基本养老保险缴费支出、社会保障缴费、伙食补助费、绩效工资、其他工资福利支出、离休费、退休费、退职（役）费、抚恤金、生活补助、医疗费、助学金、奖励金、住房公积金、提租补贴、购房补贴、其他对个人和家庭的补助支出；</w:t>
      </w:r>
      <w:r>
        <w:rPr>
          <w:rFonts w:hint="eastAsia" w:ascii="仿宋" w:hAnsi="宋体" w:eastAsia="仿宋" w:cs="宋体"/>
          <w:b/>
          <w:bCs/>
          <w:spacing w:val="-1"/>
          <w:kern w:val="0"/>
          <w:sz w:val="32"/>
          <w:szCs w:val="32"/>
        </w:rPr>
        <w:t>公用经费</w:t>
      </w:r>
      <w:r>
        <w:rPr>
          <w:rFonts w:hint="eastAsia" w:ascii="仿宋" w:hAnsi="宋体" w:eastAsia="仿宋" w:cs="宋体"/>
          <w:b/>
          <w:bCs/>
          <w:spacing w:val="-1"/>
          <w:kern w:val="0"/>
          <w:sz w:val="32"/>
          <w:szCs w:val="32"/>
          <w:lang w:val="en-US" w:eastAsia="zh-CN"/>
        </w:rPr>
        <w:t>27.89</w:t>
      </w:r>
      <w:r>
        <w:rPr>
          <w:rFonts w:hint="eastAsia" w:ascii="仿宋" w:hAnsi="宋体" w:eastAsia="仿宋" w:cs="宋体"/>
          <w:kern w:val="0"/>
          <w:sz w:val="32"/>
          <w:szCs w:val="32"/>
        </w:rPr>
        <w:t>万元，主要包括：办公费、印刷费、咨询费、手续费、水费、电费、邮电费、取暖费、物业管理费、差旅费、因公出国（境）费、维修（护）费、租赁费、会议费、培训费、公务接待费、专用材料费、劳务费、委托业务费、工会经费、福利费、公务用车运行维护费、其他交通费用、税金及附加费用、其他商品和服务支出、办公设备购置、专用设备购置、大型修缮、信息网络及软件购置更新、其他资本性支出。</w:t>
      </w:r>
    </w:p>
    <w:p>
      <w:pPr>
        <w:spacing w:line="580" w:lineRule="exact"/>
        <w:ind w:firstLine="640" w:firstLineChars="200"/>
        <w:outlineLvl w:val="0"/>
        <w:rPr>
          <w:rFonts w:ascii="仿宋_GB2312" w:hAnsi="仿宋_GB2312" w:eastAsia="仿宋_GB2312" w:cs="仿宋_GB2312"/>
          <w:color w:val="000000"/>
          <w:sz w:val="32"/>
          <w:szCs w:val="32"/>
        </w:rPr>
      </w:pPr>
      <w:r>
        <w:rPr>
          <w:rFonts w:hint="eastAsia" w:ascii="黑体" w:hAnsi="黑体" w:eastAsia="黑体"/>
          <w:color w:val="000000"/>
          <w:kern w:val="0"/>
          <w:sz w:val="32"/>
          <w:szCs w:val="32"/>
        </w:rPr>
        <w:t>七、政府性基金预算支出预算情况说明</w:t>
      </w:r>
    </w:p>
    <w:p>
      <w:pPr>
        <w:widowControl/>
        <w:spacing w:line="315" w:lineRule="atLeast"/>
        <w:ind w:firstLine="640" w:firstLineChars="200"/>
        <w:jc w:val="left"/>
        <w:rPr>
          <w:rFonts w:ascii="仿宋" w:hAnsi="宋体" w:eastAsia="仿宋" w:cs="宋体"/>
          <w:kern w:val="0"/>
          <w:sz w:val="32"/>
          <w:szCs w:val="32"/>
        </w:rPr>
      </w:pPr>
      <w:r>
        <w:rPr>
          <w:rFonts w:hint="eastAsia" w:ascii="仿宋_GB2312" w:hAnsi="仿宋_GB2312" w:eastAsia="仿宋_GB2312" w:cs="仿宋_GB2312"/>
          <w:color w:val="000000"/>
          <w:sz w:val="32"/>
          <w:szCs w:val="32"/>
        </w:rPr>
        <w:t>我单位2021年没有使用政府性基金预算拨款安排的支出。</w:t>
      </w:r>
    </w:p>
    <w:p>
      <w:pPr>
        <w:spacing w:line="580" w:lineRule="exact"/>
        <w:ind w:firstLine="640" w:firstLineChars="200"/>
        <w:rPr>
          <w:rFonts w:ascii="黑体" w:hAnsi="黑体" w:eastAsia="黑体"/>
          <w:color w:val="000000"/>
          <w:kern w:val="0"/>
          <w:sz w:val="32"/>
          <w:szCs w:val="32"/>
        </w:rPr>
      </w:pPr>
      <w:r>
        <w:rPr>
          <w:rFonts w:hint="eastAsia" w:ascii="黑体" w:hAnsi="黑体" w:eastAsia="黑体"/>
          <w:color w:val="000000"/>
          <w:sz w:val="32"/>
          <w:szCs w:val="32"/>
        </w:rPr>
        <w:t>八、</w:t>
      </w:r>
      <w:r>
        <w:rPr>
          <w:rFonts w:hint="eastAsia" w:ascii="黑体" w:hAnsi="黑体" w:eastAsia="黑体"/>
          <w:color w:val="000000"/>
          <w:kern w:val="0"/>
          <w:sz w:val="32"/>
          <w:szCs w:val="32"/>
        </w:rPr>
        <w:t>国有资本经营预算支出预算情况说明</w:t>
      </w:r>
    </w:p>
    <w:p>
      <w:pPr>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我单位2021年没有使用国有资本经营预算拨款安排的支出。</w:t>
      </w:r>
    </w:p>
    <w:p>
      <w:pPr>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kern w:val="0"/>
          <w:sz w:val="32"/>
          <w:szCs w:val="32"/>
        </w:rPr>
        <w:t>九、“三公”经费支出预算情况说明</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 w:hAnsi="宋体" w:eastAsia="仿宋" w:cs="宋体"/>
          <w:kern w:val="0"/>
          <w:sz w:val="32"/>
          <w:szCs w:val="32"/>
        </w:rPr>
        <w:t>西华县商务局</w:t>
      </w:r>
      <w:r>
        <w:rPr>
          <w:rFonts w:ascii="仿宋" w:hAnsi="仿宋" w:eastAsia="仿宋" w:cs="仿宋"/>
          <w:kern w:val="0"/>
          <w:sz w:val="32"/>
          <w:szCs w:val="32"/>
        </w:rPr>
        <w:t>20</w:t>
      </w:r>
      <w:r>
        <w:rPr>
          <w:rFonts w:hint="eastAsia" w:ascii="仿宋" w:hAnsi="仿宋" w:eastAsia="仿宋" w:cs="仿宋"/>
          <w:kern w:val="0"/>
          <w:sz w:val="32"/>
          <w:szCs w:val="32"/>
        </w:rPr>
        <w:t>2</w:t>
      </w:r>
      <w:r>
        <w:rPr>
          <w:rFonts w:hint="eastAsia" w:ascii="仿宋" w:hAnsi="仿宋" w:eastAsia="仿宋" w:cs="仿宋"/>
          <w:kern w:val="0"/>
          <w:sz w:val="32"/>
          <w:szCs w:val="32"/>
          <w:lang w:val="en-US" w:eastAsia="zh-CN"/>
        </w:rPr>
        <w:t>1</w:t>
      </w:r>
      <w:r>
        <w:rPr>
          <w:rFonts w:hint="eastAsia" w:ascii="仿宋" w:hAnsi="宋体" w:eastAsia="仿宋" w:cs="宋体"/>
          <w:kern w:val="0"/>
          <w:sz w:val="32"/>
          <w:szCs w:val="32"/>
        </w:rPr>
        <w:t>年“三公”经费预算为</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万元。</w:t>
      </w:r>
      <w:r>
        <w:rPr>
          <w:rFonts w:ascii="仿宋" w:hAnsi="宋体" w:eastAsia="仿宋" w:cs="宋体"/>
          <w:kern w:val="0"/>
          <w:sz w:val="32"/>
          <w:szCs w:val="32"/>
        </w:rPr>
        <w:t>20</w:t>
      </w:r>
      <w:r>
        <w:rPr>
          <w:rFonts w:hint="eastAsia" w:ascii="仿宋" w:hAnsi="宋体" w:eastAsia="仿宋" w:cs="宋体"/>
          <w:kern w:val="0"/>
          <w:sz w:val="32"/>
          <w:szCs w:val="32"/>
        </w:rPr>
        <w:t>2</w:t>
      </w:r>
      <w:r>
        <w:rPr>
          <w:rFonts w:hint="eastAsia" w:ascii="仿宋" w:hAnsi="宋体" w:eastAsia="仿宋" w:cs="宋体"/>
          <w:kern w:val="0"/>
          <w:sz w:val="32"/>
          <w:szCs w:val="32"/>
          <w:lang w:val="en-US" w:eastAsia="zh-CN"/>
        </w:rPr>
        <w:t>1</w:t>
      </w:r>
      <w:r>
        <w:rPr>
          <w:rFonts w:hint="eastAsia" w:ascii="仿宋" w:hAnsi="宋体" w:eastAsia="仿宋" w:cs="宋体"/>
          <w:kern w:val="0"/>
          <w:sz w:val="32"/>
          <w:szCs w:val="32"/>
        </w:rPr>
        <w:t>年“三公”经费支出预算数与</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年相比减少</w:t>
      </w:r>
      <w:r>
        <w:rPr>
          <w:rFonts w:hint="eastAsia" w:ascii="仿宋" w:hAnsi="宋体" w:eastAsia="仿宋" w:cs="宋体"/>
          <w:kern w:val="0"/>
          <w:sz w:val="32"/>
          <w:szCs w:val="32"/>
          <w:lang w:val="en-US" w:eastAsia="zh-CN"/>
        </w:rPr>
        <w:t>4</w:t>
      </w:r>
      <w:r>
        <w:rPr>
          <w:rFonts w:hint="eastAsia" w:ascii="仿宋" w:hAnsi="宋体" w:eastAsia="仿宋" w:cs="宋体"/>
          <w:kern w:val="0"/>
          <w:sz w:val="32"/>
          <w:szCs w:val="32"/>
        </w:rPr>
        <w:t>万元。</w:t>
      </w:r>
      <w:r>
        <w:rPr>
          <w:rFonts w:hint="eastAsia" w:ascii="仿宋" w:hAnsi="宋体" w:eastAsia="仿宋" w:cs="宋体"/>
          <w:kern w:val="0"/>
          <w:sz w:val="32"/>
          <w:szCs w:val="32"/>
          <w:lang w:val="en-US" w:eastAsia="zh-CN"/>
        </w:rPr>
        <w:t xml:space="preserve">           </w:t>
      </w:r>
      <w:r>
        <w:rPr>
          <w:rFonts w:hint="eastAsia" w:ascii="仿宋_GB2312" w:hAnsi="仿宋_GB2312" w:eastAsia="仿宋_GB2312" w:cs="仿宋_GB2312"/>
          <w:color w:val="000000"/>
          <w:sz w:val="32"/>
          <w:szCs w:val="32"/>
        </w:rPr>
        <w:t>具体支出情况如下：</w:t>
      </w:r>
    </w:p>
    <w:p>
      <w:pPr>
        <w:numPr>
          <w:ilvl w:val="0"/>
          <w:numId w:val="4"/>
        </w:numPr>
        <w:kinsoku w:val="0"/>
        <w:overflowPunct w:val="0"/>
        <w:autoSpaceDE w:val="0"/>
        <w:autoSpaceDN w:val="0"/>
        <w:adjustRightInd w:val="0"/>
        <w:snapToGrid w:val="0"/>
        <w:spacing w:line="580" w:lineRule="exact"/>
        <w:ind w:firstLine="636" w:firstLineChars="200"/>
        <w:rPr>
          <w:rFonts w:ascii="仿宋_GB2312" w:hAnsi="仿宋_GB2312" w:eastAsia="仿宋_GB2312" w:cs="仿宋_GB2312"/>
          <w:color w:val="000000"/>
          <w:sz w:val="32"/>
          <w:szCs w:val="32"/>
        </w:rPr>
      </w:pPr>
      <w:r>
        <w:rPr>
          <w:rFonts w:hint="eastAsia" w:ascii="楷体_GB2312" w:hAnsi="仿宋_GB2312" w:eastAsia="楷体_GB2312" w:cs="仿宋_GB2312"/>
          <w:color w:val="000000"/>
          <w:spacing w:val="-1"/>
          <w:kern w:val="0"/>
          <w:sz w:val="32"/>
          <w:szCs w:val="32"/>
        </w:rPr>
        <w:t>因公出国（境）费</w:t>
      </w:r>
      <w:r>
        <w:rPr>
          <w:rFonts w:hint="eastAsia" w:ascii="楷体_GB2312" w:hAnsi="仿宋_GB2312" w:eastAsia="楷体_GB2312" w:cs="仿宋_GB2312"/>
          <w:color w:val="000000"/>
          <w:sz w:val="32"/>
          <w:szCs w:val="32"/>
        </w:rPr>
        <w:t xml:space="preserve"> </w:t>
      </w:r>
      <w:r>
        <w:rPr>
          <w:rFonts w:hint="eastAsia" w:ascii="楷体_GB2312" w:hAnsi="仿宋_GB2312" w:eastAsia="楷体_GB2312" w:cs="仿宋_GB2312"/>
          <w:color w:val="000000"/>
          <w:sz w:val="32"/>
          <w:szCs w:val="32"/>
          <w:lang w:val="en-US" w:eastAsia="zh-CN"/>
        </w:rPr>
        <w:t>0</w:t>
      </w:r>
      <w:r>
        <w:rPr>
          <w:rFonts w:hint="eastAsia" w:ascii="仿宋_GB2312" w:hAnsi="仿宋_GB2312" w:eastAsia="仿宋_GB2312" w:cs="仿宋_GB2312"/>
          <w:color w:val="000000"/>
          <w:sz w:val="32"/>
          <w:szCs w:val="32"/>
        </w:rPr>
        <w:t>万元。预算数比2020年减少</w:t>
      </w:r>
      <w:r>
        <w:rPr>
          <w:rFonts w:hint="eastAsia" w:ascii="仿宋_GB2312" w:hAnsi="仿宋_GB2312" w:eastAsia="仿宋_GB2312" w:cs="仿宋_GB2312"/>
          <w:color w:val="000000"/>
          <w:sz w:val="32"/>
          <w:szCs w:val="32"/>
          <w:lang w:val="en-US" w:eastAsia="zh-CN"/>
        </w:rPr>
        <w:t>0</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color w:val="000000"/>
          <w:kern w:val="0"/>
          <w:sz w:val="32"/>
          <w:szCs w:val="32"/>
        </w:rPr>
        <w:t>主要原因：</w:t>
      </w:r>
      <w:r>
        <w:rPr>
          <w:rFonts w:hint="eastAsia" w:ascii="仿宋_GB2312" w:hAnsi="仿宋_GB2312" w:eastAsia="仿宋_GB2312" w:cs="仿宋_GB2312"/>
          <w:color w:val="000000"/>
          <w:kern w:val="0"/>
          <w:sz w:val="32"/>
          <w:szCs w:val="32"/>
          <w:lang w:val="en-US" w:eastAsia="zh-CN"/>
        </w:rPr>
        <w:t>2021没有安排此项费用</w:t>
      </w:r>
      <w:r>
        <w:rPr>
          <w:rFonts w:hint="eastAsia" w:ascii="仿宋_GB2312" w:hAnsi="仿宋_GB2312" w:eastAsia="仿宋_GB2312" w:cs="仿宋_GB2312"/>
          <w:color w:val="000000"/>
          <w:sz w:val="32"/>
          <w:szCs w:val="32"/>
        </w:rPr>
        <w:t>。</w:t>
      </w:r>
    </w:p>
    <w:p>
      <w:pPr>
        <w:numPr>
          <w:ilvl w:val="0"/>
          <w:numId w:val="4"/>
        </w:numPr>
        <w:kinsoku w:val="0"/>
        <w:overflowPunct w:val="0"/>
        <w:autoSpaceDE w:val="0"/>
        <w:autoSpaceDN w:val="0"/>
        <w:adjustRightInd w:val="0"/>
        <w:snapToGrid w:val="0"/>
        <w:spacing w:line="580" w:lineRule="exact"/>
        <w:ind w:firstLine="636" w:firstLineChars="200"/>
        <w:rPr>
          <w:rFonts w:ascii="仿宋_GB2312" w:hAnsi="仿宋_GB2312" w:eastAsia="仿宋_GB2312" w:cs="仿宋_GB2312"/>
          <w:color w:val="000000"/>
          <w:sz w:val="32"/>
          <w:szCs w:val="32"/>
        </w:rPr>
      </w:pPr>
      <w:r>
        <w:rPr>
          <w:rFonts w:hint="eastAsia" w:ascii="楷体_GB2312" w:hAnsi="仿宋_GB2312" w:eastAsia="楷体_GB2312" w:cs="仿宋_GB2312"/>
          <w:color w:val="000000"/>
          <w:spacing w:val="-1"/>
          <w:kern w:val="0"/>
          <w:sz w:val="32"/>
          <w:szCs w:val="32"/>
        </w:rPr>
        <w:t>公务用车购置及运行费</w:t>
      </w:r>
      <w:r>
        <w:rPr>
          <w:rFonts w:hint="eastAsia" w:ascii="楷体_GB2312" w:hAnsi="仿宋_GB2312" w:eastAsia="楷体_GB2312" w:cs="仿宋_GB2312"/>
          <w:color w:val="000000"/>
          <w:spacing w:val="-1"/>
          <w:kern w:val="0"/>
          <w:sz w:val="32"/>
          <w:szCs w:val="32"/>
          <w:lang w:val="en-US" w:eastAsia="zh-CN"/>
        </w:rPr>
        <w:t>0</w:t>
      </w:r>
      <w:r>
        <w:rPr>
          <w:rFonts w:hint="eastAsia" w:ascii="仿宋_GB2312" w:hAnsi="仿宋_GB2312" w:eastAsia="仿宋_GB2312" w:cs="仿宋_GB2312"/>
          <w:color w:val="000000"/>
          <w:kern w:val="0"/>
          <w:sz w:val="32"/>
          <w:szCs w:val="32"/>
        </w:rPr>
        <w:t>万</w:t>
      </w:r>
      <w:r>
        <w:rPr>
          <w:rFonts w:hint="eastAsia" w:ascii="仿宋_GB2312" w:hAnsi="仿宋_GB2312" w:eastAsia="仿宋_GB2312" w:cs="仿宋_GB2312"/>
          <w:color w:val="000000"/>
          <w:sz w:val="32"/>
          <w:szCs w:val="32"/>
        </w:rPr>
        <w:t>元。其中公务车辆购置费</w:t>
      </w:r>
      <w:r>
        <w:rPr>
          <w:rFonts w:hint="eastAsia" w:ascii="仿宋_GB2312" w:hAnsi="仿宋_GB2312" w:eastAsia="仿宋_GB2312" w:cs="仿宋_GB2312"/>
          <w:color w:val="000000"/>
          <w:sz w:val="32"/>
          <w:szCs w:val="32"/>
          <w:lang w:val="en-US" w:eastAsia="zh-CN"/>
        </w:rPr>
        <w:t>0</w:t>
      </w:r>
      <w:r>
        <w:rPr>
          <w:rFonts w:hint="eastAsia" w:ascii="仿宋_GB2312" w:hAnsi="仿宋_GB2312" w:eastAsia="仿宋_GB2312" w:cs="仿宋_GB2312"/>
          <w:color w:val="000000"/>
          <w:sz w:val="32"/>
          <w:szCs w:val="32"/>
        </w:rPr>
        <w:t>万元，比2020年减少</w:t>
      </w:r>
      <w:r>
        <w:rPr>
          <w:rFonts w:hint="eastAsia" w:ascii="仿宋_GB2312" w:hAnsi="仿宋_GB2312" w:eastAsia="仿宋_GB2312" w:cs="仿宋_GB2312"/>
          <w:color w:val="000000"/>
          <w:sz w:val="32"/>
          <w:szCs w:val="32"/>
          <w:lang w:val="en-US" w:eastAsia="zh-CN"/>
        </w:rPr>
        <w:t>0</w:t>
      </w:r>
      <w:r>
        <w:rPr>
          <w:rFonts w:hint="eastAsia" w:ascii="仿宋_GB2312" w:hAnsi="仿宋_GB2312" w:eastAsia="仿宋_GB2312" w:cs="仿宋_GB2312"/>
          <w:color w:val="000000"/>
          <w:kern w:val="0"/>
          <w:sz w:val="32"/>
          <w:szCs w:val="32"/>
        </w:rPr>
        <w:t>万元，主要原因：</w:t>
      </w:r>
      <w:r>
        <w:rPr>
          <w:rFonts w:hint="eastAsia" w:ascii="仿宋_GB2312" w:hAnsi="仿宋_GB2312" w:eastAsia="仿宋_GB2312" w:cs="仿宋_GB2312"/>
          <w:color w:val="000000"/>
          <w:kern w:val="0"/>
          <w:sz w:val="32"/>
          <w:szCs w:val="32"/>
          <w:lang w:val="en-US" w:eastAsia="zh-CN"/>
        </w:rPr>
        <w:t>2021没有安排此项费用</w:t>
      </w:r>
      <w:r>
        <w:rPr>
          <w:rFonts w:hint="eastAsia" w:ascii="仿宋_GB2312" w:hAnsi="仿宋_GB2312" w:eastAsia="仿宋_GB2312" w:cs="仿宋_GB2312"/>
          <w:color w:val="000000"/>
          <w:kern w:val="0"/>
          <w:sz w:val="32"/>
          <w:szCs w:val="32"/>
        </w:rPr>
        <w:t>；</w:t>
      </w:r>
      <w:r>
        <w:rPr>
          <w:rFonts w:hint="eastAsia" w:ascii="仿宋_GB2312" w:hAnsi="仿宋_GB2312" w:eastAsia="仿宋_GB2312" w:cs="仿宋_GB2312"/>
          <w:color w:val="000000"/>
          <w:sz w:val="32"/>
          <w:szCs w:val="32"/>
        </w:rPr>
        <w:t xml:space="preserve">公务用车运行维护费 </w:t>
      </w:r>
      <w:r>
        <w:rPr>
          <w:rFonts w:hint="eastAsia" w:ascii="仿宋_GB2312" w:hAnsi="仿宋_GB2312" w:eastAsia="仿宋_GB2312" w:cs="仿宋_GB2312"/>
          <w:color w:val="000000"/>
          <w:sz w:val="32"/>
          <w:szCs w:val="32"/>
          <w:lang w:val="en-US" w:eastAsia="zh-CN"/>
        </w:rPr>
        <w:t>0</w:t>
      </w:r>
      <w:r>
        <w:rPr>
          <w:rFonts w:hint="eastAsia"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sz w:val="32"/>
          <w:szCs w:val="32"/>
        </w:rPr>
        <w:t>,比2020年减少</w:t>
      </w:r>
      <w:r>
        <w:rPr>
          <w:rFonts w:hint="eastAsia" w:ascii="仿宋_GB2312" w:hAnsi="仿宋_GB2312" w:eastAsia="仿宋_GB2312" w:cs="仿宋_GB2312"/>
          <w:color w:val="000000"/>
          <w:sz w:val="32"/>
          <w:szCs w:val="32"/>
          <w:lang w:val="en-US" w:eastAsia="zh-CN"/>
        </w:rPr>
        <w:t>0</w:t>
      </w:r>
      <w:r>
        <w:rPr>
          <w:rFonts w:hint="eastAsia" w:ascii="仿宋_GB2312" w:hAnsi="仿宋_GB2312" w:eastAsia="仿宋_GB2312" w:cs="仿宋_GB2312"/>
          <w:color w:val="000000"/>
          <w:kern w:val="0"/>
          <w:sz w:val="32"/>
          <w:szCs w:val="32"/>
        </w:rPr>
        <w:t>万元，主要原因：</w:t>
      </w:r>
      <w:r>
        <w:rPr>
          <w:rFonts w:hint="eastAsia" w:ascii="仿宋_GB2312" w:hAnsi="仿宋_GB2312" w:eastAsia="仿宋_GB2312" w:cs="仿宋_GB2312"/>
          <w:color w:val="000000"/>
          <w:kern w:val="0"/>
          <w:sz w:val="32"/>
          <w:szCs w:val="32"/>
          <w:lang w:eastAsia="zh-CN"/>
        </w:rPr>
        <w:t>单位实行公车制度改革，原来公务车辆上交机关事务中心统一管理</w:t>
      </w:r>
      <w:r>
        <w:rPr>
          <w:rFonts w:hint="eastAsia" w:ascii="仿宋_GB2312" w:hAnsi="仿宋_GB2312" w:eastAsia="仿宋_GB2312" w:cs="仿宋_GB2312"/>
          <w:color w:val="000000"/>
          <w:kern w:val="0"/>
          <w:sz w:val="32"/>
          <w:szCs w:val="32"/>
        </w:rPr>
        <w:t>。</w:t>
      </w:r>
    </w:p>
    <w:p>
      <w:pPr>
        <w:spacing w:line="580" w:lineRule="exact"/>
        <w:ind w:firstLine="636" w:firstLineChars="200"/>
        <w:outlineLvl w:val="0"/>
        <w:rPr>
          <w:rFonts w:ascii="仿宋_GB2312" w:hAnsi="仿宋_GB2312" w:eastAsia="仿宋_GB2312" w:cs="仿宋_GB2312"/>
          <w:color w:val="000000"/>
          <w:sz w:val="32"/>
          <w:szCs w:val="32"/>
        </w:rPr>
      </w:pPr>
      <w:r>
        <w:rPr>
          <w:rFonts w:hint="eastAsia" w:ascii="楷体_GB2312" w:hAnsi="仿宋_GB2312" w:eastAsia="楷体_GB2312" w:cs="仿宋_GB2312"/>
          <w:color w:val="000000"/>
          <w:spacing w:val="-1"/>
          <w:kern w:val="0"/>
          <w:sz w:val="32"/>
          <w:szCs w:val="32"/>
        </w:rPr>
        <w:t>（三）公务接待费</w:t>
      </w:r>
      <w:r>
        <w:rPr>
          <w:rFonts w:hint="eastAsia" w:ascii="楷体_GB2312" w:hAnsi="仿宋_GB2312" w:eastAsia="楷体_GB2312" w:cs="仿宋_GB2312"/>
          <w:color w:val="000000"/>
          <w:spacing w:val="-1"/>
          <w:kern w:val="0"/>
          <w:sz w:val="32"/>
          <w:szCs w:val="32"/>
          <w:lang w:val="en-US" w:eastAsia="zh-CN"/>
        </w:rPr>
        <w:t>0</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color w:val="000000"/>
          <w:kern w:val="0"/>
          <w:sz w:val="32"/>
          <w:szCs w:val="32"/>
        </w:rPr>
        <w:t>比2020年预算数减少</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万元，主要原因</w:t>
      </w:r>
      <w:r>
        <w:rPr>
          <w:rFonts w:hint="eastAsia" w:ascii="仿宋_GB2312" w:hAnsi="仿宋_GB2312" w:eastAsia="仿宋_GB2312" w:cs="仿宋_GB2312"/>
          <w:color w:val="000000"/>
          <w:kern w:val="0"/>
          <w:sz w:val="32"/>
          <w:szCs w:val="32"/>
          <w:lang w:eastAsia="zh-CN"/>
        </w:rPr>
        <w:t>八项规定后没有了</w:t>
      </w:r>
      <w:bookmarkStart w:id="0" w:name="_GoBack"/>
      <w:bookmarkEnd w:id="0"/>
      <w:r>
        <w:rPr>
          <w:rFonts w:hint="eastAsia" w:ascii="仿宋_GB2312" w:hAnsi="仿宋_GB2312" w:eastAsia="仿宋_GB2312" w:cs="仿宋_GB2312"/>
          <w:color w:val="000000"/>
          <w:kern w:val="0"/>
          <w:sz w:val="32"/>
          <w:szCs w:val="32"/>
          <w:lang w:eastAsia="zh-CN"/>
        </w:rPr>
        <w:t>此项开支</w:t>
      </w:r>
      <w:r>
        <w:rPr>
          <w:rFonts w:hint="eastAsia" w:ascii="仿宋_GB2312" w:hAnsi="仿宋_GB2312" w:eastAsia="仿宋_GB2312" w:cs="仿宋_GB2312"/>
          <w:color w:val="000000"/>
          <w:kern w:val="0"/>
          <w:sz w:val="32"/>
          <w:szCs w:val="32"/>
        </w:rPr>
        <w:t>。</w:t>
      </w:r>
    </w:p>
    <w:p>
      <w:pPr>
        <w:widowControl/>
        <w:spacing w:line="560" w:lineRule="atLeast"/>
        <w:ind w:firstLine="640"/>
        <w:jc w:val="both"/>
        <w:rPr>
          <w:rFonts w:hint="default" w:ascii="宋体" w:eastAsia="仿宋" w:cs="宋体"/>
          <w:kern w:val="0"/>
          <w:sz w:val="24"/>
          <w:lang w:val="en-US" w:eastAsia="zh-CN"/>
        </w:rPr>
      </w:pPr>
      <w:r>
        <w:rPr>
          <w:rFonts w:hint="eastAsia" w:ascii="仿宋" w:hAnsi="宋体" w:eastAsia="仿宋" w:cs="宋体"/>
          <w:kern w:val="0"/>
          <w:sz w:val="32"/>
          <w:szCs w:val="32"/>
          <w:lang w:val="en-US" w:eastAsia="zh-CN"/>
        </w:rPr>
        <w:t xml:space="preserve">                  </w:t>
      </w:r>
    </w:p>
    <w:p>
      <w:pPr>
        <w:kinsoku w:val="0"/>
        <w:overflowPunct w:val="0"/>
        <w:autoSpaceDE w:val="0"/>
        <w:autoSpaceDN w:val="0"/>
        <w:adjustRightInd w:val="0"/>
        <w:snapToGrid w:val="0"/>
        <w:spacing w:line="580" w:lineRule="exact"/>
        <w:ind w:firstLine="636" w:firstLineChars="200"/>
        <w:outlineLvl w:val="0"/>
        <w:rPr>
          <w:rFonts w:ascii="仿宋_GB2312" w:hAnsi="仿宋_GB2312" w:eastAsia="仿宋_GB2312" w:cs="仿宋_GB2312"/>
          <w:color w:val="000000"/>
          <w:sz w:val="32"/>
          <w:szCs w:val="32"/>
        </w:rPr>
      </w:pPr>
      <w:r>
        <w:rPr>
          <w:rFonts w:hint="eastAsia" w:ascii="黑体" w:hAnsi="黑体" w:eastAsia="黑体"/>
          <w:color w:val="000000"/>
          <w:spacing w:val="-1"/>
          <w:kern w:val="0"/>
          <w:sz w:val="32"/>
          <w:szCs w:val="32"/>
        </w:rPr>
        <w:t>十、其他重要事项的情况说明</w:t>
      </w:r>
    </w:p>
    <w:p>
      <w:pPr>
        <w:kinsoku w:val="0"/>
        <w:overflowPunct w:val="0"/>
        <w:autoSpaceDE w:val="0"/>
        <w:autoSpaceDN w:val="0"/>
        <w:adjustRightInd w:val="0"/>
        <w:snapToGrid w:val="0"/>
        <w:spacing w:line="580" w:lineRule="exact"/>
        <w:ind w:firstLine="640" w:firstLineChars="200"/>
        <w:jc w:val="both"/>
        <w:outlineLvl w:val="0"/>
        <w:rPr>
          <w:rFonts w:ascii="楷体_GB2312" w:hAnsi="仿宋_GB2312" w:eastAsia="楷体_GB2312" w:cs="仿宋_GB2312"/>
          <w:color w:val="000000"/>
          <w:sz w:val="32"/>
          <w:szCs w:val="32"/>
        </w:rPr>
      </w:pPr>
      <w:r>
        <w:rPr>
          <w:rFonts w:hint="eastAsia" w:ascii="楷体_GB2312" w:hAnsi="仿宋_GB2312" w:eastAsia="楷体_GB2312" w:cs="仿宋_GB2312"/>
          <w:color w:val="000000"/>
          <w:kern w:val="0"/>
          <w:sz w:val="32"/>
          <w:szCs w:val="32"/>
        </w:rPr>
        <w:t>（一）机关运行经费支出情况</w:t>
      </w:r>
    </w:p>
    <w:p>
      <w:pPr>
        <w:keepNext w:val="0"/>
        <w:keepLines w:val="0"/>
        <w:pageBreakBefore w:val="0"/>
        <w:wordWrap/>
        <w:topLinePunct w:val="0"/>
        <w:bidi w:val="0"/>
        <w:spacing w:line="560" w:lineRule="exact"/>
        <w:ind w:firstLine="640" w:firstLineChars="200"/>
        <w:jc w:val="both"/>
        <w:textAlignment w:val="auto"/>
        <w:rPr>
          <w:rFonts w:ascii="仿宋" w:hAnsi="仿宋" w:eastAsia="仿宋" w:cs="仿宋"/>
          <w:sz w:val="32"/>
        </w:rPr>
      </w:pPr>
      <w:r>
        <w:rPr>
          <w:rFonts w:hint="eastAsia" w:ascii="仿宋" w:hAnsi="仿宋" w:eastAsia="仿宋" w:cs="仿宋"/>
          <w:sz w:val="32"/>
        </w:rPr>
        <w:t>202</w:t>
      </w:r>
      <w:r>
        <w:rPr>
          <w:rFonts w:hint="eastAsia" w:ascii="仿宋" w:hAnsi="仿宋" w:eastAsia="仿宋" w:cs="仿宋"/>
          <w:sz w:val="32"/>
          <w:lang w:val="en-US" w:eastAsia="zh-CN"/>
        </w:rPr>
        <w:t>1</w:t>
      </w:r>
      <w:r>
        <w:rPr>
          <w:rFonts w:hint="eastAsia" w:ascii="仿宋" w:hAnsi="仿宋" w:eastAsia="仿宋" w:cs="仿宋"/>
          <w:sz w:val="32"/>
        </w:rPr>
        <w:t xml:space="preserve"> 年商务局机关运行经费支出预算</w:t>
      </w:r>
      <w:r>
        <w:rPr>
          <w:rFonts w:hint="eastAsia" w:ascii="仿宋" w:hAnsi="仿宋" w:eastAsia="仿宋" w:cs="仿宋"/>
          <w:sz w:val="32"/>
          <w:lang w:val="en-US" w:eastAsia="zh-CN"/>
        </w:rPr>
        <w:t>6.15</w:t>
      </w:r>
      <w:r>
        <w:rPr>
          <w:rFonts w:hint="eastAsia" w:ascii="仿宋" w:hAnsi="仿宋" w:eastAsia="仿宋" w:cs="仿宋"/>
          <w:sz w:val="32"/>
        </w:rPr>
        <w:t>万元，比 20</w:t>
      </w:r>
      <w:r>
        <w:rPr>
          <w:rFonts w:hint="eastAsia" w:ascii="仿宋" w:hAnsi="仿宋" w:eastAsia="仿宋" w:cs="仿宋"/>
          <w:sz w:val="32"/>
          <w:lang w:val="en-US" w:eastAsia="zh-CN"/>
        </w:rPr>
        <w:t>20</w:t>
      </w:r>
      <w:r>
        <w:rPr>
          <w:rFonts w:hint="eastAsia" w:ascii="仿宋" w:hAnsi="仿宋" w:eastAsia="仿宋" w:cs="仿宋"/>
          <w:sz w:val="32"/>
        </w:rPr>
        <w:t xml:space="preserve"> 年</w:t>
      </w:r>
      <w:r>
        <w:rPr>
          <w:rFonts w:hint="eastAsia" w:ascii="仿宋" w:hAnsi="仿宋" w:eastAsia="仿宋" w:cs="仿宋"/>
          <w:sz w:val="32"/>
          <w:lang w:val="en-US" w:eastAsia="zh-CN"/>
        </w:rPr>
        <w:t>减少21.58</w:t>
      </w:r>
      <w:r>
        <w:rPr>
          <w:rFonts w:hint="eastAsia" w:ascii="仿宋" w:hAnsi="仿宋" w:eastAsia="仿宋" w:cs="仿宋"/>
          <w:sz w:val="32"/>
        </w:rPr>
        <w:t>% 。</w:t>
      </w:r>
      <w:r>
        <w:rPr>
          <w:rFonts w:hint="eastAsia" w:ascii="仿宋" w:hAnsi="仿宋" w:eastAsia="仿宋" w:cs="仿宋"/>
          <w:sz w:val="32"/>
          <w:lang w:val="en-US" w:eastAsia="zh-CN"/>
        </w:rPr>
        <w:t>减少的主要原因是我局严格落实中央八项规定，反对浪费，争创节能型单位。</w:t>
      </w:r>
      <w:r>
        <w:rPr>
          <w:rFonts w:hint="eastAsia" w:ascii="仿宋" w:hAnsi="仿宋" w:eastAsia="仿宋" w:cs="仿宋"/>
          <w:sz w:val="32"/>
        </w:rPr>
        <w:t>机关运行经费用于：办公经费、培训费、水电费、物业费、差旅费等开支。</w:t>
      </w:r>
    </w:p>
    <w:p>
      <w:pPr>
        <w:kinsoku w:val="0"/>
        <w:overflowPunct w:val="0"/>
        <w:autoSpaceDE w:val="0"/>
        <w:autoSpaceDN w:val="0"/>
        <w:adjustRightInd w:val="0"/>
        <w:snapToGrid w:val="0"/>
        <w:spacing w:line="580" w:lineRule="exact"/>
        <w:ind w:firstLine="640" w:firstLineChars="200"/>
        <w:outlineLvl w:val="0"/>
        <w:rPr>
          <w:rFonts w:ascii="楷体_GB2312" w:hAnsi="仿宋_GB2312" w:eastAsia="楷体_GB2312" w:cs="仿宋_GB2312"/>
          <w:color w:val="000000"/>
          <w:kern w:val="0"/>
          <w:sz w:val="32"/>
          <w:szCs w:val="32"/>
        </w:rPr>
      </w:pPr>
      <w:r>
        <w:rPr>
          <w:rFonts w:hint="eastAsia" w:ascii="楷体_GB2312" w:hAnsi="仿宋_GB2312" w:eastAsia="楷体_GB2312" w:cs="仿宋_GB2312"/>
          <w:color w:val="000000"/>
          <w:kern w:val="0"/>
          <w:sz w:val="32"/>
          <w:szCs w:val="32"/>
        </w:rPr>
        <w:t>（二）政府采购支出情况</w:t>
      </w:r>
    </w:p>
    <w:p>
      <w:pPr>
        <w:keepNext w:val="0"/>
        <w:keepLines w:val="0"/>
        <w:pageBreakBefore w:val="0"/>
        <w:widowControl/>
        <w:wordWrap/>
        <w:topLinePunct w:val="0"/>
        <w:bidi w:val="0"/>
        <w:spacing w:line="560" w:lineRule="exact"/>
        <w:ind w:firstLine="640" w:firstLineChars="200"/>
        <w:jc w:val="left"/>
        <w:textAlignment w:val="auto"/>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2021年</w:t>
      </w:r>
      <w:r>
        <w:rPr>
          <w:rFonts w:hint="eastAsia" w:ascii="仿宋" w:hAnsi="仿宋" w:eastAsia="仿宋" w:cs="仿宋"/>
          <w:sz w:val="32"/>
          <w:lang w:val="en-US" w:eastAsia="zh-CN"/>
        </w:rPr>
        <w:t>我单位</w:t>
      </w:r>
      <w:r>
        <w:rPr>
          <w:rFonts w:hint="eastAsia" w:ascii="仿宋" w:hAnsi="仿宋" w:eastAsia="仿宋" w:cs="仿宋"/>
          <w:sz w:val="32"/>
        </w:rPr>
        <w:t>没有</w:t>
      </w:r>
      <w:r>
        <w:rPr>
          <w:rFonts w:hint="eastAsia" w:ascii="仿宋" w:hAnsi="宋体" w:eastAsia="仿宋" w:cs="宋体"/>
          <w:kern w:val="0"/>
          <w:sz w:val="32"/>
          <w:szCs w:val="32"/>
        </w:rPr>
        <w:t>安排</w:t>
      </w:r>
      <w:r>
        <w:rPr>
          <w:rFonts w:hint="eastAsia" w:ascii="仿宋" w:hAnsi="仿宋" w:eastAsia="仿宋" w:cs="仿宋"/>
          <w:sz w:val="32"/>
        </w:rPr>
        <w:t>政府采购预算。</w:t>
      </w:r>
    </w:p>
    <w:p>
      <w:pPr>
        <w:kinsoku w:val="0"/>
        <w:overflowPunct w:val="0"/>
        <w:autoSpaceDE w:val="0"/>
        <w:autoSpaceDN w:val="0"/>
        <w:adjustRightInd w:val="0"/>
        <w:snapToGrid w:val="0"/>
        <w:spacing w:line="580" w:lineRule="exact"/>
        <w:ind w:firstLine="640" w:firstLineChars="200"/>
        <w:outlineLvl w:val="0"/>
        <w:rPr>
          <w:rFonts w:ascii="楷体_GB2312" w:hAnsi="仿宋_GB2312" w:eastAsia="楷体_GB2312" w:cs="仿宋_GB2312"/>
          <w:color w:val="000000"/>
          <w:kern w:val="0"/>
          <w:sz w:val="32"/>
          <w:szCs w:val="32"/>
        </w:rPr>
      </w:pPr>
      <w:r>
        <w:rPr>
          <w:rFonts w:hint="eastAsia" w:ascii="楷体_GB2312" w:hAnsi="仿宋_GB2312" w:eastAsia="楷体_GB2312" w:cs="仿宋_GB2312"/>
          <w:color w:val="000000"/>
          <w:kern w:val="0"/>
          <w:sz w:val="32"/>
          <w:szCs w:val="32"/>
        </w:rPr>
        <w:t>（三）关于预算绩效管理工作开展情况说明</w:t>
      </w:r>
    </w:p>
    <w:p>
      <w:pPr>
        <w:keepNext w:val="0"/>
        <w:keepLines w:val="0"/>
        <w:pageBreakBefore w:val="0"/>
        <w:widowControl/>
        <w:wordWrap/>
        <w:topLinePunct w:val="0"/>
        <w:bidi w:val="0"/>
        <w:spacing w:line="560" w:lineRule="exact"/>
        <w:ind w:firstLine="638"/>
        <w:jc w:val="left"/>
        <w:textAlignment w:val="auto"/>
        <w:rPr>
          <w:rFonts w:ascii="仿宋" w:hAnsi="仿宋" w:eastAsia="仿宋" w:cs="仿宋"/>
          <w:kern w:val="0"/>
          <w:sz w:val="32"/>
          <w:szCs w:val="32"/>
        </w:rPr>
      </w:pPr>
      <w:r>
        <w:rPr>
          <w:rFonts w:hint="eastAsia" w:ascii="仿宋" w:hAnsi="仿宋" w:eastAsia="仿宋" w:cs="仿宋"/>
          <w:kern w:val="0"/>
          <w:sz w:val="32"/>
          <w:szCs w:val="32"/>
        </w:rPr>
        <w:t>我单位</w:t>
      </w:r>
      <w:r>
        <w:rPr>
          <w:rFonts w:ascii="仿宋" w:hAnsi="仿宋" w:eastAsia="仿宋" w:cs="仿宋"/>
          <w:kern w:val="0"/>
          <w:sz w:val="32"/>
          <w:szCs w:val="32"/>
        </w:rPr>
        <w:t>20</w:t>
      </w:r>
      <w:r>
        <w:rPr>
          <w:rFonts w:hint="eastAsia" w:ascii="仿宋" w:hAnsi="仿宋" w:eastAsia="仿宋" w:cs="仿宋"/>
          <w:kern w:val="0"/>
          <w:sz w:val="32"/>
          <w:szCs w:val="32"/>
        </w:rPr>
        <w:t>2</w:t>
      </w:r>
      <w:r>
        <w:rPr>
          <w:rFonts w:hint="eastAsia" w:ascii="仿宋" w:hAnsi="仿宋" w:eastAsia="仿宋" w:cs="仿宋"/>
          <w:kern w:val="0"/>
          <w:sz w:val="32"/>
          <w:szCs w:val="32"/>
          <w:lang w:val="en-US" w:eastAsia="zh-CN"/>
        </w:rPr>
        <w:t>1</w:t>
      </w:r>
      <w:r>
        <w:rPr>
          <w:rFonts w:hint="eastAsia" w:ascii="仿宋" w:hAnsi="仿宋" w:eastAsia="仿宋" w:cs="仿宋"/>
          <w:kern w:val="0"/>
          <w:sz w:val="32"/>
          <w:szCs w:val="32"/>
        </w:rPr>
        <w:t>年未安排重点项目支出资金，所以未开展绩效评价工作。</w:t>
      </w:r>
    </w:p>
    <w:p>
      <w:pPr>
        <w:spacing w:line="580" w:lineRule="exact"/>
        <w:ind w:left="420" w:leftChars="200"/>
        <w:rPr>
          <w:rFonts w:ascii="楷体_GB2312" w:hAnsi="仿宋_GB2312" w:eastAsia="楷体_GB2312" w:cs="仿宋_GB2312"/>
          <w:bCs/>
          <w:color w:val="000000"/>
          <w:sz w:val="32"/>
          <w:szCs w:val="32"/>
        </w:rPr>
      </w:pPr>
      <w:r>
        <w:rPr>
          <w:rFonts w:hint="eastAsia" w:ascii="楷体_GB2312" w:hAnsi="仿宋_GB2312" w:eastAsia="楷体_GB2312" w:cs="仿宋_GB2312"/>
          <w:bCs/>
          <w:color w:val="000000"/>
          <w:sz w:val="32"/>
          <w:szCs w:val="32"/>
        </w:rPr>
        <w:t>（四）国有资产占用情况</w:t>
      </w:r>
    </w:p>
    <w:p>
      <w:pPr>
        <w:keepNext w:val="0"/>
        <w:keepLines w:val="0"/>
        <w:pageBreakBefore w:val="0"/>
        <w:wordWrap/>
        <w:topLinePunct w:val="0"/>
        <w:bidi w:val="0"/>
        <w:spacing w:line="560" w:lineRule="exact"/>
        <w:ind w:firstLine="640"/>
        <w:textAlignment w:val="auto"/>
        <w:rPr>
          <w:rFonts w:hint="eastAsia" w:ascii="仿宋" w:hAnsi="仿宋" w:eastAsia="仿宋" w:cs="仿宋"/>
          <w:sz w:val="32"/>
        </w:rPr>
      </w:pPr>
      <w:r>
        <w:rPr>
          <w:rFonts w:ascii="仿宋" w:hAnsi="仿宋" w:eastAsia="仿宋" w:cs="仿宋"/>
          <w:kern w:val="0"/>
          <w:sz w:val="32"/>
          <w:szCs w:val="32"/>
        </w:rPr>
        <w:t>20</w:t>
      </w:r>
      <w:r>
        <w:rPr>
          <w:rFonts w:hint="eastAsia" w:ascii="仿宋" w:hAnsi="仿宋" w:eastAsia="仿宋" w:cs="仿宋"/>
          <w:kern w:val="0"/>
          <w:sz w:val="32"/>
          <w:szCs w:val="32"/>
        </w:rPr>
        <w:t>2</w:t>
      </w:r>
      <w:r>
        <w:rPr>
          <w:rFonts w:hint="eastAsia" w:ascii="仿宋" w:hAnsi="仿宋" w:eastAsia="仿宋" w:cs="仿宋"/>
          <w:kern w:val="0"/>
          <w:sz w:val="32"/>
          <w:szCs w:val="32"/>
          <w:lang w:val="en-US" w:eastAsia="zh-CN"/>
        </w:rPr>
        <w:t>1</w:t>
      </w:r>
      <w:r>
        <w:rPr>
          <w:rFonts w:hint="eastAsia" w:ascii="仿宋" w:hAnsi="仿宋" w:eastAsia="仿宋" w:cs="仿宋"/>
          <w:sz w:val="32"/>
        </w:rPr>
        <w:t>年度，商务局共有车辆</w:t>
      </w:r>
      <w:r>
        <w:rPr>
          <w:rFonts w:ascii="仿宋" w:hAnsi="仿宋" w:eastAsia="仿宋" w:cs="仿宋"/>
          <w:sz w:val="32"/>
        </w:rPr>
        <w:t>1</w:t>
      </w:r>
      <w:r>
        <w:rPr>
          <w:rFonts w:hint="eastAsia" w:ascii="仿宋" w:hAnsi="仿宋" w:eastAsia="仿宋" w:cs="仿宋"/>
          <w:sz w:val="32"/>
        </w:rPr>
        <w:t>辆，为一般公务用车。单位价值</w:t>
      </w:r>
      <w:r>
        <w:rPr>
          <w:rFonts w:ascii="仿宋" w:hAnsi="仿宋" w:eastAsia="仿宋" w:cs="仿宋"/>
          <w:sz w:val="32"/>
        </w:rPr>
        <w:t>50</w:t>
      </w:r>
      <w:r>
        <w:rPr>
          <w:rFonts w:hint="eastAsia" w:ascii="仿宋" w:hAnsi="仿宋" w:eastAsia="仿宋" w:cs="仿宋"/>
          <w:sz w:val="32"/>
        </w:rPr>
        <w:t>万元以上通用设备0台（套），单位价值</w:t>
      </w:r>
      <w:r>
        <w:rPr>
          <w:rFonts w:ascii="仿宋" w:hAnsi="仿宋" w:eastAsia="仿宋" w:cs="仿宋"/>
          <w:sz w:val="32"/>
        </w:rPr>
        <w:t>100</w:t>
      </w:r>
      <w:r>
        <w:rPr>
          <w:rFonts w:hint="eastAsia" w:ascii="仿宋" w:hAnsi="仿宋" w:eastAsia="仿宋" w:cs="仿宋"/>
          <w:sz w:val="32"/>
        </w:rPr>
        <w:t>万元以上专用设备0台（套）。</w:t>
      </w:r>
    </w:p>
    <w:p>
      <w:pPr>
        <w:widowControl/>
        <w:spacing w:line="580" w:lineRule="exact"/>
        <w:ind w:firstLine="640" w:firstLineChars="200"/>
        <w:rPr>
          <w:rFonts w:ascii="楷体_GB2312" w:hAnsi="仿宋_GB2312" w:eastAsia="楷体_GB2312" w:cs="仿宋_GB2312"/>
          <w:color w:val="000000"/>
          <w:kern w:val="0"/>
          <w:sz w:val="32"/>
          <w:szCs w:val="32"/>
        </w:rPr>
      </w:pPr>
      <w:r>
        <w:rPr>
          <w:rFonts w:hint="eastAsia" w:ascii="楷体_GB2312" w:hAnsi="仿宋_GB2312" w:eastAsia="楷体_GB2312" w:cs="仿宋_GB2312"/>
          <w:color w:val="000000"/>
          <w:kern w:val="0"/>
          <w:sz w:val="32"/>
          <w:szCs w:val="32"/>
        </w:rPr>
        <w:t>（五）专项转移支付项目情况</w:t>
      </w:r>
    </w:p>
    <w:p>
      <w:pPr>
        <w:keepNext w:val="0"/>
        <w:keepLines w:val="0"/>
        <w:pageBreakBefore w:val="0"/>
        <w:wordWrap/>
        <w:topLinePunct w:val="0"/>
        <w:bidi w:val="0"/>
        <w:spacing w:line="560" w:lineRule="exact"/>
        <w:ind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2021年度</w:t>
      </w:r>
      <w:r>
        <w:rPr>
          <w:rFonts w:hint="eastAsia" w:ascii="仿宋_GB2312" w:hAnsi="仿宋_GB2312" w:eastAsia="仿宋_GB2312" w:cs="仿宋_GB2312"/>
          <w:color w:val="000000"/>
          <w:sz w:val="32"/>
          <w:szCs w:val="32"/>
        </w:rPr>
        <w:t>我</w:t>
      </w:r>
      <w:r>
        <w:rPr>
          <w:rFonts w:hint="eastAsia" w:ascii="仿宋_GB2312" w:hAnsi="仿宋_GB2312" w:eastAsia="仿宋_GB2312" w:cs="仿宋_GB2312"/>
          <w:color w:val="000000"/>
          <w:sz w:val="32"/>
          <w:szCs w:val="32"/>
          <w:lang w:val="en-US" w:eastAsia="zh-CN"/>
        </w:rPr>
        <w:t>单位没有安排专项转移支付项目。</w:t>
      </w:r>
    </w:p>
    <w:p>
      <w:pPr>
        <w:widowControl/>
        <w:spacing w:line="580" w:lineRule="exact"/>
        <w:ind w:firstLine="640" w:firstLineChars="200"/>
        <w:rPr>
          <w:rFonts w:ascii="楷体_GB2312" w:hAnsi="仿宋_GB2312" w:eastAsia="楷体_GB2312" w:cs="仿宋_GB2312"/>
          <w:color w:val="000000"/>
          <w:kern w:val="0"/>
          <w:sz w:val="32"/>
          <w:szCs w:val="32"/>
        </w:rPr>
      </w:pPr>
      <w:r>
        <w:rPr>
          <w:rFonts w:hint="eastAsia" w:ascii="楷体_GB2312" w:hAnsi="仿宋_GB2312" w:eastAsia="楷体_GB2312" w:cs="仿宋_GB2312"/>
          <w:color w:val="000000"/>
          <w:kern w:val="0"/>
          <w:sz w:val="32"/>
          <w:szCs w:val="32"/>
        </w:rPr>
        <w:t>（六）关于预算部门构成说明</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2021年我单位按照市财政预算公开要求，将所属预算单位全部纳入预算公开范围。</w:t>
      </w:r>
    </w:p>
    <w:p>
      <w:pPr>
        <w:kinsoku w:val="0"/>
        <w:overflowPunct w:val="0"/>
        <w:autoSpaceDE w:val="0"/>
        <w:autoSpaceDN w:val="0"/>
        <w:adjustRightInd w:val="0"/>
        <w:snapToGrid w:val="0"/>
        <w:spacing w:line="580" w:lineRule="exact"/>
        <w:ind w:firstLine="643" w:firstLineChars="200"/>
        <w:rPr>
          <w:rFonts w:ascii="仿宋_GB2312" w:hAnsi="仿宋_GB2312" w:eastAsia="仿宋_GB2312" w:cs="仿宋_GB2312"/>
          <w:b/>
          <w:color w:val="000000"/>
          <w:kern w:val="0"/>
          <w:sz w:val="32"/>
          <w:szCs w:val="32"/>
        </w:rPr>
      </w:pPr>
    </w:p>
    <w:p>
      <w:pPr>
        <w:adjustRightInd w:val="0"/>
        <w:snapToGrid w:val="0"/>
        <w:spacing w:line="580" w:lineRule="exact"/>
        <w:jc w:val="center"/>
        <w:rPr>
          <w:rFonts w:ascii="黑体" w:hAnsi="黑体" w:eastAsia="黑体"/>
          <w:bCs/>
          <w:color w:val="000000"/>
          <w:sz w:val="36"/>
          <w:szCs w:val="36"/>
        </w:rPr>
      </w:pPr>
      <w:r>
        <w:rPr>
          <w:rFonts w:hint="eastAsia" w:ascii="黑体" w:hAnsi="黑体" w:eastAsia="黑体"/>
          <w:bCs/>
          <w:color w:val="000000"/>
          <w:sz w:val="36"/>
          <w:szCs w:val="36"/>
        </w:rPr>
        <w:t>第三部分  名词解释</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一、财政拨款收入：是指市级财政当年拨付的资金。</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二、事业收入：是指事业单位开展专业活动及辅助活动所取 得的收入。</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三、其他收入：是指部门取得的除“财政拨款”、“事业收入”、“事业单位经营收入”等以外的收入。 </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四、基本支出：是指为保障机构正常运转、完成日常工作任务所必需的开支，其内容包括人员经费和日常公用经费两部分。</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五、项目支出：是指在基本支出之外，为完成特定的行政工作任务或事业发展目标所发生的支出。</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三公”经费：是指纳入市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宋体" w:eastAsia="仿宋_GB2312" w:cs="Courier New"/>
          <w:color w:val="000000"/>
          <w:sz w:val="32"/>
          <w:szCs w:val="32"/>
        </w:rPr>
        <w:t>七、机关运行经费：是指为保障行政</w:t>
      </w:r>
      <w:r>
        <w:rPr>
          <w:rFonts w:hint="eastAsia" w:ascii="仿宋_GB2312" w:hAnsi="仿宋_GB2312" w:eastAsia="仿宋_GB2312" w:cs="仿宋_GB2312"/>
          <w:color w:val="000000"/>
          <w:sz w:val="32"/>
          <w:szCs w:val="32"/>
        </w:rPr>
        <w:t>机构正常运转及正常履职需要的办公费、水电费、日常维修、物业费、维修费、差旅费、</w:t>
      </w:r>
      <w:r>
        <w:rPr>
          <w:rFonts w:hint="eastAsia" w:ascii="仿宋_GB2312" w:hAnsi="宋体" w:eastAsia="仿宋_GB2312" w:cs="Courier New"/>
          <w:color w:val="000000"/>
          <w:sz w:val="32"/>
          <w:szCs w:val="32"/>
        </w:rPr>
        <w:t>公务用车运行维护费以及其他费用</w:t>
      </w:r>
      <w:r>
        <w:rPr>
          <w:rFonts w:hint="eastAsia" w:ascii="仿宋_GB2312" w:hAnsi="仿宋_GB2312" w:eastAsia="仿宋_GB2312" w:cs="仿宋_GB2312"/>
          <w:color w:val="000000"/>
          <w:sz w:val="32"/>
          <w:szCs w:val="32"/>
        </w:rPr>
        <w:t>等支出。</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八、其他（专业性较强的需向社会做出说明的名词）</w:t>
      </w:r>
    </w:p>
    <w:p/>
    <w:p/>
    <w:p/>
    <w:p/>
    <w:p/>
    <w:p/>
    <w:p/>
    <w:p/>
    <w:p/>
    <w:p/>
    <w:p/>
    <w:p/>
    <w:p/>
    <w:p/>
    <w:p/>
    <w:p/>
    <w:p>
      <w:pPr>
        <w:sectPr>
          <w:pgSz w:w="11906" w:h="16838"/>
          <w:pgMar w:top="1440" w:right="1800" w:bottom="1440" w:left="1800" w:header="851" w:footer="992" w:gutter="0"/>
          <w:cols w:space="425" w:num="1"/>
          <w:docGrid w:type="lines" w:linePitch="312" w:charSpace="0"/>
        </w:sectPr>
      </w:pPr>
    </w:p>
    <w:tbl>
      <w:tblPr>
        <w:tblStyle w:val="5"/>
        <w:tblW w:w="15373" w:type="dxa"/>
        <w:tblInd w:w="0" w:type="dxa"/>
        <w:shd w:val="clear" w:color="auto" w:fill="auto"/>
        <w:tblLayout w:type="fixed"/>
        <w:tblCellMar>
          <w:top w:w="0" w:type="dxa"/>
          <w:left w:w="0" w:type="dxa"/>
          <w:bottom w:w="0" w:type="dxa"/>
          <w:right w:w="0" w:type="dxa"/>
        </w:tblCellMar>
      </w:tblPr>
      <w:tblGrid>
        <w:gridCol w:w="2082"/>
        <w:gridCol w:w="845"/>
        <w:gridCol w:w="1924"/>
        <w:gridCol w:w="822"/>
        <w:gridCol w:w="807"/>
        <w:gridCol w:w="867"/>
        <w:gridCol w:w="940"/>
        <w:gridCol w:w="366"/>
        <w:gridCol w:w="746"/>
        <w:gridCol w:w="581"/>
        <w:gridCol w:w="552"/>
        <w:gridCol w:w="484"/>
        <w:gridCol w:w="740"/>
        <w:gridCol w:w="422"/>
        <w:gridCol w:w="773"/>
        <w:gridCol w:w="563"/>
        <w:gridCol w:w="591"/>
        <w:gridCol w:w="394"/>
        <w:gridCol w:w="508"/>
        <w:gridCol w:w="366"/>
      </w:tblGrid>
      <w:tr>
        <w:tblPrEx>
          <w:shd w:val="clear" w:color="auto" w:fill="auto"/>
          <w:tblLayout w:type="fixed"/>
          <w:tblCellMar>
            <w:top w:w="0" w:type="dxa"/>
            <w:left w:w="0" w:type="dxa"/>
            <w:bottom w:w="0" w:type="dxa"/>
            <w:right w:w="0" w:type="dxa"/>
          </w:tblCellMar>
        </w:tblPrEx>
        <w:trPr>
          <w:trHeight w:val="480" w:hRule="atLeast"/>
        </w:trPr>
        <w:tc>
          <w:tcPr>
            <w:tcW w:w="2082"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845"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22"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07"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67"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40"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195" w:type="dxa"/>
            <w:gridSpan w:val="6"/>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预算01表</w:t>
            </w:r>
          </w:p>
        </w:tc>
      </w:tr>
      <w:tr>
        <w:tblPrEx>
          <w:tblLayout w:type="fixed"/>
          <w:tblCellMar>
            <w:top w:w="0" w:type="dxa"/>
            <w:left w:w="0" w:type="dxa"/>
            <w:bottom w:w="0" w:type="dxa"/>
            <w:right w:w="0" w:type="dxa"/>
          </w:tblCellMar>
        </w:tblPrEx>
        <w:trPr>
          <w:trHeight w:val="510" w:hRule="atLeast"/>
        </w:trPr>
        <w:tc>
          <w:tcPr>
            <w:tcW w:w="15373" w:type="dxa"/>
            <w:gridSpan w:val="20"/>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0"/>
                <w:szCs w:val="40"/>
                <w:u w:val="none"/>
              </w:rPr>
            </w:pPr>
            <w:r>
              <w:rPr>
                <w:rFonts w:hint="eastAsia" w:ascii="宋体" w:hAnsi="宋体" w:eastAsia="宋体" w:cs="宋体"/>
                <w:b/>
                <w:i w:val="0"/>
                <w:color w:val="000000"/>
                <w:kern w:val="0"/>
                <w:sz w:val="40"/>
                <w:szCs w:val="40"/>
                <w:u w:val="none"/>
                <w:lang w:val="en-US" w:eastAsia="zh-CN" w:bidi="ar"/>
              </w:rPr>
              <w:t>部门收支总体情况表</w:t>
            </w:r>
          </w:p>
        </w:tc>
      </w:tr>
      <w:tr>
        <w:tblPrEx>
          <w:tblLayout w:type="fixed"/>
          <w:tblCellMar>
            <w:top w:w="0" w:type="dxa"/>
            <w:left w:w="0" w:type="dxa"/>
            <w:bottom w:w="0" w:type="dxa"/>
            <w:right w:w="0" w:type="dxa"/>
          </w:tblCellMar>
        </w:tblPrEx>
        <w:trPr>
          <w:trHeight w:val="495" w:hRule="atLeast"/>
        </w:trPr>
        <w:tc>
          <w:tcPr>
            <w:tcW w:w="4851" w:type="dxa"/>
            <w:gridSpan w:val="3"/>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单位名称：西华县商务局</w:t>
            </w:r>
          </w:p>
        </w:tc>
        <w:tc>
          <w:tcPr>
            <w:tcW w:w="822"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07"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67"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40"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2422" w:type="dxa"/>
            <w:gridSpan w:val="5"/>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单位：百元</w:t>
            </w:r>
          </w:p>
        </w:tc>
      </w:tr>
      <w:tr>
        <w:tblPrEx>
          <w:tblLayout w:type="fixed"/>
          <w:tblCellMar>
            <w:top w:w="0" w:type="dxa"/>
            <w:left w:w="0" w:type="dxa"/>
            <w:bottom w:w="0" w:type="dxa"/>
            <w:right w:w="0" w:type="dxa"/>
          </w:tblCellMar>
        </w:tblPrEx>
        <w:trPr>
          <w:trHeight w:val="495" w:hRule="atLeast"/>
        </w:trPr>
        <w:tc>
          <w:tcPr>
            <w:tcW w:w="292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Style w:val="6"/>
                <w:lang w:val="en-US" w:eastAsia="zh-CN" w:bidi="ar"/>
              </w:rPr>
              <w:t>收        入</w:t>
            </w:r>
          </w:p>
        </w:tc>
        <w:tc>
          <w:tcPr>
            <w:tcW w:w="12446" w:type="dxa"/>
            <w:gridSpan w:val="18"/>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Style w:val="6"/>
                <w:lang w:val="en-US" w:eastAsia="zh-CN" w:bidi="ar"/>
              </w:rPr>
              <w:t>支                                 出</w:t>
            </w:r>
          </w:p>
        </w:tc>
      </w:tr>
      <w:tr>
        <w:tblPrEx>
          <w:tblLayout w:type="fixed"/>
          <w:tblCellMar>
            <w:top w:w="0" w:type="dxa"/>
            <w:left w:w="0" w:type="dxa"/>
            <w:bottom w:w="0" w:type="dxa"/>
            <w:right w:w="0" w:type="dxa"/>
          </w:tblCellMar>
        </w:tblPrEx>
        <w:trPr>
          <w:trHeight w:val="495" w:hRule="atLeast"/>
        </w:trPr>
        <w:tc>
          <w:tcPr>
            <w:tcW w:w="2082" w:type="dxa"/>
            <w:vMerge w:val="restart"/>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       目</w:t>
            </w:r>
          </w:p>
        </w:tc>
        <w:tc>
          <w:tcPr>
            <w:tcW w:w="84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　额</w:t>
            </w:r>
          </w:p>
        </w:tc>
        <w:tc>
          <w:tcPr>
            <w:tcW w:w="19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         目</w:t>
            </w:r>
          </w:p>
        </w:tc>
        <w:tc>
          <w:tcPr>
            <w:tcW w:w="10522" w:type="dxa"/>
            <w:gridSpan w:val="1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2021年预算</w:t>
            </w:r>
          </w:p>
        </w:tc>
      </w:tr>
      <w:tr>
        <w:tblPrEx>
          <w:tblLayout w:type="fixed"/>
          <w:tblCellMar>
            <w:top w:w="0" w:type="dxa"/>
            <w:left w:w="0" w:type="dxa"/>
            <w:bottom w:w="0" w:type="dxa"/>
            <w:right w:w="0" w:type="dxa"/>
          </w:tblCellMar>
        </w:tblPrEx>
        <w:trPr>
          <w:trHeight w:val="495" w:hRule="atLeast"/>
        </w:trPr>
        <w:tc>
          <w:tcPr>
            <w:tcW w:w="208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2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4307" w:type="dxa"/>
            <w:gridSpan w:val="6"/>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一般公共预算</w:t>
            </w:r>
          </w:p>
        </w:tc>
        <w:tc>
          <w:tcPr>
            <w:tcW w:w="55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政府性基金预算</w:t>
            </w:r>
          </w:p>
        </w:tc>
        <w:tc>
          <w:tcPr>
            <w:tcW w:w="48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上级转移支付</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财政专户管理的行政事业性收费</w:t>
            </w:r>
          </w:p>
        </w:tc>
        <w:tc>
          <w:tcPr>
            <w:tcW w:w="1758" w:type="dxa"/>
            <w:gridSpan w:val="3"/>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结余结转资金</w:t>
            </w:r>
          </w:p>
        </w:tc>
        <w:tc>
          <w:tcPr>
            <w:tcW w:w="59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事业单位经营收入</w:t>
            </w:r>
          </w:p>
        </w:tc>
        <w:tc>
          <w:tcPr>
            <w:tcW w:w="39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上级补助收入</w:t>
            </w:r>
          </w:p>
        </w:tc>
        <w:tc>
          <w:tcPr>
            <w:tcW w:w="50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附属单位上缴收入</w:t>
            </w:r>
          </w:p>
        </w:tc>
        <w:tc>
          <w:tcPr>
            <w:tcW w:w="36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其他收入</w:t>
            </w:r>
          </w:p>
        </w:tc>
      </w:tr>
      <w:tr>
        <w:tblPrEx>
          <w:tblLayout w:type="fixed"/>
          <w:tblCellMar>
            <w:top w:w="0" w:type="dxa"/>
            <w:left w:w="0" w:type="dxa"/>
            <w:bottom w:w="0" w:type="dxa"/>
            <w:right w:w="0" w:type="dxa"/>
          </w:tblCellMar>
        </w:tblPrEx>
        <w:trPr>
          <w:trHeight w:val="1170" w:hRule="atLeast"/>
        </w:trPr>
        <w:tc>
          <w:tcPr>
            <w:tcW w:w="208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07"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小计</w:t>
            </w:r>
          </w:p>
        </w:tc>
        <w:tc>
          <w:tcPr>
            <w:tcW w:w="867"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w:t>
            </w:r>
          </w:p>
        </w:tc>
        <w:tc>
          <w:tcPr>
            <w:tcW w:w="940"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纳入预算管理的行政事业性收费</w:t>
            </w: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专项收入</w:t>
            </w: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国有资产资源有偿使用收入</w:t>
            </w: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其他一般公共预算收入</w:t>
            </w:r>
          </w:p>
        </w:tc>
        <w:tc>
          <w:tcPr>
            <w:tcW w:w="5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4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小计</w:t>
            </w: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上级转移支付结余结转</w:t>
            </w: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部门结余结转</w:t>
            </w:r>
          </w:p>
        </w:tc>
        <w:tc>
          <w:tcPr>
            <w:tcW w:w="5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5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一、一般公共预算拨款</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一、基本支出</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w:t>
            </w: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w:t>
            </w: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（一）财政拨款</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（一）工资福利支出</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23,145</w:t>
            </w: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23,145</w:t>
            </w: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23,145</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（二）纳入预算管理的行政事业性收费</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（二）商品和服务支出</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2,790</w:t>
            </w: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2,790</w:t>
            </w: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2,790</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（三）专项收入</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（三）对个人和家庭的补助</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1,183</w:t>
            </w: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1,183</w:t>
            </w: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1,183</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（四）国有资产资源有偿使用收入</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二、项目支出</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（五）其他一般公共预算收入</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（一）经常性项目支出</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二、政府性基金预算拨款</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（二）重点项目支出</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三、上级转移支付拨款</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1、基本建设支出</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四、财政专户拨款</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2、事业发展专项支出</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五、事业单位经营收入</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3、债务项目支出</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六、上级补助收入</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4、各项配套支出</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七、附属单位上缴收入</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5、其他各项支出</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八、其他收入</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本年收入合计</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本年支出合计</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九、上级转移支付结余结转资金</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十、部门预算结余结转资金</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五、结转下年</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收入总计</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支出总计</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bl>
    <w:p/>
    <w:tbl>
      <w:tblPr>
        <w:tblStyle w:val="5"/>
        <w:tblW w:w="15408" w:type="dxa"/>
        <w:tblInd w:w="0" w:type="dxa"/>
        <w:shd w:val="clear" w:color="auto" w:fill="auto"/>
        <w:tblLayout w:type="fixed"/>
        <w:tblCellMar>
          <w:top w:w="0" w:type="dxa"/>
          <w:left w:w="0" w:type="dxa"/>
          <w:bottom w:w="0" w:type="dxa"/>
          <w:right w:w="0" w:type="dxa"/>
        </w:tblCellMar>
      </w:tblPr>
      <w:tblGrid>
        <w:gridCol w:w="2004"/>
        <w:gridCol w:w="424"/>
        <w:gridCol w:w="389"/>
        <w:gridCol w:w="983"/>
        <w:gridCol w:w="2677"/>
        <w:gridCol w:w="739"/>
        <w:gridCol w:w="777"/>
        <w:gridCol w:w="777"/>
        <w:gridCol w:w="605"/>
        <w:gridCol w:w="326"/>
        <w:gridCol w:w="578"/>
        <w:gridCol w:w="506"/>
        <w:gridCol w:w="470"/>
        <w:gridCol w:w="344"/>
        <w:gridCol w:w="542"/>
        <w:gridCol w:w="308"/>
        <w:gridCol w:w="497"/>
        <w:gridCol w:w="470"/>
        <w:gridCol w:w="600"/>
        <w:gridCol w:w="552"/>
        <w:gridCol w:w="456"/>
        <w:gridCol w:w="384"/>
      </w:tblGrid>
      <w:tr>
        <w:tblPrEx>
          <w:shd w:val="clear" w:color="auto" w:fill="auto"/>
          <w:tblLayout w:type="fixed"/>
          <w:tblCellMar>
            <w:top w:w="0" w:type="dxa"/>
            <w:left w:w="0" w:type="dxa"/>
            <w:bottom w:w="0" w:type="dxa"/>
            <w:right w:w="0" w:type="dxa"/>
          </w:tblCellMar>
        </w:tblPrEx>
        <w:trPr>
          <w:trHeight w:val="510" w:hRule="atLeast"/>
        </w:trPr>
        <w:tc>
          <w:tcPr>
            <w:tcW w:w="2004" w:type="dxa"/>
            <w:tcBorders>
              <w:top w:val="nil"/>
              <w:left w:val="nil"/>
              <w:bottom w:val="nil"/>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18"/>
                <w:szCs w:val="18"/>
                <w:u w:val="none"/>
              </w:rPr>
            </w:pPr>
          </w:p>
        </w:tc>
        <w:tc>
          <w:tcPr>
            <w:tcW w:w="424" w:type="dxa"/>
            <w:tcBorders>
              <w:top w:val="nil"/>
              <w:left w:val="nil"/>
              <w:bottom w:val="nil"/>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18"/>
                <w:szCs w:val="18"/>
                <w:u w:val="none"/>
              </w:rPr>
            </w:pPr>
          </w:p>
        </w:tc>
        <w:tc>
          <w:tcPr>
            <w:tcW w:w="389" w:type="dxa"/>
            <w:tcBorders>
              <w:top w:val="nil"/>
              <w:left w:val="nil"/>
              <w:bottom w:val="nil"/>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983" w:type="dxa"/>
            <w:tcBorders>
              <w:top w:val="nil"/>
              <w:left w:val="nil"/>
              <w:bottom w:val="nil"/>
              <w:right w:val="nil"/>
            </w:tcBorders>
            <w:shd w:val="clear" w:color="auto" w:fill="FFFFFF"/>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2677"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39"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77"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77"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605"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26"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578"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506"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470"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44"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542"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08"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497"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470"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992" w:type="dxa"/>
            <w:gridSpan w:val="4"/>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预算02表</w:t>
            </w:r>
          </w:p>
        </w:tc>
      </w:tr>
      <w:tr>
        <w:tblPrEx>
          <w:tblLayout w:type="fixed"/>
          <w:tblCellMar>
            <w:top w:w="0" w:type="dxa"/>
            <w:left w:w="0" w:type="dxa"/>
            <w:bottom w:w="0" w:type="dxa"/>
            <w:right w:w="0" w:type="dxa"/>
          </w:tblCellMar>
        </w:tblPrEx>
        <w:trPr>
          <w:trHeight w:val="510" w:hRule="atLeast"/>
        </w:trPr>
        <w:tc>
          <w:tcPr>
            <w:tcW w:w="15408" w:type="dxa"/>
            <w:gridSpan w:val="22"/>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0"/>
                <w:szCs w:val="40"/>
                <w:u w:val="none"/>
              </w:rPr>
            </w:pPr>
            <w:r>
              <w:rPr>
                <w:rFonts w:hint="eastAsia" w:ascii="宋体" w:hAnsi="宋体" w:eastAsia="宋体" w:cs="宋体"/>
                <w:b/>
                <w:i w:val="0"/>
                <w:color w:val="000000"/>
                <w:kern w:val="0"/>
                <w:sz w:val="40"/>
                <w:szCs w:val="40"/>
                <w:u w:val="none"/>
                <w:lang w:val="en-US" w:eastAsia="zh-CN" w:bidi="ar"/>
              </w:rPr>
              <w:t>部门收入总体情况表</w:t>
            </w:r>
          </w:p>
        </w:tc>
      </w:tr>
      <w:tr>
        <w:tblPrEx>
          <w:tblLayout w:type="fixed"/>
          <w:tblCellMar>
            <w:top w:w="0" w:type="dxa"/>
            <w:left w:w="0" w:type="dxa"/>
            <w:bottom w:w="0" w:type="dxa"/>
            <w:right w:w="0" w:type="dxa"/>
          </w:tblCellMar>
        </w:tblPrEx>
        <w:trPr>
          <w:trHeight w:val="510" w:hRule="atLeast"/>
        </w:trPr>
        <w:tc>
          <w:tcPr>
            <w:tcW w:w="2004"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单位名称：西华县商务局</w:t>
            </w:r>
          </w:p>
        </w:tc>
        <w:tc>
          <w:tcPr>
            <w:tcW w:w="424"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18"/>
                <w:szCs w:val="18"/>
                <w:u w:val="none"/>
              </w:rPr>
            </w:pPr>
          </w:p>
        </w:tc>
        <w:tc>
          <w:tcPr>
            <w:tcW w:w="389"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18"/>
                <w:szCs w:val="18"/>
                <w:u w:val="none"/>
              </w:rPr>
            </w:pPr>
          </w:p>
        </w:tc>
        <w:tc>
          <w:tcPr>
            <w:tcW w:w="983"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18"/>
                <w:szCs w:val="18"/>
                <w:u w:val="none"/>
              </w:rPr>
            </w:pPr>
          </w:p>
        </w:tc>
        <w:tc>
          <w:tcPr>
            <w:tcW w:w="2677"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39"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77"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77"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605"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26"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578"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506"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470"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44"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542"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08"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497"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470"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600"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392" w:type="dxa"/>
            <w:gridSpan w:val="3"/>
            <w:tcBorders>
              <w:top w:val="nil"/>
              <w:left w:val="nil"/>
              <w:bottom w:val="nil"/>
              <w:right w:val="nil"/>
            </w:tcBorders>
            <w:shd w:val="clear" w:color="auto" w:fill="FFFFFF"/>
            <w:tcMar>
              <w:top w:w="12" w:type="dxa"/>
              <w:left w:w="12" w:type="dxa"/>
              <w:right w:w="12"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单位：百元</w:t>
            </w:r>
          </w:p>
        </w:tc>
      </w:tr>
      <w:tr>
        <w:tblPrEx>
          <w:tblLayout w:type="fixed"/>
          <w:tblCellMar>
            <w:top w:w="0" w:type="dxa"/>
            <w:left w:w="0" w:type="dxa"/>
            <w:bottom w:w="0" w:type="dxa"/>
            <w:right w:w="0" w:type="dxa"/>
          </w:tblCellMar>
        </w:tblPrEx>
        <w:trPr>
          <w:trHeight w:val="735" w:hRule="atLeast"/>
        </w:trPr>
        <w:tc>
          <w:tcPr>
            <w:tcW w:w="2817"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科目编码</w:t>
            </w:r>
          </w:p>
        </w:tc>
        <w:tc>
          <w:tcPr>
            <w:tcW w:w="98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单位代码</w:t>
            </w:r>
          </w:p>
        </w:tc>
        <w:tc>
          <w:tcPr>
            <w:tcW w:w="267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单位（科目名称）</w:t>
            </w:r>
          </w:p>
        </w:tc>
        <w:tc>
          <w:tcPr>
            <w:tcW w:w="73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总计</w:t>
            </w:r>
          </w:p>
        </w:tc>
        <w:tc>
          <w:tcPr>
            <w:tcW w:w="3569" w:type="dxa"/>
            <w:gridSpan w:val="6"/>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一般公共预算</w:t>
            </w:r>
          </w:p>
        </w:tc>
        <w:tc>
          <w:tcPr>
            <w:tcW w:w="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政府性基金预算</w:t>
            </w:r>
          </w:p>
        </w:tc>
        <w:tc>
          <w:tcPr>
            <w:tcW w:w="3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上级转移支付</w:t>
            </w:r>
          </w:p>
        </w:tc>
        <w:tc>
          <w:tcPr>
            <w:tcW w:w="54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财政专户管理的行政事业性收费</w:t>
            </w:r>
          </w:p>
        </w:tc>
        <w:tc>
          <w:tcPr>
            <w:tcW w:w="1275"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结余结转资金</w:t>
            </w:r>
          </w:p>
        </w:tc>
        <w:tc>
          <w:tcPr>
            <w:tcW w:w="60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事业单位经营收入</w:t>
            </w:r>
          </w:p>
        </w:tc>
        <w:tc>
          <w:tcPr>
            <w:tcW w:w="552" w:type="dxa"/>
            <w:vMerge w:val="restart"/>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上级补助收入</w:t>
            </w:r>
          </w:p>
        </w:tc>
        <w:tc>
          <w:tcPr>
            <w:tcW w:w="456" w:type="dxa"/>
            <w:vMerge w:val="restart"/>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附属单位上缴收入</w:t>
            </w:r>
          </w:p>
        </w:tc>
        <w:tc>
          <w:tcPr>
            <w:tcW w:w="384" w:type="dxa"/>
            <w:vMerge w:val="restart"/>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其他收入</w:t>
            </w:r>
          </w:p>
        </w:tc>
      </w:tr>
      <w:tr>
        <w:tblPrEx>
          <w:tblLayout w:type="fixed"/>
          <w:tblCellMar>
            <w:top w:w="0" w:type="dxa"/>
            <w:left w:w="0" w:type="dxa"/>
            <w:bottom w:w="0" w:type="dxa"/>
            <w:right w:w="0" w:type="dxa"/>
          </w:tblCellMar>
        </w:tblPrEx>
        <w:trPr>
          <w:trHeight w:val="130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类</w:t>
            </w: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款</w:t>
            </w: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w:t>
            </w: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26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3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小计</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纳入预算管理的行政事业性收费</w:t>
            </w: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专项收入</w:t>
            </w: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国有资产资源有偿使用收入</w:t>
            </w: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其他一般公共预算收入</w:t>
            </w:r>
          </w:p>
        </w:tc>
        <w:tc>
          <w:tcPr>
            <w:tcW w:w="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5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小计</w:t>
            </w: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上级转移支付结余结转</w:t>
            </w: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部门结余结转</w:t>
            </w: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552" w:type="dxa"/>
            <w:vMerge w:val="continue"/>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456" w:type="dxa"/>
            <w:vMerge w:val="continue"/>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84" w:type="dxa"/>
            <w:vMerge w:val="continue"/>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77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77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6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32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57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5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47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c>
          <w:tcPr>
            <w:tcW w:w="344"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c>
          <w:tcPr>
            <w:tcW w:w="54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3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w:t>
            </w:r>
          </w:p>
        </w:tc>
        <w:tc>
          <w:tcPr>
            <w:tcW w:w="49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c>
          <w:tcPr>
            <w:tcW w:w="47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w:t>
            </w:r>
          </w:p>
        </w:tc>
        <w:tc>
          <w:tcPr>
            <w:tcW w:w="60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14</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c>
          <w:tcPr>
            <w:tcW w:w="45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w:t>
            </w:r>
          </w:p>
        </w:tc>
        <w:tc>
          <w:tcPr>
            <w:tcW w:w="384"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w:t>
            </w: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金融贸易股</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007001001</w:t>
            </w: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西华县商务局</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w:t>
            </w: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一般公共服务支出</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42,587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42,587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42,587</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w:t>
            </w: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商贸事务</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42,587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42,587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42,587</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w:t>
            </w: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13</w:t>
            </w: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01</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007001001</w:t>
            </w: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行政运行</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42,587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42,587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42,587</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208</w:t>
            </w: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社会保障和就业支出</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2,663</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2,663</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2,663</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05</w:t>
            </w: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行政事业单位养老支出</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208</w:t>
            </w: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05</w:t>
            </w: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05</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007001001</w:t>
            </w: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机关事业单位基本养老保险缴费支出</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其他社会保障和就业支出</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208</w:t>
            </w: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99</w:t>
            </w: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007001001</w:t>
            </w: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其他社会保障和就业支出</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210</w:t>
            </w: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卫生健康支出</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w:t>
            </w: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行政事业单位医疗</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210</w:t>
            </w: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11</w:t>
            </w: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01</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007001001</w:t>
            </w: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行政单位医疗</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221</w:t>
            </w: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住房保障支出</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02</w:t>
            </w: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住房改革支出</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221</w:t>
            </w:r>
          </w:p>
        </w:tc>
        <w:tc>
          <w:tcPr>
            <w:tcW w:w="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02</w:t>
            </w:r>
          </w:p>
        </w:tc>
        <w:tc>
          <w:tcPr>
            <w:tcW w:w="3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01</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007001001</w:t>
            </w:r>
          </w:p>
        </w:tc>
        <w:tc>
          <w:tcPr>
            <w:tcW w:w="2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住房公积金</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6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bl>
    <w:p/>
    <w:p/>
    <w:p/>
    <w:p/>
    <w:p/>
    <w:p/>
    <w:tbl>
      <w:tblPr>
        <w:tblStyle w:val="5"/>
        <w:tblW w:w="14569" w:type="dxa"/>
        <w:tblInd w:w="0" w:type="dxa"/>
        <w:shd w:val="clear" w:color="auto" w:fill="auto"/>
        <w:tblLayout w:type="fixed"/>
        <w:tblCellMar>
          <w:top w:w="0" w:type="dxa"/>
          <w:left w:w="0" w:type="dxa"/>
          <w:bottom w:w="0" w:type="dxa"/>
          <w:right w:w="0" w:type="dxa"/>
        </w:tblCellMar>
      </w:tblPr>
      <w:tblGrid>
        <w:gridCol w:w="2004"/>
        <w:gridCol w:w="463"/>
        <w:gridCol w:w="510"/>
        <w:gridCol w:w="1079"/>
        <w:gridCol w:w="2383"/>
        <w:gridCol w:w="777"/>
        <w:gridCol w:w="777"/>
        <w:gridCol w:w="813"/>
        <w:gridCol w:w="716"/>
        <w:gridCol w:w="680"/>
        <w:gridCol w:w="723"/>
        <w:gridCol w:w="732"/>
        <w:gridCol w:w="362"/>
        <w:gridCol w:w="460"/>
        <w:gridCol w:w="633"/>
        <w:gridCol w:w="528"/>
        <w:gridCol w:w="433"/>
        <w:gridCol w:w="496"/>
      </w:tblGrid>
      <w:tr>
        <w:tblPrEx>
          <w:shd w:val="clear" w:color="auto" w:fill="auto"/>
          <w:tblLayout w:type="fixed"/>
          <w:tblCellMar>
            <w:top w:w="0" w:type="dxa"/>
            <w:left w:w="0" w:type="dxa"/>
            <w:bottom w:w="0" w:type="dxa"/>
            <w:right w:w="0" w:type="dxa"/>
          </w:tblCellMar>
        </w:tblPrEx>
        <w:trPr>
          <w:trHeight w:val="510" w:hRule="atLeast"/>
        </w:trPr>
        <w:tc>
          <w:tcPr>
            <w:tcW w:w="2004" w:type="dxa"/>
            <w:tcBorders>
              <w:top w:val="nil"/>
              <w:left w:val="nil"/>
              <w:bottom w:val="nil"/>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18"/>
                <w:szCs w:val="18"/>
                <w:u w:val="none"/>
              </w:rPr>
            </w:pPr>
          </w:p>
        </w:tc>
        <w:tc>
          <w:tcPr>
            <w:tcW w:w="463" w:type="dxa"/>
            <w:tcBorders>
              <w:top w:val="nil"/>
              <w:left w:val="nil"/>
              <w:bottom w:val="nil"/>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18"/>
                <w:szCs w:val="18"/>
                <w:u w:val="none"/>
              </w:rPr>
            </w:pPr>
          </w:p>
        </w:tc>
        <w:tc>
          <w:tcPr>
            <w:tcW w:w="510" w:type="dxa"/>
            <w:tcBorders>
              <w:top w:val="nil"/>
              <w:left w:val="nil"/>
              <w:bottom w:val="nil"/>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079" w:type="dxa"/>
            <w:tcBorders>
              <w:top w:val="nil"/>
              <w:left w:val="nil"/>
              <w:bottom w:val="nil"/>
              <w:right w:val="nil"/>
            </w:tcBorders>
            <w:shd w:val="clear" w:color="auto" w:fill="FFFFFF"/>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2383"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77"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77"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813"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16"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680"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23"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32"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62"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460"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2090" w:type="dxa"/>
            <w:gridSpan w:val="4"/>
            <w:tcBorders>
              <w:top w:val="nil"/>
              <w:left w:val="nil"/>
              <w:bottom w:val="nil"/>
              <w:right w:val="nil"/>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预算03表  </w:t>
            </w:r>
          </w:p>
        </w:tc>
      </w:tr>
      <w:tr>
        <w:tblPrEx>
          <w:tblLayout w:type="fixed"/>
          <w:tblCellMar>
            <w:top w:w="0" w:type="dxa"/>
            <w:left w:w="0" w:type="dxa"/>
            <w:bottom w:w="0" w:type="dxa"/>
            <w:right w:w="0" w:type="dxa"/>
          </w:tblCellMar>
        </w:tblPrEx>
        <w:trPr>
          <w:trHeight w:val="510" w:hRule="atLeast"/>
        </w:trPr>
        <w:tc>
          <w:tcPr>
            <w:tcW w:w="14569" w:type="dxa"/>
            <w:gridSpan w:val="18"/>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0"/>
                <w:szCs w:val="40"/>
                <w:u w:val="none"/>
              </w:rPr>
            </w:pPr>
            <w:r>
              <w:rPr>
                <w:rFonts w:hint="eastAsia" w:ascii="宋体" w:hAnsi="宋体" w:eastAsia="宋体" w:cs="宋体"/>
                <w:b/>
                <w:i w:val="0"/>
                <w:color w:val="000000"/>
                <w:kern w:val="0"/>
                <w:sz w:val="40"/>
                <w:szCs w:val="40"/>
                <w:u w:val="none"/>
                <w:lang w:val="en-US" w:eastAsia="zh-CN" w:bidi="ar"/>
              </w:rPr>
              <w:t>支出预算总体情况表</w:t>
            </w:r>
          </w:p>
        </w:tc>
      </w:tr>
      <w:tr>
        <w:tblPrEx>
          <w:tblLayout w:type="fixed"/>
          <w:tblCellMar>
            <w:top w:w="0" w:type="dxa"/>
            <w:left w:w="0" w:type="dxa"/>
            <w:bottom w:w="0" w:type="dxa"/>
            <w:right w:w="0" w:type="dxa"/>
          </w:tblCellMar>
        </w:tblPrEx>
        <w:trPr>
          <w:trHeight w:val="510" w:hRule="atLeast"/>
        </w:trPr>
        <w:tc>
          <w:tcPr>
            <w:tcW w:w="2004"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单位名称：西华县商务局</w:t>
            </w:r>
          </w:p>
        </w:tc>
        <w:tc>
          <w:tcPr>
            <w:tcW w:w="463"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18"/>
                <w:szCs w:val="18"/>
                <w:u w:val="none"/>
              </w:rPr>
            </w:pPr>
          </w:p>
        </w:tc>
        <w:tc>
          <w:tcPr>
            <w:tcW w:w="510"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18"/>
                <w:szCs w:val="18"/>
                <w:u w:val="none"/>
              </w:rPr>
            </w:pPr>
          </w:p>
        </w:tc>
        <w:tc>
          <w:tcPr>
            <w:tcW w:w="1079"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18"/>
                <w:szCs w:val="18"/>
                <w:u w:val="none"/>
              </w:rPr>
            </w:pPr>
          </w:p>
        </w:tc>
        <w:tc>
          <w:tcPr>
            <w:tcW w:w="2383"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77"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77"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813"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16"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680"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23"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732"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62"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460" w:type="dxa"/>
            <w:tcBorders>
              <w:top w:val="nil"/>
              <w:left w:val="nil"/>
              <w:bottom w:val="nil"/>
              <w:right w:val="nil"/>
            </w:tcBorders>
            <w:shd w:val="clear" w:color="auto" w:fill="FFFFFF"/>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2090" w:type="dxa"/>
            <w:gridSpan w:val="4"/>
            <w:tcBorders>
              <w:top w:val="nil"/>
              <w:left w:val="nil"/>
              <w:bottom w:val="nil"/>
              <w:right w:val="nil"/>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单位：百元</w:t>
            </w:r>
          </w:p>
        </w:tc>
      </w:tr>
      <w:tr>
        <w:tblPrEx>
          <w:tblLayout w:type="fixed"/>
          <w:tblCellMar>
            <w:top w:w="0" w:type="dxa"/>
            <w:left w:w="0" w:type="dxa"/>
            <w:bottom w:w="0" w:type="dxa"/>
            <w:right w:w="0" w:type="dxa"/>
          </w:tblCellMar>
        </w:tblPrEx>
        <w:trPr>
          <w:trHeight w:val="440" w:hRule="atLeast"/>
        </w:trPr>
        <w:tc>
          <w:tcPr>
            <w:tcW w:w="2977"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科目编码</w:t>
            </w:r>
          </w:p>
        </w:tc>
        <w:tc>
          <w:tcPr>
            <w:tcW w:w="107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单位代码</w:t>
            </w:r>
          </w:p>
        </w:tc>
        <w:tc>
          <w:tcPr>
            <w:tcW w:w="238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单位（科目名称）</w:t>
            </w:r>
          </w:p>
        </w:tc>
        <w:tc>
          <w:tcPr>
            <w:tcW w:w="77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总计</w:t>
            </w:r>
          </w:p>
        </w:tc>
        <w:tc>
          <w:tcPr>
            <w:tcW w:w="2986" w:type="dxa"/>
            <w:gridSpan w:val="4"/>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基本支出</w:t>
            </w:r>
          </w:p>
        </w:tc>
        <w:tc>
          <w:tcPr>
            <w:tcW w:w="4367" w:type="dxa"/>
            <w:gridSpan w:val="8"/>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项目支出</w:t>
            </w:r>
          </w:p>
        </w:tc>
      </w:tr>
      <w:tr>
        <w:tblPrEx>
          <w:tblLayout w:type="fixed"/>
          <w:tblCellMar>
            <w:top w:w="0" w:type="dxa"/>
            <w:left w:w="0" w:type="dxa"/>
            <w:bottom w:w="0" w:type="dxa"/>
            <w:right w:w="0" w:type="dxa"/>
          </w:tblCellMar>
        </w:tblPrEx>
        <w:trPr>
          <w:trHeight w:val="460"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238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81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工资福利支出</w:t>
            </w:r>
          </w:p>
        </w:tc>
        <w:tc>
          <w:tcPr>
            <w:tcW w:w="71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商品服务支出</w:t>
            </w:r>
          </w:p>
        </w:tc>
        <w:tc>
          <w:tcPr>
            <w:tcW w:w="68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对个人和家庭的补助</w:t>
            </w:r>
          </w:p>
        </w:tc>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73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经常性项目支出</w:t>
            </w:r>
          </w:p>
        </w:tc>
        <w:tc>
          <w:tcPr>
            <w:tcW w:w="2912" w:type="dxa"/>
            <w:gridSpan w:val="6"/>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重点项目支出</w:t>
            </w:r>
          </w:p>
        </w:tc>
      </w:tr>
      <w:tr>
        <w:tblPrEx>
          <w:tblLayout w:type="fixed"/>
          <w:tblCellMar>
            <w:top w:w="0" w:type="dxa"/>
            <w:left w:w="0" w:type="dxa"/>
            <w:bottom w:w="0" w:type="dxa"/>
            <w:right w:w="0" w:type="dxa"/>
          </w:tblCellMar>
        </w:tblPrEx>
        <w:trPr>
          <w:trHeight w:val="980"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类</w:t>
            </w: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款</w:t>
            </w: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w:t>
            </w: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238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小计</w:t>
            </w: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基本建设支出</w:t>
            </w: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事业发展专项支出</w:t>
            </w: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债务项目支出</w:t>
            </w: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各项配套支出</w:t>
            </w: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其他各项支出</w:t>
            </w:r>
          </w:p>
        </w:tc>
      </w:tr>
      <w:tr>
        <w:tblPrEx>
          <w:tblLayout w:type="fixed"/>
          <w:tblCellMar>
            <w:top w:w="0" w:type="dxa"/>
            <w:left w:w="0" w:type="dxa"/>
            <w:bottom w:w="0" w:type="dxa"/>
            <w:right w:w="0" w:type="dxa"/>
          </w:tblCellMar>
        </w:tblPrEx>
        <w:trPr>
          <w:trHeight w:val="510"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77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81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6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73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36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c>
          <w:tcPr>
            <w:tcW w:w="46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c>
          <w:tcPr>
            <w:tcW w:w="63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52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w:t>
            </w:r>
          </w:p>
        </w:tc>
        <w:tc>
          <w:tcPr>
            <w:tcW w:w="43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c>
          <w:tcPr>
            <w:tcW w:w="49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w:t>
            </w: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23,145</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2,790</w:t>
            </w: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1,183</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23,145</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2,790</w:t>
            </w: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1,183</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金融贸易股</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23,145</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2,790</w:t>
            </w: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1,183</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007001001</w:t>
            </w: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西华县商务局</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23,145</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2,790</w:t>
            </w: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1,183</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w:t>
            </w: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一般公共服务支出</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42,587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21,387</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17,414</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2,790</w:t>
            </w: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1,183</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w:t>
            </w: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商贸事务</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42,587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21,387</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17,414</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2,790</w:t>
            </w: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1,183</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w:t>
            </w: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w:t>
            </w: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01</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007001001</w:t>
            </w: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行政运行</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42,587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21,387</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17,414</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2,790</w:t>
            </w: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1,183</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208</w:t>
            </w: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社会保障和就业支出</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2,663</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2,663</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2,663</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05</w:t>
            </w: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行政事业单位养老支出</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208</w:t>
            </w: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05</w:t>
            </w: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05</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007001001</w:t>
            </w: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机关事业单位基本养老保险缴费支出</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其他社会保障和就业支出</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208</w:t>
            </w: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007001001</w:t>
            </w: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其他社会保障和就业支出</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210</w:t>
            </w: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卫生健康支出</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w:t>
            </w: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行政事业单位医疗</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210</w:t>
            </w: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w:t>
            </w: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01</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007001001</w:t>
            </w: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行政单位医疗</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221</w:t>
            </w: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住房保障支出</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02</w:t>
            </w: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住房改革支出</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trPr>
        <w:tc>
          <w:tcPr>
            <w:tcW w:w="20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221</w:t>
            </w:r>
          </w:p>
        </w:tc>
        <w:tc>
          <w:tcPr>
            <w:tcW w:w="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02</w:t>
            </w:r>
          </w:p>
        </w:tc>
        <w:tc>
          <w:tcPr>
            <w:tcW w:w="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01</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007001001</w:t>
            </w:r>
          </w:p>
        </w:tc>
        <w:tc>
          <w:tcPr>
            <w:tcW w:w="23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住房公积金</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81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1,289</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bl>
    <w:p/>
    <w:p/>
    <w:p/>
    <w:p/>
    <w:p/>
    <w:p/>
    <w:p/>
    <w:p/>
    <w:p/>
    <w:tbl>
      <w:tblPr>
        <w:tblStyle w:val="5"/>
        <w:tblW w:w="14894" w:type="dxa"/>
        <w:jc w:val="center"/>
        <w:tblInd w:w="0" w:type="dxa"/>
        <w:shd w:val="clear" w:color="auto" w:fill="auto"/>
        <w:tblLayout w:type="fixed"/>
        <w:tblCellMar>
          <w:top w:w="0" w:type="dxa"/>
          <w:left w:w="0" w:type="dxa"/>
          <w:bottom w:w="0" w:type="dxa"/>
          <w:right w:w="0" w:type="dxa"/>
        </w:tblCellMar>
      </w:tblPr>
      <w:tblGrid>
        <w:gridCol w:w="1766"/>
        <w:gridCol w:w="834"/>
        <w:gridCol w:w="1924"/>
        <w:gridCol w:w="855"/>
        <w:gridCol w:w="890"/>
        <w:gridCol w:w="832"/>
        <w:gridCol w:w="886"/>
        <w:gridCol w:w="390"/>
        <w:gridCol w:w="817"/>
        <w:gridCol w:w="725"/>
        <w:gridCol w:w="528"/>
        <w:gridCol w:w="320"/>
        <w:gridCol w:w="690"/>
        <w:gridCol w:w="343"/>
        <w:gridCol w:w="551"/>
        <w:gridCol w:w="505"/>
        <w:gridCol w:w="482"/>
        <w:gridCol w:w="494"/>
        <w:gridCol w:w="540"/>
        <w:gridCol w:w="522"/>
      </w:tblGrid>
      <w:tr>
        <w:tblPrEx>
          <w:shd w:val="clear" w:color="auto" w:fill="auto"/>
          <w:tblLayout w:type="fixed"/>
          <w:tblCellMar>
            <w:top w:w="0" w:type="dxa"/>
            <w:left w:w="0" w:type="dxa"/>
            <w:bottom w:w="0" w:type="dxa"/>
            <w:right w:w="0" w:type="dxa"/>
          </w:tblCellMar>
        </w:tblPrEx>
        <w:trPr>
          <w:trHeight w:val="480" w:hRule="atLeast"/>
          <w:jc w:val="center"/>
        </w:trPr>
        <w:tc>
          <w:tcPr>
            <w:tcW w:w="1766"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834"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55"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90"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32"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86"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062" w:type="dxa"/>
            <w:gridSpan w:val="2"/>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预算04表</w:t>
            </w:r>
          </w:p>
        </w:tc>
      </w:tr>
      <w:tr>
        <w:tblPrEx>
          <w:tblLayout w:type="fixed"/>
          <w:tblCellMar>
            <w:top w:w="0" w:type="dxa"/>
            <w:left w:w="0" w:type="dxa"/>
            <w:bottom w:w="0" w:type="dxa"/>
            <w:right w:w="0" w:type="dxa"/>
          </w:tblCellMar>
        </w:tblPrEx>
        <w:trPr>
          <w:trHeight w:val="510" w:hRule="atLeast"/>
          <w:jc w:val="center"/>
        </w:trPr>
        <w:tc>
          <w:tcPr>
            <w:tcW w:w="14894" w:type="dxa"/>
            <w:gridSpan w:val="20"/>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0"/>
                <w:szCs w:val="40"/>
                <w:u w:val="none"/>
              </w:rPr>
            </w:pPr>
            <w:r>
              <w:rPr>
                <w:rFonts w:hint="eastAsia" w:ascii="宋体" w:hAnsi="宋体" w:eastAsia="宋体" w:cs="宋体"/>
                <w:b/>
                <w:i w:val="0"/>
                <w:color w:val="000000"/>
                <w:kern w:val="0"/>
                <w:sz w:val="40"/>
                <w:szCs w:val="40"/>
                <w:u w:val="none"/>
                <w:lang w:val="en-US" w:eastAsia="zh-CN" w:bidi="ar"/>
              </w:rPr>
              <w:t>财政拨款收支总体情况表</w:t>
            </w:r>
          </w:p>
        </w:tc>
      </w:tr>
      <w:tr>
        <w:tblPrEx>
          <w:tblLayout w:type="fixed"/>
          <w:tblCellMar>
            <w:top w:w="0" w:type="dxa"/>
            <w:left w:w="0" w:type="dxa"/>
            <w:bottom w:w="0" w:type="dxa"/>
            <w:right w:w="0" w:type="dxa"/>
          </w:tblCellMar>
        </w:tblPrEx>
        <w:trPr>
          <w:trHeight w:val="495" w:hRule="atLeast"/>
          <w:jc w:val="center"/>
        </w:trPr>
        <w:tc>
          <w:tcPr>
            <w:tcW w:w="2600" w:type="dxa"/>
            <w:gridSpan w:val="2"/>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单位名称：西华县商务局</w:t>
            </w:r>
          </w:p>
        </w:tc>
        <w:tc>
          <w:tcPr>
            <w:tcW w:w="1924"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55"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90"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32"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86"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nil"/>
              <w:left w:val="nil"/>
              <w:bottom w:val="nil"/>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556" w:type="dxa"/>
            <w:gridSpan w:val="3"/>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单位：百元</w:t>
            </w:r>
          </w:p>
        </w:tc>
      </w:tr>
      <w:tr>
        <w:tblPrEx>
          <w:tblLayout w:type="fixed"/>
          <w:tblCellMar>
            <w:top w:w="0" w:type="dxa"/>
            <w:left w:w="0" w:type="dxa"/>
            <w:bottom w:w="0" w:type="dxa"/>
            <w:right w:w="0" w:type="dxa"/>
          </w:tblCellMar>
        </w:tblPrEx>
        <w:trPr>
          <w:trHeight w:val="389" w:hRule="atLeast"/>
          <w:jc w:val="center"/>
        </w:trPr>
        <w:tc>
          <w:tcPr>
            <w:tcW w:w="26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收        入</w:t>
            </w:r>
          </w:p>
        </w:tc>
        <w:tc>
          <w:tcPr>
            <w:tcW w:w="12294" w:type="dxa"/>
            <w:gridSpan w:val="18"/>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支                                 出</w:t>
            </w:r>
          </w:p>
        </w:tc>
      </w:tr>
      <w:tr>
        <w:tblPrEx>
          <w:tblLayout w:type="fixed"/>
          <w:tblCellMar>
            <w:top w:w="0" w:type="dxa"/>
            <w:left w:w="0" w:type="dxa"/>
            <w:bottom w:w="0" w:type="dxa"/>
            <w:right w:w="0" w:type="dxa"/>
          </w:tblCellMar>
        </w:tblPrEx>
        <w:trPr>
          <w:trHeight w:val="385" w:hRule="atLeast"/>
          <w:jc w:val="center"/>
        </w:trPr>
        <w:tc>
          <w:tcPr>
            <w:tcW w:w="1766" w:type="dxa"/>
            <w:vMerge w:val="restart"/>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       目</w:t>
            </w:r>
          </w:p>
        </w:tc>
        <w:tc>
          <w:tcPr>
            <w:tcW w:w="83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　额</w:t>
            </w:r>
          </w:p>
        </w:tc>
        <w:tc>
          <w:tcPr>
            <w:tcW w:w="19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   目</w:t>
            </w:r>
          </w:p>
        </w:tc>
        <w:tc>
          <w:tcPr>
            <w:tcW w:w="10370" w:type="dxa"/>
            <w:gridSpan w:val="1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2021年预算</w:t>
            </w:r>
          </w:p>
        </w:tc>
      </w:tr>
      <w:tr>
        <w:tblPrEx>
          <w:tblLayout w:type="fixed"/>
          <w:tblCellMar>
            <w:top w:w="0" w:type="dxa"/>
            <w:left w:w="0" w:type="dxa"/>
            <w:bottom w:w="0" w:type="dxa"/>
            <w:right w:w="0" w:type="dxa"/>
          </w:tblCellMar>
        </w:tblPrEx>
        <w:trPr>
          <w:trHeight w:val="495" w:hRule="atLeast"/>
          <w:jc w:val="center"/>
        </w:trPr>
        <w:tc>
          <w:tcPr>
            <w:tcW w:w="1766"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4540" w:type="dxa"/>
            <w:gridSpan w:val="6"/>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一般公共预算</w:t>
            </w:r>
          </w:p>
        </w:tc>
        <w:tc>
          <w:tcPr>
            <w:tcW w:w="52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政府性基金预算</w:t>
            </w:r>
          </w:p>
        </w:tc>
        <w:tc>
          <w:tcPr>
            <w:tcW w:w="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上级转移支付</w:t>
            </w:r>
          </w:p>
        </w:tc>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财政专户管理的行政事业性收费</w:t>
            </w:r>
          </w:p>
        </w:tc>
        <w:tc>
          <w:tcPr>
            <w:tcW w:w="1399" w:type="dxa"/>
            <w:gridSpan w:val="3"/>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结余结转资金</w:t>
            </w:r>
          </w:p>
        </w:tc>
        <w:tc>
          <w:tcPr>
            <w:tcW w:w="48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事业单位经营收入</w:t>
            </w:r>
          </w:p>
        </w:tc>
        <w:tc>
          <w:tcPr>
            <w:tcW w:w="49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上级补助收入</w:t>
            </w:r>
          </w:p>
        </w:tc>
        <w:tc>
          <w:tcPr>
            <w:tcW w:w="54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附属单位上缴收入</w:t>
            </w:r>
          </w:p>
        </w:tc>
        <w:tc>
          <w:tcPr>
            <w:tcW w:w="52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其他收入</w:t>
            </w:r>
          </w:p>
        </w:tc>
      </w:tr>
      <w:tr>
        <w:tblPrEx>
          <w:tblLayout w:type="fixed"/>
          <w:tblCellMar>
            <w:top w:w="0" w:type="dxa"/>
            <w:left w:w="0" w:type="dxa"/>
            <w:bottom w:w="0" w:type="dxa"/>
            <w:right w:w="0" w:type="dxa"/>
          </w:tblCellMar>
        </w:tblPrEx>
        <w:trPr>
          <w:trHeight w:val="1170" w:hRule="atLeast"/>
          <w:jc w:val="center"/>
        </w:trPr>
        <w:tc>
          <w:tcPr>
            <w:tcW w:w="1766"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90"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小计</w:t>
            </w:r>
          </w:p>
        </w:tc>
        <w:tc>
          <w:tcPr>
            <w:tcW w:w="832"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w:t>
            </w:r>
          </w:p>
        </w:tc>
        <w:tc>
          <w:tcPr>
            <w:tcW w:w="886"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纳入预算管理的行政事业性收费</w:t>
            </w: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专项收入</w:t>
            </w: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国有资产资源有偿使用收入</w:t>
            </w: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其他一般公共预算收入</w:t>
            </w:r>
          </w:p>
        </w:tc>
        <w:tc>
          <w:tcPr>
            <w:tcW w:w="5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小计</w:t>
            </w: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上级转移支付结余结转</w:t>
            </w: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部门结余结转</w:t>
            </w:r>
          </w:p>
        </w:tc>
        <w:tc>
          <w:tcPr>
            <w:tcW w:w="4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4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5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一、一般公共预算拨款</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一、基本支出</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27,117 </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27,117 </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（一）财政拨款</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（一）工资福利支出</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23,145 </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23,145 </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23,145</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（二）纳入预算管理的行政事业性收费</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（二）商品和服务支出</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2,790 </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2,790 </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2,790</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（三）专项收入</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（三）对个人和家庭的补助</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1,183 </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1,183 </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1,183</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（四）国有资产资源有偿使用收入</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二、项目支出</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21,200 </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21,200 </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（五）其他一般公共预算收入</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（一）经常性项目支出</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21,200 </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21,200 </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二、政府性基金预算拨款</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（二）重点项目支出</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三、上级转移支付拨款</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1、基本建设支出</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四、财政专户拨款</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2、事业发展专项支出</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五、事业单位经营收入</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3、债务项目支出</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六、上级补助收入</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4、各项配套支出</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七、附属单位上缴收入</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5、其他各项支出</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八、其他收入</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4"/>
                <w:szCs w:val="24"/>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本年收入合计</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本年支出合计</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86"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九、上级转移支付结余结转资金</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86"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十、部门预算结余结转资金</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五、结转下年</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86"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收入总计</w:t>
            </w:r>
          </w:p>
        </w:tc>
        <w:tc>
          <w:tcPr>
            <w:tcW w:w="8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19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支出总计</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48,317 </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72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3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4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bl>
    <w:p/>
    <w:tbl>
      <w:tblPr>
        <w:tblStyle w:val="5"/>
        <w:tblW w:w="15503" w:type="dxa"/>
        <w:tblInd w:w="0" w:type="dxa"/>
        <w:shd w:val="clear" w:color="auto" w:fill="auto"/>
        <w:tblLayout w:type="fixed"/>
        <w:tblCellMar>
          <w:top w:w="0" w:type="dxa"/>
          <w:left w:w="0" w:type="dxa"/>
          <w:bottom w:w="0" w:type="dxa"/>
          <w:right w:w="0" w:type="dxa"/>
        </w:tblCellMar>
      </w:tblPr>
      <w:tblGrid>
        <w:gridCol w:w="1419"/>
        <w:gridCol w:w="1272"/>
        <w:gridCol w:w="732"/>
        <w:gridCol w:w="840"/>
        <w:gridCol w:w="1932"/>
        <w:gridCol w:w="1320"/>
        <w:gridCol w:w="1067"/>
        <w:gridCol w:w="1296"/>
        <w:gridCol w:w="985"/>
        <w:gridCol w:w="1295"/>
        <w:gridCol w:w="1032"/>
        <w:gridCol w:w="1404"/>
        <w:gridCol w:w="909"/>
      </w:tblGrid>
      <w:tr>
        <w:tblPrEx>
          <w:shd w:val="clear" w:color="auto" w:fill="auto"/>
          <w:tblLayout w:type="fixed"/>
          <w:tblCellMar>
            <w:top w:w="0" w:type="dxa"/>
            <w:left w:w="0" w:type="dxa"/>
            <w:bottom w:w="0" w:type="dxa"/>
            <w:right w:w="0" w:type="dxa"/>
          </w:tblCellMar>
        </w:tblPrEx>
        <w:trPr>
          <w:trHeight w:val="510" w:hRule="atLeast"/>
        </w:trPr>
        <w:tc>
          <w:tcPr>
            <w:tcW w:w="1419"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27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73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840"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93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320"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067"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296"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985"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295"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03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2313" w:type="dxa"/>
            <w:gridSpan w:val="2"/>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Style w:val="7"/>
                <w:lang w:val="en-US" w:eastAsia="zh-CN" w:bidi="ar"/>
              </w:rPr>
              <w:t>预算05表</w:t>
            </w:r>
          </w:p>
        </w:tc>
      </w:tr>
      <w:tr>
        <w:tblPrEx>
          <w:tblLayout w:type="fixed"/>
          <w:tblCellMar>
            <w:top w:w="0" w:type="dxa"/>
            <w:left w:w="0" w:type="dxa"/>
            <w:bottom w:w="0" w:type="dxa"/>
            <w:right w:w="0" w:type="dxa"/>
          </w:tblCellMar>
        </w:tblPrEx>
        <w:trPr>
          <w:trHeight w:val="510" w:hRule="atLeast"/>
        </w:trPr>
        <w:tc>
          <w:tcPr>
            <w:tcW w:w="15503" w:type="dxa"/>
            <w:gridSpan w:val="13"/>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0"/>
                <w:szCs w:val="40"/>
                <w:u w:val="none"/>
              </w:rPr>
            </w:pPr>
            <w:r>
              <w:rPr>
                <w:rFonts w:hint="eastAsia" w:ascii="宋体" w:hAnsi="宋体" w:eastAsia="宋体" w:cs="宋体"/>
                <w:b/>
                <w:i w:val="0"/>
                <w:color w:val="000000"/>
                <w:kern w:val="0"/>
                <w:sz w:val="40"/>
                <w:szCs w:val="40"/>
                <w:u w:val="none"/>
                <w:lang w:val="en-US" w:eastAsia="zh-CN" w:bidi="ar"/>
              </w:rPr>
              <w:t>一般公共预算支出情况表</w:t>
            </w:r>
          </w:p>
        </w:tc>
      </w:tr>
      <w:tr>
        <w:tblPrEx>
          <w:tblLayout w:type="fixed"/>
          <w:tblCellMar>
            <w:top w:w="0" w:type="dxa"/>
            <w:left w:w="0" w:type="dxa"/>
            <w:bottom w:w="0" w:type="dxa"/>
            <w:right w:w="0" w:type="dxa"/>
          </w:tblCellMar>
        </w:tblPrEx>
        <w:trPr>
          <w:trHeight w:val="510" w:hRule="atLeast"/>
        </w:trPr>
        <w:tc>
          <w:tcPr>
            <w:tcW w:w="1419"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单位名称：西华县商务局</w:t>
            </w:r>
          </w:p>
        </w:tc>
        <w:tc>
          <w:tcPr>
            <w:tcW w:w="127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73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840"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93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320"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067"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296"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985"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295"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03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2313" w:type="dxa"/>
            <w:gridSpan w:val="2"/>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单位：百元</w:t>
            </w:r>
          </w:p>
        </w:tc>
      </w:tr>
      <w:tr>
        <w:tblPrEx>
          <w:tblLayout w:type="fixed"/>
          <w:tblCellMar>
            <w:top w:w="0" w:type="dxa"/>
            <w:left w:w="0" w:type="dxa"/>
            <w:bottom w:w="0" w:type="dxa"/>
            <w:right w:w="0" w:type="dxa"/>
          </w:tblCellMar>
        </w:tblPrEx>
        <w:trPr>
          <w:trHeight w:val="765" w:hRule="atLeast"/>
        </w:trPr>
        <w:tc>
          <w:tcPr>
            <w:tcW w:w="3423"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科目编码</w:t>
            </w:r>
          </w:p>
        </w:tc>
        <w:tc>
          <w:tcPr>
            <w:tcW w:w="84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单位代码</w:t>
            </w:r>
          </w:p>
        </w:tc>
        <w:tc>
          <w:tcPr>
            <w:tcW w:w="193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单位（科目名称）</w:t>
            </w: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总计</w:t>
            </w:r>
          </w:p>
        </w:tc>
        <w:tc>
          <w:tcPr>
            <w:tcW w:w="4643" w:type="dxa"/>
            <w:gridSpan w:val="4"/>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基本支出</w:t>
            </w:r>
          </w:p>
        </w:tc>
        <w:tc>
          <w:tcPr>
            <w:tcW w:w="3345"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项目支出</w:t>
            </w:r>
          </w:p>
        </w:tc>
      </w:tr>
      <w:tr>
        <w:tblPrEx>
          <w:tblLayout w:type="fixed"/>
          <w:tblCellMar>
            <w:top w:w="0" w:type="dxa"/>
            <w:left w:w="0" w:type="dxa"/>
            <w:bottom w:w="0" w:type="dxa"/>
            <w:right w:w="0" w:type="dxa"/>
          </w:tblCellMar>
        </w:tblPrEx>
        <w:trPr>
          <w:trHeight w:val="510" w:hRule="atLeast"/>
        </w:trPr>
        <w:tc>
          <w:tcPr>
            <w:tcW w:w="14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类</w:t>
            </w:r>
          </w:p>
        </w:tc>
        <w:tc>
          <w:tcPr>
            <w:tcW w:w="12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款</w:t>
            </w:r>
          </w:p>
        </w:tc>
        <w:tc>
          <w:tcPr>
            <w:tcW w:w="73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w:t>
            </w: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9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06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12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工资福利支出</w:t>
            </w:r>
          </w:p>
        </w:tc>
        <w:tc>
          <w:tcPr>
            <w:tcW w:w="98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商品服务支出</w:t>
            </w:r>
          </w:p>
        </w:tc>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对个人和家庭的补助</w:t>
            </w: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140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经常性项目支出</w:t>
            </w:r>
          </w:p>
        </w:tc>
        <w:tc>
          <w:tcPr>
            <w:tcW w:w="90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重点项目支出</w:t>
            </w:r>
          </w:p>
        </w:tc>
      </w:tr>
      <w:tr>
        <w:tblPrEx>
          <w:tblLayout w:type="fixed"/>
          <w:tblCellMar>
            <w:top w:w="0" w:type="dxa"/>
            <w:left w:w="0" w:type="dxa"/>
            <w:bottom w:w="0" w:type="dxa"/>
            <w:right w:w="0" w:type="dxa"/>
          </w:tblCellMar>
        </w:tblPrEx>
        <w:trPr>
          <w:trHeight w:val="765" w:hRule="atLeast"/>
        </w:trPr>
        <w:tc>
          <w:tcPr>
            <w:tcW w:w="14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9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0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2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9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05" w:hRule="atLeast"/>
        </w:trPr>
        <w:tc>
          <w:tcPr>
            <w:tcW w:w="1419"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127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73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84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193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132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067"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296"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985"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1295"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103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140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Layout w:type="fixed"/>
          <w:tblCellMar>
            <w:top w:w="0" w:type="dxa"/>
            <w:left w:w="0" w:type="dxa"/>
            <w:bottom w:w="0" w:type="dxa"/>
            <w:right w:w="0" w:type="dxa"/>
          </w:tblCellMar>
        </w:tblPrEx>
        <w:trPr>
          <w:trHeight w:val="375" w:hRule="atLeast"/>
        </w:trPr>
        <w:tc>
          <w:tcPr>
            <w:tcW w:w="14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9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48,317.39</w:t>
            </w: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27,117.39</w:t>
            </w:r>
          </w:p>
        </w:tc>
        <w:tc>
          <w:tcPr>
            <w:tcW w:w="12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23,144.75</w:t>
            </w:r>
          </w:p>
        </w:tc>
        <w:tc>
          <w:tcPr>
            <w:tcW w:w="9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2,789.92</w:t>
            </w: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1,182.72</w:t>
            </w: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21,200.00</w:t>
            </w: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21,200.00</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375" w:hRule="atLeast"/>
        </w:trPr>
        <w:tc>
          <w:tcPr>
            <w:tcW w:w="14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9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48,317.39</w:t>
            </w: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27,117.39</w:t>
            </w:r>
          </w:p>
        </w:tc>
        <w:tc>
          <w:tcPr>
            <w:tcW w:w="12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23,144.75</w:t>
            </w:r>
          </w:p>
        </w:tc>
        <w:tc>
          <w:tcPr>
            <w:tcW w:w="9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2,789.92</w:t>
            </w: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1,182.72</w:t>
            </w: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21,200.00</w:t>
            </w: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21,200.00</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375" w:hRule="atLeast"/>
        </w:trPr>
        <w:tc>
          <w:tcPr>
            <w:tcW w:w="14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w:t>
            </w: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01</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w:t>
            </w:r>
          </w:p>
        </w:tc>
        <w:tc>
          <w:tcPr>
            <w:tcW w:w="19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行政运行</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42,586.85</w:t>
            </w: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21,386.85</w:t>
            </w:r>
          </w:p>
        </w:tc>
        <w:tc>
          <w:tcPr>
            <w:tcW w:w="12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17,414.21</w:t>
            </w:r>
          </w:p>
        </w:tc>
        <w:tc>
          <w:tcPr>
            <w:tcW w:w="9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2,789.92</w:t>
            </w: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1,182.72</w:t>
            </w: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21,200.00</w:t>
            </w: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21,200.00</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620" w:hRule="atLeast"/>
        </w:trPr>
        <w:tc>
          <w:tcPr>
            <w:tcW w:w="14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208</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05</w:t>
            </w: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05</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w:t>
            </w:r>
          </w:p>
        </w:tc>
        <w:tc>
          <w:tcPr>
            <w:tcW w:w="19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机关事业单位基本养老保险缴费支出</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2,577.45</w:t>
            </w: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2,577.45</w:t>
            </w:r>
          </w:p>
        </w:tc>
        <w:tc>
          <w:tcPr>
            <w:tcW w:w="12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2,577.45</w:t>
            </w:r>
          </w:p>
        </w:tc>
        <w:tc>
          <w:tcPr>
            <w:tcW w:w="9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620" w:hRule="atLeast"/>
        </w:trPr>
        <w:tc>
          <w:tcPr>
            <w:tcW w:w="14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208</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w:t>
            </w:r>
          </w:p>
        </w:tc>
        <w:tc>
          <w:tcPr>
            <w:tcW w:w="19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其他社会保障和就业支出</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85.16</w:t>
            </w: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85.16</w:t>
            </w:r>
          </w:p>
        </w:tc>
        <w:tc>
          <w:tcPr>
            <w:tcW w:w="12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85.16</w:t>
            </w:r>
          </w:p>
        </w:tc>
        <w:tc>
          <w:tcPr>
            <w:tcW w:w="9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375" w:hRule="atLeast"/>
        </w:trPr>
        <w:tc>
          <w:tcPr>
            <w:tcW w:w="14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210</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w:t>
            </w: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01</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w:t>
            </w:r>
          </w:p>
        </w:tc>
        <w:tc>
          <w:tcPr>
            <w:tcW w:w="19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行政单位医疗</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1,779.20</w:t>
            </w: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1,779.20</w:t>
            </w:r>
          </w:p>
        </w:tc>
        <w:tc>
          <w:tcPr>
            <w:tcW w:w="12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1,779.20</w:t>
            </w:r>
          </w:p>
        </w:tc>
        <w:tc>
          <w:tcPr>
            <w:tcW w:w="9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375" w:hRule="atLeast"/>
        </w:trPr>
        <w:tc>
          <w:tcPr>
            <w:tcW w:w="14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221</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02</w:t>
            </w: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01</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w:t>
            </w:r>
          </w:p>
        </w:tc>
        <w:tc>
          <w:tcPr>
            <w:tcW w:w="19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住房公积金</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1,288.73</w:t>
            </w: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1,288.73</w:t>
            </w:r>
          </w:p>
        </w:tc>
        <w:tc>
          <w:tcPr>
            <w:tcW w:w="12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1,288.73</w:t>
            </w:r>
          </w:p>
        </w:tc>
        <w:tc>
          <w:tcPr>
            <w:tcW w:w="9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bl>
    <w:p/>
    <w:p/>
    <w:tbl>
      <w:tblPr>
        <w:tblStyle w:val="5"/>
        <w:tblW w:w="14846" w:type="dxa"/>
        <w:tblInd w:w="0" w:type="dxa"/>
        <w:shd w:val="clear" w:color="auto" w:fill="auto"/>
        <w:tblLayout w:type="fixed"/>
        <w:tblCellMar>
          <w:top w:w="0" w:type="dxa"/>
          <w:left w:w="0" w:type="dxa"/>
          <w:bottom w:w="0" w:type="dxa"/>
          <w:right w:w="0" w:type="dxa"/>
        </w:tblCellMar>
      </w:tblPr>
      <w:tblGrid>
        <w:gridCol w:w="2664"/>
        <w:gridCol w:w="1092"/>
        <w:gridCol w:w="3310"/>
        <w:gridCol w:w="1956"/>
        <w:gridCol w:w="1764"/>
        <w:gridCol w:w="2636"/>
        <w:gridCol w:w="1424"/>
      </w:tblGrid>
      <w:tr>
        <w:tblPrEx>
          <w:shd w:val="clear" w:color="auto" w:fill="auto"/>
          <w:tblLayout w:type="fixed"/>
          <w:tblCellMar>
            <w:top w:w="0" w:type="dxa"/>
            <w:left w:w="0" w:type="dxa"/>
            <w:bottom w:w="0" w:type="dxa"/>
            <w:right w:w="0" w:type="dxa"/>
          </w:tblCellMar>
        </w:tblPrEx>
        <w:trPr>
          <w:trHeight w:val="312" w:hRule="atLeast"/>
        </w:trPr>
        <w:tc>
          <w:tcPr>
            <w:tcW w:w="2664"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09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3310"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956"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764"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2636"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424" w:type="dxa"/>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Style w:val="9"/>
                <w:lang w:val="en-US" w:eastAsia="zh-CN" w:bidi="ar"/>
              </w:rPr>
              <w:t>预算06表</w:t>
            </w:r>
          </w:p>
        </w:tc>
      </w:tr>
      <w:tr>
        <w:tblPrEx>
          <w:tblLayout w:type="fixed"/>
          <w:tblCellMar>
            <w:top w:w="0" w:type="dxa"/>
            <w:left w:w="0" w:type="dxa"/>
            <w:bottom w:w="0" w:type="dxa"/>
            <w:right w:w="0" w:type="dxa"/>
          </w:tblCellMar>
        </w:tblPrEx>
        <w:trPr>
          <w:trHeight w:val="516" w:hRule="atLeast"/>
        </w:trPr>
        <w:tc>
          <w:tcPr>
            <w:tcW w:w="2664"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09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1090" w:type="dxa"/>
            <w:gridSpan w:val="5"/>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0"/>
                <w:szCs w:val="40"/>
                <w:u w:val="none"/>
              </w:rPr>
            </w:pPr>
            <w:r>
              <w:rPr>
                <w:rFonts w:hint="eastAsia" w:ascii="宋体" w:hAnsi="宋体" w:eastAsia="宋体" w:cs="宋体"/>
                <w:b/>
                <w:i w:val="0"/>
                <w:color w:val="000000"/>
                <w:kern w:val="0"/>
                <w:sz w:val="40"/>
                <w:szCs w:val="40"/>
                <w:u w:val="none"/>
                <w:lang w:val="en-US" w:eastAsia="zh-CN" w:bidi="ar"/>
              </w:rPr>
              <w:t>一般公共预算基本支出情况表</w:t>
            </w:r>
          </w:p>
        </w:tc>
      </w:tr>
      <w:tr>
        <w:tblPrEx>
          <w:tblLayout w:type="fixed"/>
          <w:tblCellMar>
            <w:top w:w="0" w:type="dxa"/>
            <w:left w:w="0" w:type="dxa"/>
            <w:bottom w:w="0" w:type="dxa"/>
            <w:right w:w="0" w:type="dxa"/>
          </w:tblCellMar>
        </w:tblPrEx>
        <w:trPr>
          <w:trHeight w:val="480" w:hRule="atLeast"/>
        </w:trPr>
        <w:tc>
          <w:tcPr>
            <w:tcW w:w="2664"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单位名称：西华县商务局</w:t>
            </w:r>
          </w:p>
        </w:tc>
        <w:tc>
          <w:tcPr>
            <w:tcW w:w="109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3310"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956"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764"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2636"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424" w:type="dxa"/>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单位：百元</w:t>
            </w:r>
          </w:p>
        </w:tc>
      </w:tr>
      <w:tr>
        <w:tblPrEx>
          <w:tblLayout w:type="fixed"/>
          <w:tblCellMar>
            <w:top w:w="0" w:type="dxa"/>
            <w:left w:w="0" w:type="dxa"/>
            <w:bottom w:w="0" w:type="dxa"/>
            <w:right w:w="0" w:type="dxa"/>
          </w:tblCellMar>
        </w:tblPrEx>
        <w:trPr>
          <w:trHeight w:val="288" w:hRule="atLeast"/>
        </w:trPr>
        <w:tc>
          <w:tcPr>
            <w:tcW w:w="375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经济科目</w:t>
            </w:r>
          </w:p>
        </w:tc>
        <w:tc>
          <w:tcPr>
            <w:tcW w:w="3310"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经济科目</w:t>
            </w:r>
          </w:p>
        </w:tc>
        <w:tc>
          <w:tcPr>
            <w:tcW w:w="1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单位代码</w:t>
            </w:r>
          </w:p>
        </w:tc>
        <w:tc>
          <w:tcPr>
            <w:tcW w:w="17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单位名称</w:t>
            </w:r>
          </w:p>
        </w:tc>
        <w:tc>
          <w:tcPr>
            <w:tcW w:w="406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一般公共预算</w:t>
            </w:r>
          </w:p>
        </w:tc>
      </w:tr>
      <w:tr>
        <w:tblPrEx>
          <w:tblLayout w:type="fixed"/>
          <w:tblCellMar>
            <w:top w:w="0" w:type="dxa"/>
            <w:left w:w="0" w:type="dxa"/>
            <w:bottom w:w="0" w:type="dxa"/>
            <w:right w:w="0" w:type="dxa"/>
          </w:tblCellMar>
        </w:tblPrEx>
        <w:trPr>
          <w:trHeight w:val="288" w:hRule="atLeast"/>
        </w:trPr>
        <w:tc>
          <w:tcPr>
            <w:tcW w:w="26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类</w:t>
            </w:r>
          </w:p>
        </w:tc>
        <w:tc>
          <w:tcPr>
            <w:tcW w:w="109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款</w:t>
            </w:r>
          </w:p>
        </w:tc>
        <w:tc>
          <w:tcPr>
            <w:tcW w:w="331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7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26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小计</w:t>
            </w:r>
          </w:p>
        </w:tc>
        <w:tc>
          <w:tcPr>
            <w:tcW w:w="14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其中：财政拨款</w:t>
            </w:r>
          </w:p>
        </w:tc>
      </w:tr>
      <w:tr>
        <w:tblPrEx>
          <w:tblLayout w:type="fixed"/>
          <w:tblCellMar>
            <w:top w:w="0" w:type="dxa"/>
            <w:left w:w="0" w:type="dxa"/>
            <w:bottom w:w="0" w:type="dxa"/>
            <w:right w:w="0" w:type="dxa"/>
          </w:tblCellMar>
        </w:tblPrEx>
        <w:trPr>
          <w:trHeight w:val="288" w:hRule="atLeast"/>
        </w:trPr>
        <w:tc>
          <w:tcPr>
            <w:tcW w:w="26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31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7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26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4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288"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1956"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17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p>
        </w:tc>
        <w:tc>
          <w:tcPr>
            <w:tcW w:w="2636"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r>
      <w:tr>
        <w:tblPrEx>
          <w:tblLayout w:type="fixed"/>
          <w:tblCellMar>
            <w:top w:w="0" w:type="dxa"/>
            <w:left w:w="0" w:type="dxa"/>
            <w:bottom w:w="0" w:type="dxa"/>
            <w:right w:w="0" w:type="dxa"/>
          </w:tblCellMar>
        </w:tblPrEx>
        <w:trPr>
          <w:trHeight w:val="288"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27,117.39</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27,117.39</w:t>
            </w:r>
          </w:p>
        </w:tc>
      </w:tr>
      <w:tr>
        <w:tblPrEx>
          <w:tblLayout w:type="fixed"/>
          <w:tblCellMar>
            <w:top w:w="0" w:type="dxa"/>
            <w:left w:w="0" w:type="dxa"/>
            <w:bottom w:w="0" w:type="dxa"/>
            <w:right w:w="0" w:type="dxa"/>
          </w:tblCellMar>
        </w:tblPrEx>
        <w:trPr>
          <w:trHeight w:val="288"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27,117.39</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27,117.39</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工资福利支出</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23,144.75</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23,144.75</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301</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01</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基本工资</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12,566.64</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12,566.64</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301</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02</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津贴补贴</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2,317.20</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2,317.20</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301</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03</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奖金</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716.57</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716.57</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301</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07</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绩效工资</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1,225.20</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1,225.20</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301</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08</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机关事业单位基本养老保险缴费</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2,577.45</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2,577.45</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301</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城镇职工基本医疗保险缴费</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1,030.98</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1,030.98</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301</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其他社会保障缴费</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833.38</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833.38</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301</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住房公积金</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1,288.73</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1,288.73</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301</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其他工资福利支出</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588.60</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588.60</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商品和服务支出</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2,789.92</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2,789.92</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302</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01</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办公费</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615.00</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615.00</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302</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公务接待费</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154.00</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154.00</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302</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28</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工会经费</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322.19</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322.19</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302</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29</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福利费</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402.73</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402.73</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302</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39</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其他交通费用</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1,296.00</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1,296.00</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对个人和家庭的补助</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1,182.72</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1,182.72</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303</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01</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离休费</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594.48</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594.48</w:t>
            </w:r>
          </w:p>
        </w:tc>
      </w:tr>
      <w:tr>
        <w:tblPrEx>
          <w:tblLayout w:type="fixed"/>
          <w:tblCellMar>
            <w:top w:w="0" w:type="dxa"/>
            <w:left w:w="0" w:type="dxa"/>
            <w:bottom w:w="0" w:type="dxa"/>
            <w:right w:w="0" w:type="dxa"/>
          </w:tblCellMar>
        </w:tblPrEx>
        <w:trPr>
          <w:trHeight w:val="360" w:hRule="atLeast"/>
        </w:trPr>
        <w:tc>
          <w:tcPr>
            <w:tcW w:w="266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303</w:t>
            </w:r>
          </w:p>
        </w:tc>
        <w:tc>
          <w:tcPr>
            <w:tcW w:w="109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05</w:t>
            </w:r>
          </w:p>
        </w:tc>
        <w:tc>
          <w:tcPr>
            <w:tcW w:w="33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生活补助</w:t>
            </w:r>
          </w:p>
        </w:tc>
        <w:tc>
          <w:tcPr>
            <w:tcW w:w="19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007</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金融贸易股</w:t>
            </w:r>
          </w:p>
        </w:tc>
        <w:tc>
          <w:tcPr>
            <w:tcW w:w="26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588.24</w:t>
            </w:r>
          </w:p>
        </w:tc>
        <w:tc>
          <w:tcPr>
            <w:tcW w:w="14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588.24</w:t>
            </w:r>
          </w:p>
        </w:tc>
      </w:tr>
    </w:tbl>
    <w:p/>
    <w:p/>
    <w:p/>
    <w:p/>
    <w:p/>
    <w:p/>
    <w:p/>
    <w:p/>
    <w:p/>
    <w:p/>
    <w:p/>
    <w:p/>
    <w:p/>
    <w:p/>
    <w:p/>
    <w:p/>
    <w:p/>
    <w:tbl>
      <w:tblPr>
        <w:tblStyle w:val="5"/>
        <w:tblW w:w="14665" w:type="dxa"/>
        <w:jc w:val="center"/>
        <w:tblInd w:w="0" w:type="dxa"/>
        <w:shd w:val="clear" w:color="auto" w:fill="auto"/>
        <w:tblLayout w:type="fixed"/>
        <w:tblCellMar>
          <w:top w:w="0" w:type="dxa"/>
          <w:left w:w="0" w:type="dxa"/>
          <w:bottom w:w="0" w:type="dxa"/>
          <w:right w:w="0" w:type="dxa"/>
        </w:tblCellMar>
      </w:tblPr>
      <w:tblGrid>
        <w:gridCol w:w="4710"/>
        <w:gridCol w:w="3330"/>
        <w:gridCol w:w="3285"/>
        <w:gridCol w:w="3340"/>
      </w:tblGrid>
      <w:tr>
        <w:tblPrEx>
          <w:shd w:val="clear" w:color="auto" w:fill="auto"/>
          <w:tblLayout w:type="fixed"/>
          <w:tblCellMar>
            <w:top w:w="0" w:type="dxa"/>
            <w:left w:w="0" w:type="dxa"/>
            <w:bottom w:w="0" w:type="dxa"/>
            <w:right w:w="0" w:type="dxa"/>
          </w:tblCellMar>
        </w:tblPrEx>
        <w:trPr>
          <w:trHeight w:val="540" w:hRule="atLeast"/>
          <w:jc w:val="center"/>
        </w:trPr>
        <w:tc>
          <w:tcPr>
            <w:tcW w:w="4710"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3330"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3285"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3340" w:type="dxa"/>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预算07表</w:t>
            </w:r>
          </w:p>
        </w:tc>
      </w:tr>
      <w:tr>
        <w:tblPrEx>
          <w:tblLayout w:type="fixed"/>
          <w:tblCellMar>
            <w:top w:w="0" w:type="dxa"/>
            <w:left w:w="0" w:type="dxa"/>
            <w:bottom w:w="0" w:type="dxa"/>
            <w:right w:w="0" w:type="dxa"/>
          </w:tblCellMar>
        </w:tblPrEx>
        <w:trPr>
          <w:trHeight w:val="765" w:hRule="atLeast"/>
          <w:jc w:val="center"/>
        </w:trPr>
        <w:tc>
          <w:tcPr>
            <w:tcW w:w="14665" w:type="dxa"/>
            <w:gridSpan w:val="4"/>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0"/>
                <w:szCs w:val="40"/>
                <w:u w:val="none"/>
              </w:rPr>
            </w:pPr>
            <w:r>
              <w:rPr>
                <w:rFonts w:hint="eastAsia" w:ascii="宋体" w:hAnsi="宋体" w:eastAsia="宋体" w:cs="宋体"/>
                <w:b/>
                <w:i w:val="0"/>
                <w:color w:val="000000"/>
                <w:kern w:val="0"/>
                <w:sz w:val="40"/>
                <w:szCs w:val="40"/>
                <w:u w:val="none"/>
                <w:lang w:val="en-US" w:eastAsia="zh-CN" w:bidi="ar"/>
              </w:rPr>
              <w:t>一般公共“三公”经费支出情况表</w:t>
            </w:r>
          </w:p>
        </w:tc>
      </w:tr>
      <w:tr>
        <w:tblPrEx>
          <w:tblLayout w:type="fixed"/>
          <w:tblCellMar>
            <w:top w:w="0" w:type="dxa"/>
            <w:left w:w="0" w:type="dxa"/>
            <w:bottom w:w="0" w:type="dxa"/>
            <w:right w:w="0" w:type="dxa"/>
          </w:tblCellMar>
        </w:tblPrEx>
        <w:trPr>
          <w:trHeight w:val="345" w:hRule="atLeast"/>
          <w:jc w:val="center"/>
        </w:trPr>
        <w:tc>
          <w:tcPr>
            <w:tcW w:w="4710"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单位名称：西华县商务局</w:t>
            </w:r>
          </w:p>
        </w:tc>
        <w:tc>
          <w:tcPr>
            <w:tcW w:w="3330"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3285"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3340" w:type="dxa"/>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单位：百元</w:t>
            </w:r>
          </w:p>
        </w:tc>
      </w:tr>
      <w:tr>
        <w:tblPrEx>
          <w:tblLayout w:type="fixed"/>
          <w:tblCellMar>
            <w:top w:w="0" w:type="dxa"/>
            <w:left w:w="0" w:type="dxa"/>
            <w:bottom w:w="0" w:type="dxa"/>
            <w:right w:w="0" w:type="dxa"/>
          </w:tblCellMar>
        </w:tblPrEx>
        <w:trPr>
          <w:trHeight w:val="480" w:hRule="atLeast"/>
          <w:jc w:val="center"/>
        </w:trPr>
        <w:tc>
          <w:tcPr>
            <w:tcW w:w="47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w:t>
            </w:r>
          </w:p>
        </w:tc>
        <w:tc>
          <w:tcPr>
            <w:tcW w:w="33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2021年预算数</w:t>
            </w:r>
          </w:p>
        </w:tc>
        <w:tc>
          <w:tcPr>
            <w:tcW w:w="32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上年预算数</w:t>
            </w:r>
          </w:p>
        </w:tc>
        <w:tc>
          <w:tcPr>
            <w:tcW w:w="33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增减（%）</w:t>
            </w:r>
          </w:p>
        </w:tc>
      </w:tr>
      <w:tr>
        <w:tblPrEx>
          <w:tblLayout w:type="fixed"/>
          <w:tblCellMar>
            <w:top w:w="0" w:type="dxa"/>
            <w:left w:w="0" w:type="dxa"/>
            <w:bottom w:w="0" w:type="dxa"/>
            <w:right w:w="0" w:type="dxa"/>
          </w:tblCellMar>
        </w:tblPrEx>
        <w:trPr>
          <w:trHeight w:val="480" w:hRule="atLeast"/>
          <w:jc w:val="center"/>
        </w:trPr>
        <w:tc>
          <w:tcPr>
            <w:tcW w:w="47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33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2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3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0" w:hRule="atLeast"/>
          <w:jc w:val="center"/>
        </w:trPr>
        <w:tc>
          <w:tcPr>
            <w:tcW w:w="47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1、因公出国（境）费用</w:t>
            </w:r>
          </w:p>
        </w:tc>
        <w:tc>
          <w:tcPr>
            <w:tcW w:w="33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2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3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jc w:val="center"/>
        </w:trPr>
        <w:tc>
          <w:tcPr>
            <w:tcW w:w="47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2、公务接待费</w:t>
            </w:r>
          </w:p>
        </w:tc>
        <w:tc>
          <w:tcPr>
            <w:tcW w:w="33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2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3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jc w:val="center"/>
        </w:trPr>
        <w:tc>
          <w:tcPr>
            <w:tcW w:w="47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3、公务用车费</w:t>
            </w:r>
          </w:p>
        </w:tc>
        <w:tc>
          <w:tcPr>
            <w:tcW w:w="33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2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3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jc w:val="center"/>
        </w:trPr>
        <w:tc>
          <w:tcPr>
            <w:tcW w:w="47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其中：（1）公务用车运行维护费</w:t>
            </w:r>
          </w:p>
        </w:tc>
        <w:tc>
          <w:tcPr>
            <w:tcW w:w="33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2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3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95" w:hRule="atLeast"/>
          <w:jc w:val="center"/>
        </w:trPr>
        <w:tc>
          <w:tcPr>
            <w:tcW w:w="47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（2）公务用车购置</w:t>
            </w:r>
          </w:p>
        </w:tc>
        <w:tc>
          <w:tcPr>
            <w:tcW w:w="33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2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33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r>
    </w:tbl>
    <w:p/>
    <w:p/>
    <w:p/>
    <w:p/>
    <w:p/>
    <w:p/>
    <w:p/>
    <w:p/>
    <w:p/>
    <w:p/>
    <w:tbl>
      <w:tblPr>
        <w:tblStyle w:val="5"/>
        <w:tblW w:w="15558" w:type="dxa"/>
        <w:tblInd w:w="0" w:type="dxa"/>
        <w:shd w:val="clear" w:color="auto" w:fill="auto"/>
        <w:tblLayout w:type="fixed"/>
        <w:tblCellMar>
          <w:top w:w="0" w:type="dxa"/>
          <w:left w:w="0" w:type="dxa"/>
          <w:bottom w:w="0" w:type="dxa"/>
          <w:right w:w="0" w:type="dxa"/>
        </w:tblCellMar>
      </w:tblPr>
      <w:tblGrid>
        <w:gridCol w:w="2495"/>
        <w:gridCol w:w="634"/>
        <w:gridCol w:w="634"/>
        <w:gridCol w:w="1027"/>
        <w:gridCol w:w="1738"/>
        <w:gridCol w:w="856"/>
        <w:gridCol w:w="878"/>
        <w:gridCol w:w="1319"/>
        <w:gridCol w:w="1510"/>
        <w:gridCol w:w="1181"/>
        <w:gridCol w:w="642"/>
        <w:gridCol w:w="1322"/>
        <w:gridCol w:w="1322"/>
      </w:tblGrid>
      <w:tr>
        <w:tblPrEx>
          <w:shd w:val="clear" w:color="auto" w:fill="auto"/>
          <w:tblLayout w:type="fixed"/>
          <w:tblCellMar>
            <w:top w:w="0" w:type="dxa"/>
            <w:left w:w="0" w:type="dxa"/>
            <w:bottom w:w="0" w:type="dxa"/>
            <w:right w:w="0" w:type="dxa"/>
          </w:tblCellMar>
        </w:tblPrEx>
        <w:trPr>
          <w:trHeight w:val="285" w:hRule="atLeast"/>
        </w:trPr>
        <w:tc>
          <w:tcPr>
            <w:tcW w:w="2495"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634"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634"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027"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738"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856"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878"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319"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510"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181"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64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32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32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0"/>
                <w:szCs w:val="20"/>
                <w:u w:val="none"/>
                <w:lang w:val="en-US" w:eastAsia="zh-CN" w:bidi="ar"/>
              </w:rPr>
              <w:t>预算08表</w:t>
            </w:r>
          </w:p>
        </w:tc>
      </w:tr>
      <w:tr>
        <w:tblPrEx>
          <w:tblLayout w:type="fixed"/>
          <w:tblCellMar>
            <w:top w:w="0" w:type="dxa"/>
            <w:left w:w="0" w:type="dxa"/>
            <w:bottom w:w="0" w:type="dxa"/>
            <w:right w:w="0" w:type="dxa"/>
          </w:tblCellMar>
        </w:tblPrEx>
        <w:trPr>
          <w:trHeight w:val="780" w:hRule="atLeast"/>
        </w:trPr>
        <w:tc>
          <w:tcPr>
            <w:tcW w:w="15558" w:type="dxa"/>
            <w:gridSpan w:val="13"/>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0"/>
                <w:szCs w:val="40"/>
                <w:u w:val="none"/>
              </w:rPr>
            </w:pPr>
            <w:r>
              <w:rPr>
                <w:rFonts w:hint="eastAsia" w:ascii="宋体" w:hAnsi="宋体" w:eastAsia="宋体" w:cs="宋体"/>
                <w:b/>
                <w:i w:val="0"/>
                <w:color w:val="000000"/>
                <w:kern w:val="0"/>
                <w:sz w:val="40"/>
                <w:szCs w:val="40"/>
                <w:u w:val="none"/>
                <w:lang w:val="en-US" w:eastAsia="zh-CN" w:bidi="ar"/>
              </w:rPr>
              <w:t>政府性基金预算支出情况表</w:t>
            </w:r>
          </w:p>
        </w:tc>
      </w:tr>
      <w:tr>
        <w:tblPrEx>
          <w:tblLayout w:type="fixed"/>
          <w:tblCellMar>
            <w:top w:w="0" w:type="dxa"/>
            <w:left w:w="0" w:type="dxa"/>
            <w:bottom w:w="0" w:type="dxa"/>
            <w:right w:w="0" w:type="dxa"/>
          </w:tblCellMar>
        </w:tblPrEx>
        <w:trPr>
          <w:trHeight w:val="360" w:hRule="atLeast"/>
        </w:trPr>
        <w:tc>
          <w:tcPr>
            <w:tcW w:w="4790" w:type="dxa"/>
            <w:gridSpan w:val="4"/>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单位名称：西华县商务局</w:t>
            </w:r>
          </w:p>
        </w:tc>
        <w:tc>
          <w:tcPr>
            <w:tcW w:w="1738"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856"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878"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319"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510"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181"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64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322" w:type="dxa"/>
            <w:tcBorders>
              <w:top w:val="nil"/>
              <w:left w:val="nil"/>
              <w:bottom w:val="nil"/>
              <w:right w:val="nil"/>
            </w:tcBorders>
            <w:shd w:val="clear" w:color="auto" w:fill="auto"/>
            <w:tcMar>
              <w:top w:w="12" w:type="dxa"/>
              <w:left w:w="12" w:type="dxa"/>
              <w:right w:w="12" w:type="dxa"/>
            </w:tcMar>
            <w:vAlign w:val="bottom"/>
          </w:tcPr>
          <w:p>
            <w:pPr>
              <w:rPr>
                <w:rFonts w:hint="eastAsia" w:ascii="宋体" w:hAnsi="宋体" w:eastAsia="宋体" w:cs="宋体"/>
                <w:i w:val="0"/>
                <w:color w:val="000000"/>
                <w:sz w:val="24"/>
                <w:szCs w:val="24"/>
                <w:u w:val="none"/>
              </w:rPr>
            </w:pPr>
          </w:p>
        </w:tc>
        <w:tc>
          <w:tcPr>
            <w:tcW w:w="1322" w:type="dxa"/>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单位：百元</w:t>
            </w:r>
          </w:p>
        </w:tc>
      </w:tr>
      <w:tr>
        <w:tblPrEx>
          <w:tblLayout w:type="fixed"/>
          <w:tblCellMar>
            <w:top w:w="0" w:type="dxa"/>
            <w:left w:w="0" w:type="dxa"/>
            <w:bottom w:w="0" w:type="dxa"/>
            <w:right w:w="0" w:type="dxa"/>
          </w:tblCellMar>
        </w:tblPrEx>
        <w:trPr>
          <w:trHeight w:val="495" w:hRule="atLeast"/>
        </w:trPr>
        <w:tc>
          <w:tcPr>
            <w:tcW w:w="3763"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科目编码</w:t>
            </w:r>
          </w:p>
        </w:tc>
        <w:tc>
          <w:tcPr>
            <w:tcW w:w="1027" w:type="dxa"/>
            <w:vMerge w:val="restart"/>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单位代码</w:t>
            </w:r>
          </w:p>
        </w:tc>
        <w:tc>
          <w:tcPr>
            <w:tcW w:w="173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单位（科目名称）</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  计</w:t>
            </w:r>
          </w:p>
        </w:tc>
        <w:tc>
          <w:tcPr>
            <w:tcW w:w="4888" w:type="dxa"/>
            <w:gridSpan w:val="4"/>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基本支出</w:t>
            </w:r>
          </w:p>
        </w:tc>
        <w:tc>
          <w:tcPr>
            <w:tcW w:w="3286"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项目支出</w:t>
            </w:r>
          </w:p>
        </w:tc>
      </w:tr>
      <w:tr>
        <w:tblPrEx>
          <w:tblLayout w:type="fixed"/>
          <w:tblCellMar>
            <w:top w:w="0" w:type="dxa"/>
            <w:left w:w="0" w:type="dxa"/>
            <w:bottom w:w="0" w:type="dxa"/>
            <w:right w:w="0" w:type="dxa"/>
          </w:tblCellMar>
        </w:tblPrEx>
        <w:trPr>
          <w:trHeight w:val="525" w:hRule="atLeast"/>
        </w:trPr>
        <w:tc>
          <w:tcPr>
            <w:tcW w:w="249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类</w:t>
            </w:r>
          </w:p>
        </w:tc>
        <w:tc>
          <w:tcPr>
            <w:tcW w:w="634" w:type="dxa"/>
            <w:vMerge w:val="restart"/>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款</w:t>
            </w:r>
          </w:p>
        </w:tc>
        <w:tc>
          <w:tcPr>
            <w:tcW w:w="634" w:type="dxa"/>
            <w:vMerge w:val="restart"/>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w:t>
            </w:r>
          </w:p>
        </w:tc>
        <w:tc>
          <w:tcPr>
            <w:tcW w:w="1027"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7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7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小计</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工资福利支出</w:t>
            </w:r>
          </w:p>
        </w:tc>
        <w:tc>
          <w:tcPr>
            <w:tcW w:w="151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商品和服务支出</w:t>
            </w:r>
          </w:p>
        </w:tc>
        <w:tc>
          <w:tcPr>
            <w:tcW w:w="118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对个人和家庭的补助</w:t>
            </w:r>
          </w:p>
        </w:tc>
        <w:tc>
          <w:tcPr>
            <w:tcW w:w="64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132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经常性项目支出</w:t>
            </w:r>
          </w:p>
        </w:tc>
        <w:tc>
          <w:tcPr>
            <w:tcW w:w="132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重点项目支出</w:t>
            </w:r>
          </w:p>
        </w:tc>
      </w:tr>
      <w:tr>
        <w:tblPrEx>
          <w:tblLayout w:type="fixed"/>
          <w:tblCellMar>
            <w:top w:w="0" w:type="dxa"/>
            <w:left w:w="0" w:type="dxa"/>
            <w:bottom w:w="0" w:type="dxa"/>
            <w:right w:w="0" w:type="dxa"/>
          </w:tblCellMar>
        </w:tblPrEx>
        <w:trPr>
          <w:trHeight w:val="1065" w:hRule="atLeast"/>
        </w:trPr>
        <w:tc>
          <w:tcPr>
            <w:tcW w:w="24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634"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634"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027"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7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5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6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3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3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05" w:hRule="atLeast"/>
        </w:trPr>
        <w:tc>
          <w:tcPr>
            <w:tcW w:w="2495"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Style w:val="8"/>
                <w:lang w:val="en-US" w:eastAsia="zh-CN" w:bidi="ar"/>
              </w:rPr>
              <w:t>**</w:t>
            </w:r>
          </w:p>
        </w:tc>
        <w:tc>
          <w:tcPr>
            <w:tcW w:w="63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Style w:val="8"/>
                <w:lang w:val="en-US" w:eastAsia="zh-CN" w:bidi="ar"/>
              </w:rPr>
              <w:t>**</w:t>
            </w:r>
          </w:p>
        </w:tc>
        <w:tc>
          <w:tcPr>
            <w:tcW w:w="63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Style w:val="8"/>
                <w:lang w:val="en-US" w:eastAsia="zh-CN" w:bidi="ar"/>
              </w:rPr>
              <w:t>**</w:t>
            </w:r>
          </w:p>
        </w:tc>
        <w:tc>
          <w:tcPr>
            <w:tcW w:w="1027"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Style w:val="8"/>
                <w:lang w:val="en-US" w:eastAsia="zh-CN" w:bidi="ar"/>
              </w:rPr>
              <w:t>**</w:t>
            </w:r>
          </w:p>
        </w:tc>
        <w:tc>
          <w:tcPr>
            <w:tcW w:w="1738"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Style w:val="8"/>
                <w:lang w:val="en-US" w:eastAsia="zh-CN" w:bidi="ar"/>
              </w:rPr>
              <w:t>**</w:t>
            </w:r>
          </w:p>
        </w:tc>
        <w:tc>
          <w:tcPr>
            <w:tcW w:w="856"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878"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319"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51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181"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64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322"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3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r>
      <w:tr>
        <w:tblPrEx>
          <w:tblLayout w:type="fixed"/>
          <w:tblCellMar>
            <w:top w:w="0" w:type="dxa"/>
            <w:left w:w="0" w:type="dxa"/>
            <w:bottom w:w="0" w:type="dxa"/>
            <w:right w:w="0" w:type="dxa"/>
          </w:tblCellMar>
        </w:tblPrEx>
        <w:trPr>
          <w:trHeight w:val="405" w:hRule="atLeast"/>
        </w:trPr>
        <w:tc>
          <w:tcPr>
            <w:tcW w:w="2495"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63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027" w:type="dxa"/>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1738" w:type="dxa"/>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8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8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319"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3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13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r>
    </w:tbl>
    <w:p/>
    <w:sectPr>
      <w:pgSz w:w="16838" w:h="11906" w:orient="landscape"/>
      <w:pgMar w:top="1800" w:right="567" w:bottom="1800" w:left="73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8999189"/>
    <w:multiLevelType w:val="singleLevel"/>
    <w:tmpl w:val="D8999189"/>
    <w:lvl w:ilvl="0" w:tentative="0">
      <w:start w:val="1"/>
      <w:numFmt w:val="decimal"/>
      <w:lvlText w:val="%1."/>
      <w:lvlJc w:val="left"/>
      <w:pPr>
        <w:tabs>
          <w:tab w:val="left" w:pos="312"/>
        </w:tabs>
      </w:pPr>
    </w:lvl>
  </w:abstractNum>
  <w:abstractNum w:abstractNumId="1">
    <w:nsid w:val="D9EDFA30"/>
    <w:multiLevelType w:val="singleLevel"/>
    <w:tmpl w:val="D9EDFA30"/>
    <w:lvl w:ilvl="0" w:tentative="0">
      <w:start w:val="1"/>
      <w:numFmt w:val="decimal"/>
      <w:lvlText w:val="%1."/>
      <w:lvlJc w:val="left"/>
      <w:pPr>
        <w:tabs>
          <w:tab w:val="left" w:pos="312"/>
        </w:tabs>
      </w:pPr>
    </w:lvl>
  </w:abstractNum>
  <w:abstractNum w:abstractNumId="2">
    <w:nsid w:val="5A4F2DAA"/>
    <w:multiLevelType w:val="singleLevel"/>
    <w:tmpl w:val="5A4F2DAA"/>
    <w:lvl w:ilvl="0" w:tentative="0">
      <w:start w:val="1"/>
      <w:numFmt w:val="chineseCounting"/>
      <w:suff w:val="nothing"/>
      <w:lvlText w:val="（%1）"/>
      <w:lvlJc w:val="left"/>
    </w:lvl>
  </w:abstractNum>
  <w:abstractNum w:abstractNumId="3">
    <w:nsid w:val="5A796DEC"/>
    <w:multiLevelType w:val="singleLevel"/>
    <w:tmpl w:val="5A796DEC"/>
    <w:lvl w:ilvl="0" w:tentative="0">
      <w:start w:val="1"/>
      <w:numFmt w:val="chineseCounting"/>
      <w:suff w:val="nothing"/>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3611D7"/>
    <w:rsid w:val="169146F7"/>
    <w:rsid w:val="27335D23"/>
    <w:rsid w:val="31C706A6"/>
    <w:rsid w:val="32DD4E11"/>
    <w:rsid w:val="38A91E51"/>
    <w:rsid w:val="4296099D"/>
    <w:rsid w:val="450C1E25"/>
    <w:rsid w:val="456D0453"/>
    <w:rsid w:val="48863C99"/>
    <w:rsid w:val="507B4D30"/>
    <w:rsid w:val="676A19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6">
    <w:name w:val="font21"/>
    <w:basedOn w:val="4"/>
    <w:qFormat/>
    <w:uiPriority w:val="0"/>
    <w:rPr>
      <w:rFonts w:hint="eastAsia" w:ascii="宋体" w:hAnsi="宋体" w:eastAsia="宋体" w:cs="宋体"/>
      <w:color w:val="000000"/>
      <w:sz w:val="20"/>
      <w:szCs w:val="20"/>
      <w:u w:val="none"/>
    </w:rPr>
  </w:style>
  <w:style w:type="character" w:customStyle="1" w:styleId="7">
    <w:name w:val="font11"/>
    <w:basedOn w:val="4"/>
    <w:qFormat/>
    <w:uiPriority w:val="0"/>
    <w:rPr>
      <w:rFonts w:hint="eastAsia" w:ascii="宋体" w:hAnsi="宋体" w:eastAsia="宋体" w:cs="宋体"/>
      <w:color w:val="000000"/>
      <w:sz w:val="20"/>
      <w:szCs w:val="20"/>
      <w:u w:val="none"/>
    </w:rPr>
  </w:style>
  <w:style w:type="character" w:customStyle="1" w:styleId="8">
    <w:name w:val="font01"/>
    <w:basedOn w:val="4"/>
    <w:qFormat/>
    <w:uiPriority w:val="0"/>
    <w:rPr>
      <w:rFonts w:hint="eastAsia" w:ascii="宋体" w:hAnsi="宋体" w:eastAsia="宋体" w:cs="宋体"/>
      <w:color w:val="000000"/>
      <w:sz w:val="18"/>
      <w:szCs w:val="18"/>
      <w:u w:val="none"/>
    </w:rPr>
  </w:style>
  <w:style w:type="character" w:customStyle="1" w:styleId="9">
    <w:name w:val="font31"/>
    <w:basedOn w:val="4"/>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2021-11-10T00:50:00Z</dcterms:created>
  <dc:creator>Administrator</dc:creator>
  <cp:lastModifiedBy>LENOVO</cp:lastModifiedBy>
  <cp:lastPrinted>2021-11-17T10:08:00Z</cp:lastPrinted>
  <dcterms:modified xsi:type="dcterms:W3CDTF">2021-12-13T06:50:22Z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y fmtid="{D5CDD505-2E9C-101B-9397-08002B2CF9AE}" pid="3" name="ICV">
    <vt:lpwstr>E1C1ABF037034F0BB950B5785A20896F</vt:lpwstr>
  </property>
</Properties>
</file>