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  <w:t>大王庄乡人民政府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3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3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第二部分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第一部分</w:t>
      </w: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val="en-US" w:eastAsia="zh-CN"/>
        </w:rPr>
        <w:t>西华县大王庄乡人民政府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概况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408" w:lineRule="auto"/>
        <w:ind w:firstLine="960" w:firstLineChars="3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大王庄乡位于西华县东南部，距西华县政府所在地9公里，南与周口市川汇区接壤，东隔贾鲁河与东王营乡相邻，西南、西北分别与李大庄乡、迟营乡相连。国道G230穿乡而过，S81（商周高速）、S89（机西高速）在此交汇，高速公路直达郑州仅90分钟车程，地理位置优越，交通便利，素有西华“南大门”之称。1975年，由李大庄、迟营人民公社划出13个生产大队，设立大王庄人民公社。1984年，更大王庄由人民公社更名为乡，全乡面积42平方公里，辖20个行政村，56个自然村，户籍户数9435户，总人口3.64万人。</w:t>
      </w:r>
    </w:p>
    <w:p>
      <w:pPr>
        <w:numPr>
          <w:ilvl w:val="0"/>
          <w:numId w:val="0"/>
        </w:numPr>
        <w:adjustRightInd w:val="0"/>
        <w:snapToGrid w:val="0"/>
        <w:spacing w:line="580" w:lineRule="exact"/>
        <w:ind w:left="630" w:leftChars="0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  <w:lang w:val="en-US" w:eastAsia="zh-CN"/>
        </w:rPr>
        <w:t>一、</w:t>
      </w: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主要职能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1.</w:t>
      </w:r>
      <w:r>
        <w:rPr>
          <w:rFonts w:hint="eastAsia" w:ascii="仿宋" w:hAnsi="仿宋" w:eastAsia="仿宋"/>
          <w:color w:val="000000"/>
          <w:sz w:val="32"/>
          <w:szCs w:val="32"/>
        </w:rPr>
        <w:t>拟定和执行全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财政税收的发展战略、中长期规划、改革方案及有关政策；参与制定各项宏观经济政策；提出运用财税政策实施宏观调控和综合平衡社会财力的建议。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2.</w:t>
      </w:r>
      <w:r>
        <w:rPr>
          <w:rFonts w:hint="eastAsia" w:ascii="仿宋" w:hAnsi="仿宋" w:eastAsia="仿宋"/>
          <w:color w:val="000000"/>
          <w:sz w:val="32"/>
          <w:szCs w:val="32"/>
        </w:rPr>
        <w:t>拟定全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财政、国有资产管理、财务、会计管理的地方性法规和行政规章草案并组织实施；组织参加县政府债务的谈判与磋商，并草签有关协议。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3.</w:t>
      </w:r>
      <w:r>
        <w:rPr>
          <w:rFonts w:hint="eastAsia" w:ascii="仿宋" w:hAnsi="仿宋" w:eastAsia="仿宋"/>
          <w:color w:val="000000"/>
          <w:sz w:val="32"/>
          <w:szCs w:val="32"/>
        </w:rPr>
        <w:t>编制年度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级预决算草案并组织实施；受县政府委托，向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人民代表大会报告全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预算及其执行情况，向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人大常委会报告决算；管理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级各项财政收入、预算外资金和财政专户；管理有关县级政府性基金；会同有关部门办理行政事业性收费、政府性基金立项、审批及申报工作。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4.</w:t>
      </w:r>
      <w:r>
        <w:rPr>
          <w:rFonts w:hint="eastAsia" w:ascii="仿宋" w:hAnsi="仿宋" w:eastAsia="仿宋"/>
          <w:color w:val="000000"/>
          <w:sz w:val="32"/>
          <w:szCs w:val="32"/>
        </w:rPr>
        <w:t>根据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级预算安排，确定财政税收收入计划；在国家规定的权限内，提出对全县财政影响较大的临时特案减免税的建议。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5.</w:t>
      </w:r>
      <w:r>
        <w:rPr>
          <w:rFonts w:hint="eastAsia" w:ascii="仿宋" w:hAnsi="仿宋" w:eastAsia="仿宋"/>
          <w:color w:val="000000"/>
          <w:sz w:val="32"/>
          <w:szCs w:val="32"/>
        </w:rPr>
        <w:t>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级财政公共支出；拟定和执行政府采购政策；制定需要全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统一规定的开支标准和管理办法；监督执行《行政单位财务规则》和《事业单位财务规则》。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6.</w:t>
      </w:r>
      <w:r>
        <w:rPr>
          <w:rFonts w:hint="eastAsia" w:ascii="仿宋" w:hAnsi="仿宋" w:eastAsia="仿宋"/>
          <w:color w:val="000000"/>
          <w:sz w:val="32"/>
          <w:szCs w:val="32"/>
        </w:rPr>
        <w:t>负责行政、事业单位国有资产管理工作。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7.</w:t>
      </w:r>
      <w:r>
        <w:rPr>
          <w:rFonts w:hint="eastAsia" w:ascii="仿宋" w:hAnsi="仿宋" w:eastAsia="仿宋"/>
          <w:color w:val="000000"/>
          <w:sz w:val="32"/>
          <w:szCs w:val="32"/>
        </w:rPr>
        <w:t>负责全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企业财务制度的制定、监督和管理，监督执行《企业财务通则》；拟定国有资产管理的有关政策和规章；负责国有企业的资产管理，指导财产评估业务；负责县属企业国有资产收益的收缴和使用。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8.</w:t>
      </w:r>
      <w:r>
        <w:rPr>
          <w:rFonts w:hint="eastAsia" w:ascii="仿宋" w:hAnsi="仿宋" w:eastAsia="仿宋"/>
          <w:color w:val="000000"/>
          <w:sz w:val="32"/>
          <w:szCs w:val="32"/>
        </w:rPr>
        <w:t>负责全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财税管理工作；指导全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乡镇财政建设工作。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9.</w:t>
      </w:r>
      <w:r>
        <w:rPr>
          <w:rFonts w:hint="eastAsia" w:ascii="仿宋" w:hAnsi="仿宋" w:eastAsia="仿宋"/>
          <w:color w:val="000000"/>
          <w:sz w:val="32"/>
          <w:szCs w:val="32"/>
        </w:rPr>
        <w:t>拟定全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基本建设财务制度，管理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级财政基本建设支出，负责小城镇建设资金与财务管理。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10.</w:t>
      </w:r>
      <w:r>
        <w:rPr>
          <w:rFonts w:hint="eastAsia" w:ascii="仿宋" w:hAnsi="仿宋" w:eastAsia="仿宋"/>
          <w:color w:val="000000"/>
          <w:sz w:val="32"/>
          <w:szCs w:val="32"/>
        </w:rPr>
        <w:t>拟定和执行国家社会保障资金的财务管理制度，管理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级财政社会保障支出；组织实施对社会保障资金使用的财政监督。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11.</w:t>
      </w:r>
      <w:r>
        <w:rPr>
          <w:rFonts w:hint="eastAsia" w:ascii="仿宋" w:hAnsi="仿宋" w:eastAsia="仿宋"/>
          <w:color w:val="000000"/>
          <w:sz w:val="32"/>
          <w:szCs w:val="32"/>
        </w:rPr>
        <w:t>执行国家国内、国外债务管理的方针政策和国债发行计划；拟定地方性有关政策及配套办法，组织参加政府外债的谈判与磋商，管理政府债务。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12.</w:t>
      </w:r>
      <w:r>
        <w:rPr>
          <w:rFonts w:hint="eastAsia" w:ascii="仿宋" w:hAnsi="仿宋" w:eastAsia="仿宋"/>
          <w:color w:val="000000"/>
          <w:sz w:val="32"/>
          <w:szCs w:val="32"/>
        </w:rPr>
        <w:t>参与全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住房制度和土地使用制度改革，拟定并监督执行住房资金、国有土地出让金收益财务管理、会计核算办法，指导监督有关部门管理住房资金。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13.</w:t>
      </w:r>
      <w:r>
        <w:rPr>
          <w:rFonts w:hint="eastAsia" w:ascii="仿宋" w:hAnsi="仿宋" w:eastAsia="仿宋"/>
          <w:color w:val="000000"/>
          <w:sz w:val="32"/>
          <w:szCs w:val="32"/>
        </w:rPr>
        <w:t>管理全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会计工作，监督执行会计规章制度、《企业会计准则》，监督执行政府总预算、行政和事业单位及分行业的会计制度；指导和监督注册会计师和会计师事务所的业务；指导和管理社会审计。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14.</w:t>
      </w:r>
      <w:r>
        <w:rPr>
          <w:rFonts w:hint="eastAsia" w:ascii="仿宋" w:hAnsi="仿宋" w:eastAsia="仿宋"/>
          <w:color w:val="000000"/>
          <w:sz w:val="32"/>
          <w:szCs w:val="32"/>
        </w:rPr>
        <w:t>监督财税方针政策、法律法规、行政规章的执行情况；检查反映财政收支管理中的重大问题；提出加强财政管理的政策建议；负责对经中介机构审计的国有企业年度会计报表的核查工作。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right="-361" w:rightChars="-172"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15.</w:t>
      </w:r>
      <w:r>
        <w:rPr>
          <w:rFonts w:hint="eastAsia" w:ascii="仿宋" w:hAnsi="仿宋" w:eastAsia="仿宋"/>
          <w:color w:val="000000"/>
          <w:sz w:val="32"/>
          <w:szCs w:val="32"/>
        </w:rPr>
        <w:t>制定全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财政科学研究、教育规划，组织财政人员培训；负责财政信息和财政宣传工作。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   </w:t>
      </w:r>
    </w:p>
    <w:p>
      <w:pPr>
        <w:kinsoku w:val="0"/>
        <w:spacing w:line="360" w:lineRule="auto"/>
        <w:ind w:right="-361" w:rightChars="-172" w:firstLine="480" w:firstLineChars="15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 xml:space="preserve"> 16.</w:t>
      </w:r>
      <w:r>
        <w:rPr>
          <w:rFonts w:hint="eastAsia" w:ascii="仿宋" w:hAnsi="仿宋" w:eastAsia="仿宋"/>
          <w:color w:val="000000"/>
          <w:sz w:val="32"/>
          <w:szCs w:val="32"/>
        </w:rPr>
        <w:t>承办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政府交办的其他事项。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numPr>
          <w:ilvl w:val="0"/>
          <w:numId w:val="0"/>
        </w:numPr>
        <w:adjustRightInd w:val="0"/>
        <w:snapToGrid w:val="0"/>
        <w:spacing w:line="580" w:lineRule="exact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（一）机构设置情况</w:t>
      </w:r>
    </w:p>
    <w:p>
      <w:pPr>
        <w:keepNext w:val="0"/>
        <w:keepLines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ind w:left="121" w:right="118" w:firstLine="850" w:firstLineChars="271"/>
        <w:rPr>
          <w:rFonts w:hint="eastAsia"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大王庄乡人民机构设置如下：行政内设机构设置7个：（1）党政办公室（2）党建工作办公室（3）经济建设办公室（4）社会事务办公室（5）应急管理办公室（6）“三农”工作办公室（7）文化旅游工作办公室。事业机构设置4个：（1）党政综合便民服务中心（2）社会治安综合治理中心（3）综合行政执法队（4）退役军人服务站</w:t>
      </w:r>
    </w:p>
    <w:p>
      <w:pPr>
        <w:kinsoku w:val="0"/>
        <w:overflowPunct w:val="0"/>
        <w:adjustRightInd w:val="0"/>
        <w:snapToGrid w:val="0"/>
        <w:spacing w:line="580" w:lineRule="exact"/>
        <w:ind w:right="-44" w:firstLine="640" w:firstLineChars="200"/>
        <w:jc w:val="lef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（二）部门职责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（若部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1.制定和组织实施经济、科技和社会发展计划，制定资源开发技术改造和产业结构调整方案，组织指导好各业生产，搞好商品流通，协调好本镇与外地区的经济交流与合作，抓好招商引资，人才引进项目开发，不断培育市场体系，组织经济运行，促进经济发展。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 xml:space="preserve">    2.制定并组织实施村镇建设规划，部署重点工程建设，地方道路建设及公共设施，水利设施的管理，负责土地、林木、水等自然资源和生态环境的保护，做好护林防火工作。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 xml:space="preserve">    3.负责本行政区域内的民政、文化教育、卫生、体育等社会公益事业的综合性工作，维护一切经济单位和个人的正当经济权益，取缔非法经济活动，调解和处理民事纠纷，打击刑事犯罪维护社会稳定。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 xml:space="preserve">    4.按计划组织本级财政收入和地方税的征收，完成国家财政计划，不断培植税源，管好财政资金，增强财政实力。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 xml:space="preserve">    5.抓好精神文明建设，丰富群众文化生活，提倡移风易俗，反对封建迷信，破除陈规陋习，树立社会主义新风尚。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 xml:space="preserve">    6完成县政府交办的其它事项。</w:t>
      </w:r>
      <w:r>
        <w:rPr>
          <w:rFonts w:hint="eastAsia"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二、</w:t>
      </w:r>
      <w:r>
        <w:rPr>
          <w:rFonts w:hint="eastAsia" w:ascii="黑体" w:hAnsi="仿宋_GB2312" w:eastAsia="黑体" w:cs="仿宋_GB2312"/>
          <w:color w:val="000000"/>
          <w:sz w:val="32"/>
          <w:szCs w:val="32"/>
          <w:lang w:val="en-US" w:eastAsia="zh-CN"/>
        </w:rPr>
        <w:t>大王庄乡人民政府</w:t>
      </w:r>
      <w:r>
        <w:rPr>
          <w:rFonts w:hint="eastAsia" w:ascii="黑体" w:hAnsi="仿宋_GB2312" w:eastAsia="黑体" w:cs="仿宋_GB2312"/>
          <w:color w:val="000000"/>
          <w:sz w:val="32"/>
          <w:szCs w:val="32"/>
        </w:rPr>
        <w:t>预算单位构成</w:t>
      </w:r>
    </w:p>
    <w:p>
      <w:pPr>
        <w:pStyle w:val="2"/>
        <w:kinsoku w:val="0"/>
        <w:overflowPunct w:val="0"/>
        <w:snapToGrid w:val="0"/>
        <w:spacing w:line="360" w:lineRule="auto"/>
        <w:ind w:left="121" w:right="118" w:firstLine="360"/>
        <w:rPr>
          <w:rFonts w:ascii="仿宋" w:hAnsi="仿宋" w:eastAsia="仿宋" w:cs="宋体"/>
          <w:color w:val="000000"/>
          <w:spacing w:val="-1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pacing w:val="2"/>
          <w:sz w:val="32"/>
          <w:szCs w:val="32"/>
          <w:lang w:val="en-US" w:eastAsia="zh-CN"/>
        </w:rPr>
        <w:t>大王庄乡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</w:rPr>
        <w:t>人民政府部门预算包括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  <w:lang w:val="en-US" w:eastAsia="zh-CN"/>
        </w:rPr>
        <w:t>乡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</w:rPr>
        <w:t>政府本级预算</w:t>
      </w:r>
      <w:r>
        <w:rPr>
          <w:rFonts w:hint="eastAsia" w:ascii="仿宋" w:hAnsi="仿宋" w:eastAsia="仿宋" w:cs="宋体"/>
          <w:color w:val="000000"/>
          <w:spacing w:val="-1"/>
          <w:sz w:val="32"/>
          <w:szCs w:val="32"/>
        </w:rPr>
        <w:t>。</w:t>
      </w:r>
      <w:r>
        <w:rPr>
          <w:rFonts w:hint="eastAsia" w:ascii="仿宋" w:hAnsi="仿宋" w:eastAsia="仿宋" w:cs="宋体"/>
          <w:bCs/>
          <w:color w:val="000000"/>
          <w:sz w:val="32"/>
          <w:szCs w:val="32"/>
          <w:lang w:val="en-US" w:eastAsia="zh-CN"/>
        </w:rPr>
        <w:t>大王庄乡</w:t>
      </w:r>
      <w:r>
        <w:rPr>
          <w:rFonts w:hint="eastAsia" w:ascii="仿宋" w:hAnsi="仿宋" w:eastAsia="仿宋" w:cs="宋体"/>
          <w:bCs/>
          <w:color w:val="000000"/>
          <w:sz w:val="32"/>
          <w:szCs w:val="32"/>
        </w:rPr>
        <w:t>人民政府共设行政办公室7个、事业中心4个。</w:t>
      </w:r>
      <w:r>
        <w:rPr>
          <w:rFonts w:hint="eastAsia" w:ascii="仿宋" w:hAnsi="仿宋" w:eastAsia="仿宋"/>
          <w:color w:val="000000"/>
          <w:sz w:val="32"/>
          <w:szCs w:val="32"/>
        </w:rPr>
        <w:t xml:space="preserve">本预算为汇总预算，纳入本部门 2020年度部门预算编报范围的预算单位名单如下： </w:t>
      </w:r>
    </w:p>
    <w:p>
      <w:pPr>
        <w:spacing w:line="360" w:lineRule="auto"/>
        <w:ind w:firstLine="321" w:firstLineChars="1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b/>
          <w:color w:val="000000"/>
          <w:sz w:val="32"/>
          <w:szCs w:val="32"/>
        </w:rPr>
        <w:t>行政办公室7个</w:t>
      </w:r>
      <w:r>
        <w:rPr>
          <w:rFonts w:hint="eastAsia" w:ascii="仿宋" w:hAnsi="仿宋" w:eastAsia="仿宋"/>
          <w:color w:val="000000"/>
          <w:sz w:val="32"/>
          <w:szCs w:val="32"/>
        </w:rPr>
        <w:t>：</w:t>
      </w:r>
    </w:p>
    <w:p>
      <w:pPr>
        <w:pStyle w:val="2"/>
        <w:kinsoku w:val="0"/>
        <w:overflowPunct w:val="0"/>
        <w:autoSpaceDE w:val="0"/>
        <w:autoSpaceDN w:val="0"/>
        <w:snapToGrid w:val="0"/>
        <w:spacing w:line="360" w:lineRule="auto"/>
        <w:ind w:firstLine="320" w:firstLineChars="100"/>
        <w:jc w:val="left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1.党政办公室、党建工作办公室、经济建设办公室、社会事务办公室、应急管理办公室、三农工作办公室、文化旅游工作办公室。</w:t>
      </w:r>
    </w:p>
    <w:p>
      <w:pPr>
        <w:spacing w:line="360" w:lineRule="auto"/>
        <w:ind w:firstLine="321" w:firstLineChars="1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b/>
          <w:color w:val="000000"/>
          <w:sz w:val="32"/>
          <w:szCs w:val="32"/>
        </w:rPr>
        <w:t>事业中心4个</w:t>
      </w:r>
      <w:r>
        <w:rPr>
          <w:rFonts w:hint="eastAsia" w:ascii="仿宋" w:hAnsi="仿宋" w:eastAsia="仿宋"/>
          <w:color w:val="000000"/>
          <w:sz w:val="32"/>
          <w:szCs w:val="32"/>
        </w:rPr>
        <w:t>：</w:t>
      </w:r>
    </w:p>
    <w:p>
      <w:pPr>
        <w:pStyle w:val="2"/>
        <w:kinsoku w:val="0"/>
        <w:overflowPunct w:val="0"/>
        <w:autoSpaceDE w:val="0"/>
        <w:autoSpaceDN w:val="0"/>
        <w:snapToGrid w:val="0"/>
        <w:spacing w:line="360" w:lineRule="auto"/>
        <w:ind w:firstLine="320" w:firstLineChars="100"/>
        <w:jc w:val="left"/>
        <w:rPr>
          <w:rFonts w:ascii="仿宋" w:hAnsi="仿宋" w:eastAsia="仿宋" w:cs="宋体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2.党政综合便民服务中心、社会治安综合治理中心、综合执法大队、退役军人服务站。</w:t>
      </w:r>
    </w:p>
    <w:p>
      <w:pPr>
        <w:shd w:val="clear" w:color="auto" w:fill="FFFFFF"/>
        <w:spacing w:line="594" w:lineRule="exact"/>
        <w:ind w:firstLine="540" w:firstLineChars="150"/>
        <w:jc w:val="left"/>
        <w:rPr>
          <w:rFonts w:ascii="仿宋" w:hAnsi="仿宋" w:eastAsia="仿宋" w:cs="宋体"/>
          <w:color w:val="000000"/>
          <w:sz w:val="17"/>
          <w:szCs w:val="17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ab/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val="en-US" w:eastAsia="zh-CN"/>
        </w:rPr>
        <w:t>3。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西华县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大王庄乡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共有编制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73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人，其中：行政编制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人，事业编制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45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人。目前，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大王庄乡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在职人员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62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人，离休人员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</w:t>
      </w:r>
      <w:r>
        <w:rPr>
          <w:rFonts w:ascii="仿宋" w:hAnsi="仿宋" w:eastAsia="仿宋" w:cs="宋体"/>
          <w:color w:val="000000"/>
          <w:sz w:val="32"/>
          <w:szCs w:val="32"/>
        </w:rPr>
        <w:t>,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退休人员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29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</w:t>
      </w:r>
      <w:r>
        <w:rPr>
          <w:rFonts w:ascii="仿宋" w:hAnsi="仿宋" w:eastAsia="仿宋" w:cs="宋体"/>
          <w:color w:val="000000"/>
          <w:sz w:val="32"/>
          <w:szCs w:val="32"/>
        </w:rPr>
        <w:t>,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遗嘱人员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人。</w:t>
      </w:r>
    </w:p>
    <w:p>
      <w:pPr>
        <w:widowControl/>
        <w:shd w:val="clear" w:color="auto" w:fill="FFFFFF"/>
        <w:tabs>
          <w:tab w:val="left" w:pos="586"/>
        </w:tabs>
        <w:spacing w:line="580" w:lineRule="exact"/>
        <w:jc w:val="left"/>
        <w:rPr>
          <w:rFonts w:hint="default" w:ascii="黑体" w:hAnsi="仿宋_GB2312" w:eastAsia="黑体" w:cs="仿宋_GB2312"/>
          <w:bCs/>
          <w:color w:val="000000"/>
          <w:sz w:val="36"/>
          <w:szCs w:val="36"/>
          <w:lang w:val="en-US" w:eastAsia="zh-CN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val="en-US" w:eastAsia="zh-CN"/>
        </w:rPr>
        <w:t>.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val="en-US" w:eastAsia="zh-CN"/>
        </w:rPr>
        <w:t>大王庄乡人民政府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2021年度部门预算情况说明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Arial" w:hAnsi="Arial" w:eastAsia="仿宋_GB2312" w:cs="Arial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4463.36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万元，支出总计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4463.36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万元，与20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年相比，收、支总计各增加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3403.80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321.25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%。主要原因：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相应中央号召，加大扶贫项目支出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 xml:space="preserve">。  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Arial" w:hAnsi="Arial" w:eastAsia="仿宋_GB2312" w:cs="Arial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 xml:space="preserve">  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2021年收入合计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4463.36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万元，其中：一般公共预算收入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1176.76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万元; 政府性基金预算收入</w:t>
      </w:r>
      <w:r>
        <w:rPr>
          <w:rFonts w:ascii="Arial" w:hAnsi="Arial" w:eastAsia="仿宋_GB2312" w:cs="Arial"/>
          <w:color w:val="000000"/>
          <w:sz w:val="32"/>
          <w:szCs w:val="32"/>
        </w:rPr>
        <w:t>…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76.80</w:t>
      </w:r>
      <w:r>
        <w:rPr>
          <w:rFonts w:ascii="Arial" w:hAnsi="Arial" w:eastAsia="仿宋_GB2312" w:cs="Arial"/>
          <w:color w:val="000000"/>
          <w:sz w:val="32"/>
          <w:szCs w:val="32"/>
        </w:rPr>
        <w:t>…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万元；国有资本经营预算收入</w:t>
      </w:r>
      <w:r>
        <w:rPr>
          <w:rFonts w:ascii="Arial" w:hAnsi="Arial" w:eastAsia="仿宋_GB2312" w:cs="Arial"/>
          <w:color w:val="000000"/>
          <w:sz w:val="32"/>
          <w:szCs w:val="32"/>
        </w:rPr>
        <w:t>…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ascii="Arial" w:hAnsi="Arial" w:eastAsia="仿宋_GB2312" w:cs="Arial"/>
          <w:color w:val="000000"/>
          <w:sz w:val="32"/>
          <w:szCs w:val="32"/>
        </w:rPr>
        <w:t>…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万元；其他收入</w:t>
      </w:r>
      <w:r>
        <w:rPr>
          <w:rFonts w:ascii="Arial" w:hAnsi="Arial" w:eastAsia="仿宋_GB2312" w:cs="Arial"/>
          <w:color w:val="000000"/>
          <w:sz w:val="32"/>
          <w:szCs w:val="32"/>
        </w:rPr>
        <w:t>…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3209.80</w:t>
      </w:r>
      <w:r>
        <w:rPr>
          <w:rFonts w:ascii="Arial" w:hAnsi="Arial" w:eastAsia="仿宋_GB2312" w:cs="Arial"/>
          <w:color w:val="000000"/>
          <w:sz w:val="32"/>
          <w:szCs w:val="32"/>
        </w:rPr>
        <w:t>…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2021年支出合计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4463.36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万元，其中：基本支出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1014.32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ascii="Arial" w:hAnsi="Arial" w:eastAsia="仿宋_GB2312" w:cs="Arial"/>
          <w:color w:val="000000"/>
          <w:sz w:val="32"/>
          <w:szCs w:val="32"/>
        </w:rPr>
        <w:t>…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22.73</w:t>
      </w:r>
      <w:r>
        <w:rPr>
          <w:rFonts w:ascii="Arial" w:hAnsi="Arial" w:eastAsia="仿宋_GB2312" w:cs="Arial"/>
          <w:color w:val="000000"/>
          <w:sz w:val="32"/>
          <w:szCs w:val="32"/>
        </w:rPr>
        <w:t>…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；项目支出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3449.04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77.27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%。 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Arial" w:hAnsi="Arial" w:eastAsia="仿宋_GB2312" w:cs="Arial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1176.76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万元。政府性基金收支预算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76.8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与 2020年相比，一般公共预算收支预算增加</w:t>
      </w:r>
      <w:r>
        <w:rPr>
          <w:rFonts w:ascii="Arial" w:hAnsi="Arial" w:eastAsia="仿宋_GB2312" w:cs="Arial"/>
          <w:color w:val="000000"/>
          <w:sz w:val="32"/>
          <w:szCs w:val="32"/>
        </w:rPr>
        <w:t>…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3403.80</w:t>
      </w:r>
      <w:r>
        <w:rPr>
          <w:rFonts w:ascii="Arial" w:hAnsi="Arial" w:eastAsia="仿宋_GB2312" w:cs="Arial"/>
          <w:color w:val="000000"/>
          <w:sz w:val="32"/>
          <w:szCs w:val="32"/>
        </w:rPr>
        <w:t>…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321.25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%，主要原因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：加大扶贫项目支出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 xml:space="preserve">。  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政府性基金收支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减少26.80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减少25.87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主要原因：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压缩支出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580" w:lineRule="exact"/>
        <w:ind w:firstLine="622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2021年一般公共预算支出年初预算为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1176.76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万元。主要用于以下方面：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一般公共服务支出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866.69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73.65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%；国防支出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%；教育支出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%；科学技术支出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%；文化体育与传媒支出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%；社会保障和就业支出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46.82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%；医疗卫生与计划生育支出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25.10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2.13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%；农林水支出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215.7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18.32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%；住房保障支出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22.45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1.90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%；……（此处单位根据实际情况选列）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80" w:lineRule="exact"/>
        <w:ind w:firstLine="622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1176.76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  <w:lang w:val="en-US" w:eastAsia="zh-CN"/>
        </w:rPr>
        <w:t>920.49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256.27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（此处单位根据实际情况选列）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firstLine="640" w:firstLineChars="200"/>
        <w:jc w:val="left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2021年政府性基金预算支出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76.8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  <w:lang w:val="en-US" w:eastAsia="zh-CN"/>
        </w:rPr>
        <w:t>用于征地和拆迁补偿支出。</w:t>
      </w:r>
      <w:r>
        <w:rPr>
          <w:rFonts w:hint="eastAsia" w:ascii="宋体" w:hAnsi="宋体" w:eastAsia="宋体"/>
          <w:color w:val="000000"/>
          <w:sz w:val="20"/>
          <w:szCs w:val="24"/>
        </w:rPr>
        <w:t xml:space="preserve">     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（若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无政府性基金预算安排的支出请做说明：我单位2021年没有使用政府性基金预算拨款安排的支出。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）</w:t>
      </w:r>
    </w:p>
    <w:p>
      <w:pPr>
        <w:spacing w:line="580" w:lineRule="exact"/>
        <w:ind w:firstLine="640" w:firstLineChars="200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2021年国有资金经营预算支出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，用于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（若无国有资本经营预算安排的支出请做说明：我单位2021年没有使用国有资本经营预算拨款安排的支出。）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2021年“三公”经费预算为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 比 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1.03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24.35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具体支出情况如下：</w:t>
      </w:r>
    </w:p>
    <w:p>
      <w:pPr>
        <w:numPr>
          <w:ilvl w:val="0"/>
          <w:numId w:val="1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万元。主要用于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……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。预算数比2020年减少（增加）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%，主要原因：……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numPr>
          <w:ilvl w:val="0"/>
          <w:numId w:val="1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公务用车购置及运行费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元。其中公务车辆购置费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万元，主要用于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……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,比2020年减少（增减）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万元，较上年下降（增长）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%，主要原因：……；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公务用车运行维护费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，主要用于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……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,比2020年减少（增减）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万元，较上年下降（增长）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%，主要原因：……。</w:t>
      </w:r>
    </w:p>
    <w:p>
      <w:pPr>
        <w:widowControl/>
        <w:spacing w:line="315" w:lineRule="atLeast"/>
        <w:ind w:firstLine="638"/>
        <w:jc w:val="left"/>
        <w:rPr>
          <w:rFonts w:hint="default" w:ascii="仿宋" w:hAnsi="宋体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万元，主要用于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……，比2020年预算数减少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0.6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：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响应国家号召，压缩三公经费开支。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大王庄乡人民政府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2021年机关运行经费支出预算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866.69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万元，主要保障机关机构正常运转及正常履职需要的办公费、水电费、物业费、维修费、差旅费等支出，比2020年减少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89.27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9.3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%，主要原因：压缩支出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2021年政府采购预算安排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2020年,我部门对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个项目进行了预算绩效评价，涉及资金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2021年，我部门纳入预算绩效管理的支出总额为</w:t>
      </w:r>
      <w:r>
        <w:rPr>
          <w:rFonts w:hint="eastAsia" w:ascii="宋体" w:hAnsi="宋体" w:cs="宋体"/>
          <w:color w:val="000000"/>
          <w:kern w:val="0"/>
          <w:sz w:val="24"/>
          <w:szCs w:val="24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万元，其中人员经费支出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万元，公用经费支出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万元，支出项目共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万元，其中预算支出100万元及100万元以上项目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</w:t>
      </w:r>
    </w:p>
    <w:p>
      <w:pPr>
        <w:spacing w:line="580" w:lineRule="exact"/>
        <w:ind w:left="420" w:leftChars="200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2020年期末，XX部门固定资产总额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423.37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万元，其中，房屋建筑物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166.21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万元。共有车辆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辆，其中：一般公务用车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辆，执法执勤车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0.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辆，……；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单价50万元以上通用设备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台（套），单位价值100万元以上专用设备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我部门负责管理的专项转移支付项目共有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项，主要是：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万元等；我部门将按照《预算法》等有关规定，积极做好项目分配前期准备工作，在规定的时间内向财政部门提出资金分配意见，根据有关要求做好项目申报公开等相关工作。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2021年我单位按照市财政预算公开要求，将所属预算单位全部纳入预算公开范围。（根据XX保密规定，2021年我单位部门预算不予公开）。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3" w:firstLineChars="200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一、财政拨款收入：是指市级财政当年拨付的资金。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八、其他（专业性较强的需向社会做出说明的名词）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0C1191"/>
    <w:rsid w:val="013B256A"/>
    <w:rsid w:val="01692FE3"/>
    <w:rsid w:val="01EE34EC"/>
    <w:rsid w:val="0218356E"/>
    <w:rsid w:val="04305E7F"/>
    <w:rsid w:val="046F7494"/>
    <w:rsid w:val="05C20B9C"/>
    <w:rsid w:val="070E659D"/>
    <w:rsid w:val="0A1D391B"/>
    <w:rsid w:val="0A523840"/>
    <w:rsid w:val="0AC72332"/>
    <w:rsid w:val="0BFC0EC6"/>
    <w:rsid w:val="11813B73"/>
    <w:rsid w:val="11DF5FEB"/>
    <w:rsid w:val="1299779F"/>
    <w:rsid w:val="132F57F6"/>
    <w:rsid w:val="13BA0285"/>
    <w:rsid w:val="144D27A1"/>
    <w:rsid w:val="14B41AFE"/>
    <w:rsid w:val="15CF3D32"/>
    <w:rsid w:val="16296EF9"/>
    <w:rsid w:val="17CA3D66"/>
    <w:rsid w:val="1A887EAF"/>
    <w:rsid w:val="1B2E48EF"/>
    <w:rsid w:val="1B5D47CA"/>
    <w:rsid w:val="1F5B4624"/>
    <w:rsid w:val="1FB75A3B"/>
    <w:rsid w:val="1FE949BA"/>
    <w:rsid w:val="221E6F23"/>
    <w:rsid w:val="228A53F3"/>
    <w:rsid w:val="22ED6024"/>
    <w:rsid w:val="23FB77C5"/>
    <w:rsid w:val="243703B5"/>
    <w:rsid w:val="24BE5F08"/>
    <w:rsid w:val="253E532D"/>
    <w:rsid w:val="26A71CCB"/>
    <w:rsid w:val="283D455C"/>
    <w:rsid w:val="294E2916"/>
    <w:rsid w:val="2ACE08B0"/>
    <w:rsid w:val="2D2B085E"/>
    <w:rsid w:val="2E4B30AA"/>
    <w:rsid w:val="2F1369DF"/>
    <w:rsid w:val="2F9E7387"/>
    <w:rsid w:val="3027276D"/>
    <w:rsid w:val="31602A15"/>
    <w:rsid w:val="323A7180"/>
    <w:rsid w:val="34DA1CD2"/>
    <w:rsid w:val="36254C8E"/>
    <w:rsid w:val="390F0AE7"/>
    <w:rsid w:val="3B6A712A"/>
    <w:rsid w:val="3CAE28B1"/>
    <w:rsid w:val="41D627E0"/>
    <w:rsid w:val="42B506E7"/>
    <w:rsid w:val="43215D7C"/>
    <w:rsid w:val="44A405B2"/>
    <w:rsid w:val="456D52A9"/>
    <w:rsid w:val="45E8230A"/>
    <w:rsid w:val="45FC7AC7"/>
    <w:rsid w:val="4945186E"/>
    <w:rsid w:val="4C0A46D8"/>
    <w:rsid w:val="4EED39D2"/>
    <w:rsid w:val="50023606"/>
    <w:rsid w:val="507B4D30"/>
    <w:rsid w:val="50F45F04"/>
    <w:rsid w:val="53D57D9F"/>
    <w:rsid w:val="549E5397"/>
    <w:rsid w:val="54A60BE6"/>
    <w:rsid w:val="54CB25DA"/>
    <w:rsid w:val="56D75200"/>
    <w:rsid w:val="57127F34"/>
    <w:rsid w:val="580D0FF8"/>
    <w:rsid w:val="584A1095"/>
    <w:rsid w:val="591007B0"/>
    <w:rsid w:val="59420203"/>
    <w:rsid w:val="59EE6561"/>
    <w:rsid w:val="5AAC2843"/>
    <w:rsid w:val="5EB6216E"/>
    <w:rsid w:val="60A454D6"/>
    <w:rsid w:val="61CC0E60"/>
    <w:rsid w:val="63864789"/>
    <w:rsid w:val="64095039"/>
    <w:rsid w:val="6A914767"/>
    <w:rsid w:val="6C3B23A2"/>
    <w:rsid w:val="6C7C5C4E"/>
    <w:rsid w:val="6C84586F"/>
    <w:rsid w:val="708D4CB4"/>
    <w:rsid w:val="7543529A"/>
    <w:rsid w:val="7AC54C7C"/>
    <w:rsid w:val="7BDC11BB"/>
    <w:rsid w:val="7E377C27"/>
    <w:rsid w:val="7E572077"/>
    <w:rsid w:val="7ECD783B"/>
    <w:rsid w:val="7F7A5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uiPriority w:val="99"/>
    <w:rPr>
      <w:rFonts w:ascii="Times New Roman" w:hAnsi="Times New Roman" w:eastAsia="仿宋_GB2312" w:cs="Times New Roman"/>
      <w:sz w:val="2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2021-11-10T00:50:00Z</dcterms:created>
  <dc:creator>Administrator</dc:creator>
  <cp:lastModifiedBy>Lenovo</cp:lastModifiedBy>
  <dcterms:modified xsi:type="dcterms:W3CDTF">2021-11-15T10:50:37Z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E1C1ABF037034F0BB950B5785A20896F</vt:lpwstr>
  </property>
</Properties>
</file>