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/>
    <w:p/>
    <w:p>
      <w:pPr>
        <w:jc w:val="center"/>
        <w:rPr>
          <w:b/>
          <w:sz w:val="36"/>
          <w:szCs w:val="36"/>
        </w:rPr>
      </w:pPr>
    </w:p>
    <w:p>
      <w:pPr>
        <w:ind w:firstLine="1560" w:firstLineChars="300"/>
        <w:jc w:val="both"/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</w:pPr>
      <w:r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  <w:t>西华县东王营乡人民政府</w:t>
      </w:r>
    </w:p>
    <w:p>
      <w:pPr>
        <w:jc w:val="center"/>
        <w:rPr>
          <w:b/>
          <w:sz w:val="36"/>
          <w:szCs w:val="36"/>
        </w:rPr>
      </w:pPr>
      <w:r>
        <w:rPr>
          <w:rFonts w:hint="eastAsia" w:ascii="黑体" w:hAnsi="黑体" w:eastAsia="黑体"/>
          <w:color w:val="000000"/>
          <w:sz w:val="52"/>
          <w:szCs w:val="52"/>
        </w:rPr>
        <w:t>2021年度部门预算</w:t>
      </w: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  <w:bookmarkStart w:id="0" w:name="_GoBack"/>
      <w:bookmarkEnd w:id="0"/>
    </w:p>
    <w:p/>
    <w:p/>
    <w:p/>
    <w:p/>
    <w:p/>
    <w:p/>
    <w:p/>
    <w:p/>
    <w:p/>
    <w:p/>
    <w:p/>
    <w:p/>
    <w:p/>
    <w:p/>
    <w:p/>
    <w:p/>
    <w:p/>
    <w:p/>
    <w:p>
      <w:pPr>
        <w:rPr>
          <w:sz w:val="52"/>
          <w:szCs w:val="52"/>
        </w:rPr>
      </w:pPr>
      <w:r>
        <w:rPr>
          <w:rFonts w:hint="eastAsia"/>
        </w:rPr>
        <w:t xml:space="preserve">                      </w:t>
      </w:r>
      <w:r>
        <w:rPr>
          <w:rFonts w:hint="eastAsia"/>
          <w:b/>
          <w:bCs/>
          <w:sz w:val="44"/>
          <w:szCs w:val="44"/>
        </w:rPr>
        <w:t>二零二</w:t>
      </w:r>
      <w:r>
        <w:rPr>
          <w:rFonts w:hint="eastAsia"/>
          <w:b/>
          <w:bCs/>
          <w:sz w:val="44"/>
          <w:szCs w:val="44"/>
          <w:lang w:eastAsia="zh-CN"/>
        </w:rPr>
        <w:t>壹</w:t>
      </w:r>
      <w:r>
        <w:rPr>
          <w:rFonts w:hint="eastAsia"/>
          <w:b/>
          <w:bCs/>
          <w:sz w:val="44"/>
          <w:szCs w:val="44"/>
        </w:rPr>
        <w:t>年</w:t>
      </w:r>
      <w:r>
        <w:rPr>
          <w:rFonts w:hint="eastAsia"/>
          <w:b/>
          <w:bCs/>
          <w:sz w:val="44"/>
          <w:szCs w:val="44"/>
          <w:lang w:eastAsia="zh-CN"/>
        </w:rPr>
        <w:t>拾</w:t>
      </w:r>
      <w:r>
        <w:rPr>
          <w:rFonts w:hint="eastAsia"/>
          <w:b/>
          <w:bCs/>
          <w:sz w:val="44"/>
          <w:szCs w:val="44"/>
        </w:rPr>
        <w:t>月</w:t>
      </w:r>
    </w:p>
    <w:p/>
    <w:p/>
    <w:p/>
    <w:p/>
    <w:p/>
    <w:p/>
    <w:p/>
    <w:tbl>
      <w:tblPr>
        <w:tblStyle w:val="7"/>
        <w:tblW w:w="8306" w:type="dxa"/>
        <w:tblCellSpacing w:w="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0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89" w:hRule="atLeast"/>
          <w:tblCellSpacing w:w="0" w:type="dxa"/>
        </w:trPr>
        <w:tc>
          <w:tcPr>
            <w:tcW w:w="8306" w:type="dxa"/>
          </w:tcPr>
          <w:p/>
          <w:tbl>
            <w:tblPr>
              <w:tblStyle w:val="7"/>
              <w:tblW w:w="7827" w:type="dxa"/>
              <w:jc w:val="center"/>
              <w:tblCellSpacing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7827"/>
            </w:tblGrid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400" w:hRule="atLeast"/>
                <w:tblCellSpacing w:w="0" w:type="dxa"/>
                <w:jc w:val="center"/>
              </w:trPr>
              <w:tc>
                <w:tcPr>
                  <w:tcW w:w="7827" w:type="dxa"/>
                </w:tcPr>
                <w:p>
                  <w:pPr>
                    <w:widowControl/>
                    <w:spacing w:line="315" w:lineRule="atLeast"/>
                    <w:ind w:right="51" w:firstLine="2530" w:firstLineChars="4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目</w:t>
                  </w:r>
                  <w:r>
                    <w:rPr>
                      <w:rFonts w:ascii="仿宋" w:hAnsi="宋体" w:eastAsia="仿宋" w:cs="宋体"/>
                      <w:b/>
                      <w:spacing w:val="2"/>
                      <w:kern w:val="0"/>
                      <w:sz w:val="56"/>
                      <w:szCs w:val="56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录</w:t>
                  </w:r>
                </w:p>
                <w:p>
                  <w:pPr>
                    <w:widowControl/>
                    <w:spacing w:line="315" w:lineRule="atLeast"/>
                    <w:ind w:left="-142" w:right="51" w:firstLine="39"/>
                    <w:jc w:val="center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left="-142" w:right="51" w:firstLine="161" w:firstLineChars="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第一部分西华县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eastAsia="zh-CN"/>
                    </w:rPr>
                    <w:t>东王营乡人民政府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概况</w:t>
                  </w:r>
                </w:p>
                <w:p>
                  <w:pPr>
                    <w:widowControl/>
                    <w:spacing w:line="315" w:lineRule="atLeast"/>
                    <w:ind w:right="3569" w:firstLine="640" w:firstLineChars="20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一、主要职能</w:t>
                  </w:r>
                </w:p>
                <w:p>
                  <w:pPr>
                    <w:widowControl/>
                    <w:spacing w:line="315" w:lineRule="atLeast"/>
                    <w:ind w:right="3569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二、部门预算单位构成</w:t>
                  </w:r>
                </w:p>
                <w:p>
                  <w:pPr>
                    <w:widowControl/>
                    <w:spacing w:line="315" w:lineRule="atLeast"/>
                    <w:ind w:left="964" w:right="522" w:hanging="964" w:hangingChars="30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第二部分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eastAsia="zh-CN"/>
                    </w:rPr>
                    <w:t>东王营乡人民政府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年度部门预算情况说明</w:t>
                  </w:r>
                  <w:r>
                    <w:rPr>
                      <w:rFonts w:ascii="宋体" w:hAnsi="宋体" w:cs="宋体"/>
                      <w:b/>
                      <w:kern w:val="0"/>
                      <w:sz w:val="24"/>
                    </w:rPr>
                    <w:t xml:space="preserve">          </w:t>
                  </w:r>
                </w:p>
                <w:p>
                  <w:pPr>
                    <w:widowControl/>
                    <w:spacing w:line="315" w:lineRule="atLeast"/>
                    <w:ind w:right="522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第三部分</w:t>
                  </w:r>
                  <w:r>
                    <w:rPr>
                      <w:rFonts w:ascii="仿宋" w:hAnsi="宋体" w:eastAsia="仿宋" w:cs="宋体"/>
                      <w:b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名词解释</w:t>
                  </w:r>
                </w:p>
                <w:p>
                  <w:pPr>
                    <w:widowControl/>
                    <w:spacing w:line="315" w:lineRule="atLeast"/>
                    <w:ind w:firstLine="320" w:firstLineChars="10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  <w:r>
                    <w:rPr>
                      <w:rFonts w:ascii="仿宋" w:hAnsi="宋体" w:eastAsia="仿宋" w:cs="宋体"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东王营乡人民政府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ascii="仿宋" w:hAnsi="宋体" w:eastAsia="仿宋" w:cs="宋体"/>
                      <w:spacing w:val="-116"/>
                      <w:kern w:val="0"/>
                      <w:sz w:val="32"/>
                      <w:szCs w:val="32"/>
                    </w:rPr>
                    <w:t xml:space="preserve"> 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年度部门预算表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一、部门收支总表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二、部门收入总表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三、部门支出总表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四、财政拨款收支总表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五、一般公共预算支出表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六、一般公共预算基本支出表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七、政府性基金预算支出表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八、一般公共预算“三公”经费支出表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九、国有资本经营预算收支情况表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十、机关运行经费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十一、部门整体绩效目标表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十二、项目绩效目标表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  <w:p>
                  <w:pPr>
                    <w:widowControl/>
                    <w:spacing w:line="315" w:lineRule="atLeast"/>
                    <w:ind w:left="101" w:right="521"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left="101" w:right="521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center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spacing w:line="360" w:lineRule="auto"/>
                    <w:ind w:firstLine="2831" w:firstLineChars="641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第一部分</w:t>
                  </w:r>
                </w:p>
                <w:p>
                  <w:pPr>
                    <w:spacing w:line="360" w:lineRule="auto"/>
                    <w:ind w:firstLine="442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</w:p>
                <w:p>
                  <w:pPr>
                    <w:spacing w:line="360" w:lineRule="auto"/>
                    <w:jc w:val="center"/>
                    <w:rPr>
                      <w:rFonts w:hint="eastAsia" w:ascii="仿宋" w:hAnsi="仿宋" w:eastAsia="仿宋" w:cs="仿宋"/>
                      <w:b/>
                      <w:sz w:val="44"/>
                      <w:lang w:eastAsia="zh-CN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西华县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  <w:lang w:eastAsia="zh-CN"/>
                    </w:rPr>
                    <w:t>东王营乡人民政府概况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b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一、西华县</w:t>
                  </w:r>
                  <w:r>
                    <w:rPr>
                      <w:rFonts w:hint="eastAsia" w:ascii="仿宋" w:hAnsi="仿宋" w:eastAsia="仿宋" w:cs="仿宋"/>
                      <w:b/>
                      <w:sz w:val="32"/>
                      <w:lang w:eastAsia="zh-CN"/>
                    </w:rPr>
                    <w:t>东王营乡人民政府</w:t>
                  </w: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部门概况和主要职责</w:t>
                  </w:r>
                </w:p>
                <w:p>
                  <w:pPr>
                    <w:pStyle w:val="13"/>
                    <w:spacing w:before="0" w:beforeAutospacing="0" w:after="0" w:afterAutospacing="0"/>
                    <w:ind w:firstLine="600" w:firstLineChars="200"/>
                    <w:rPr>
                      <w:rFonts w:asciiTheme="majorEastAsia" w:hAnsiTheme="majorEastAsia" w:eastAsiaTheme="majorEastAsia" w:cstheme="majorEastAsia"/>
                      <w:color w:val="000000"/>
                      <w:sz w:val="32"/>
                      <w:szCs w:val="32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color w:val="000000"/>
                      <w:sz w:val="30"/>
                      <w:szCs w:val="30"/>
                    </w:rPr>
                    <w:t>（一）东王营乡概况：东王营乡位于西华县城东南，据西华县城15公里东与淮阳县曹河乡为邻，西与大王庄乡隔贾鲁河相望，南与周口市北郊毗邻，北与皮营乡接壤。总面积40.6平方公里，20个村民委员会，51个自然村，总人口30875人，耕地41368亩</w:t>
                  </w:r>
                  <w:r>
                    <w:rPr>
                      <w:rFonts w:hint="eastAsia" w:asciiTheme="majorEastAsia" w:hAnsiTheme="majorEastAsia" w:eastAsiaTheme="majorEastAsia" w:cstheme="majorEastAsia"/>
                      <w:color w:val="000000"/>
                      <w:sz w:val="32"/>
                      <w:szCs w:val="32"/>
                    </w:rPr>
                    <w:t>。</w:t>
                  </w:r>
                </w:p>
                <w:p>
                  <w:pPr>
                    <w:spacing w:line="360" w:lineRule="auto"/>
                    <w:jc w:val="left"/>
                    <w:rPr>
                      <w:rFonts w:hint="default" w:ascii="仿宋" w:hAnsi="仿宋" w:eastAsia="仿宋" w:cs="仿宋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（二）主要职责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拟定和执行全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财政税收的发展战略、中长期规划、改革方案及有关政策；参与制定各项宏观经济政策；提出运用财税政策实施宏观调控和综合平衡社会财力的建议。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2.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财政、国有资产管理、财务、会计管理的地方性法规和行政规章草案并组织实施；组织参加县政府债务的谈判与磋商，并草签有关协议。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3.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编制年度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级预决算草案并组织实施；受县政府委托，向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人民代表大会报告全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预算及其执行情况，向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人大常委会报告决算；管理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级各项财政收入、预算外资金和财政专户；管理有关县级政府性基金；会同有关部门办理行政事业性收费、政府性基金立项、审批及申报工作。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4.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根据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级预算安排，确定财政税收收入计划；在国家规定的权限内，提出对全县财政影响较大的临时特案减免税的建议。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5.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级财政公共支出；拟定和执行政府采购政策；制定需要全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统一规定的开支标准和管理办法；监督执行《行政单位财务规则》和《事业单位财务规则》。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6.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负责行政、事业单位国有资产管理工作。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7.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负责全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企业财务制度的制定、监督和管理，监督执行《企业财务通则》；拟定国有资产管理的有关政策和规章；负责国有企业的资产管理，指导财产评估业务；负责县属企业国有资产收益的收缴和使用。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8.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负责全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财税管理工作；指导全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乡镇财政建设工作。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9.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基本建设财务制度，管理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级财政基本建设支出，负责小城镇建设资金与财务管理。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10.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拟定和执行国家社会保障资金的财务管理制度，管理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级财政社会保障支出；组织实施对社会保障资金使用的财政监督。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11.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执行国家国内、国外债务管理的方针政策和国债发行计划；拟定地方性有关政策及配套办法，组织参加政府外债的谈判与磋商，管理政府债务。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12.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参与全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住房制度和土地使用制度改革，拟定并监督执行住房资金、国有土地出让金收益财务管理、会计核算办法，指导监督有关部门管理住房资金。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13.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管理全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会计工作，监督执行会计规章制度、《企业会计准则》，监督执行政府总预算、行政和事业单位及分行业的会计制度；指导和监督注册会计师和会计师事务所的业务；指导和管理社会审计。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14.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监督财税方针政策、法律法规、行政规章的执行情况；检查反映财政收支管理中的重大问题；提出加强财政管理的政策建议；负责对经中介机构审计的国有企业年度会计报表的核查工作。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right="-361" w:rightChars="-172"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15.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制定全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财政科学研究、教育规划，组织财政人员培训；负责财政信息和财政宣传工作。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   </w:t>
                  </w:r>
                </w:p>
                <w:p>
                  <w:pPr>
                    <w:adjustRightInd w:val="0"/>
                    <w:snapToGrid w:val="0"/>
                    <w:spacing w:line="360" w:lineRule="auto"/>
                    <w:ind w:firstLine="640" w:firstLineChars="200"/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16.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承办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政府交办的其他事项。</w:t>
                  </w:r>
                </w:p>
                <w:p>
                  <w:pPr>
                    <w:adjustRightInd w:val="0"/>
                    <w:snapToGrid w:val="0"/>
                    <w:spacing w:line="360" w:lineRule="auto"/>
                    <w:ind w:firstLine="640" w:firstLineChars="200"/>
                    <w:rPr>
                      <w:rFonts w:hint="eastAsia" w:ascii="义启简黑体" w:hAnsi="义启简黑体" w:eastAsia="义启简黑体" w:cs="义启简黑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义启简黑体" w:hAnsi="义启简黑体" w:eastAsia="义启简黑体" w:cs="义启简黑体"/>
                      <w:kern w:val="2"/>
                      <w:sz w:val="32"/>
                      <w:szCs w:val="32"/>
                      <w:lang w:val="en-US" w:eastAsia="zh-CN" w:bidi="ar-SA"/>
                    </w:rPr>
                    <w:t>二、东王营乡人民政府单位构成</w:t>
                  </w:r>
                </w:p>
                <w:p>
                  <w:pPr>
                    <w:pStyle w:val="2"/>
                    <w:kinsoku w:val="0"/>
                    <w:overflowPunct w:val="0"/>
                    <w:snapToGrid w:val="0"/>
                    <w:spacing w:line="360" w:lineRule="auto"/>
                    <w:ind w:left="121" w:right="118" w:firstLine="640" w:firstLineChars="200"/>
                    <w:rPr>
                      <w:rFonts w:hint="default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1.东王营乡人民政府行政机构设置7个：党政办公室，党建办公室，经济建设办公室，社会事务办公室，应急管理办公室，“三农”工作办公室，文化旅游工作办公室。事业机构设置4个：党政综合便民服务中心，社会治安综合治理中心，综合行政执法队，退役军人服务站。</w:t>
                  </w:r>
                </w:p>
                <w:p>
                  <w:pPr>
                    <w:pStyle w:val="2"/>
                    <w:kinsoku w:val="0"/>
                    <w:overflowPunct w:val="0"/>
                    <w:snapToGrid w:val="0"/>
                    <w:spacing w:line="360" w:lineRule="auto"/>
                    <w:ind w:left="0"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2.人员构成情况</w:t>
                  </w:r>
                </w:p>
                <w:p>
                  <w:pPr>
                    <w:pStyle w:val="13"/>
                    <w:spacing w:before="0" w:beforeAutospacing="0" w:after="0" w:afterAutospacing="0"/>
                    <w:ind w:firstLine="640" w:firstLineChars="200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仿宋"/>
                      <w:color w:val="333333"/>
                      <w:kern w:val="2"/>
                      <w:sz w:val="32"/>
                      <w:szCs w:val="32"/>
                    </w:rPr>
                    <w:t>东王营乡政府共有编制73人，其中：行政编制28人，事业编制45人。目前，乡政府在职人员</w:t>
                  </w:r>
                  <w:r>
                    <w:rPr>
                      <w:rFonts w:hint="eastAsia" w:ascii="仿宋" w:hAnsi="仿宋" w:eastAsia="仿宋" w:cs="仿宋"/>
                      <w:color w:val="333333"/>
                      <w:kern w:val="2"/>
                      <w:sz w:val="32"/>
                      <w:szCs w:val="32"/>
                      <w:lang w:val="en-US" w:eastAsia="zh-CN"/>
                    </w:rPr>
                    <w:t>67</w:t>
                  </w:r>
                  <w:r>
                    <w:rPr>
                      <w:rFonts w:hint="eastAsia" w:ascii="仿宋" w:hAnsi="仿宋" w:eastAsia="仿宋" w:cs="仿宋"/>
                      <w:color w:val="333333"/>
                      <w:kern w:val="2"/>
                      <w:sz w:val="32"/>
                      <w:szCs w:val="32"/>
                    </w:rPr>
                    <w:t>人，退休人员2</w:t>
                  </w:r>
                  <w:r>
                    <w:rPr>
                      <w:rFonts w:hint="eastAsia" w:ascii="仿宋" w:hAnsi="仿宋" w:eastAsia="仿宋" w:cs="仿宋"/>
                      <w:color w:val="333333"/>
                      <w:kern w:val="2"/>
                      <w:sz w:val="32"/>
                      <w:szCs w:val="32"/>
                      <w:lang w:val="en-US" w:eastAsia="zh-CN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color w:val="333333"/>
                      <w:kern w:val="2"/>
                      <w:sz w:val="32"/>
                      <w:szCs w:val="32"/>
                    </w:rPr>
                    <w:t>人。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第二部分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eastAsia="zh-CN"/>
                    </w:rPr>
                    <w:t>东王营乡人民政府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年度部门预算情况说明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一、收入支出预算总体情况说明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东王营乡人民政府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1356.81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1356.81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增加340.43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增加1.33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。收支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原因是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加大扶贫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项目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预算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二、收入预算总体情况说明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东王营乡人民政府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年收入合计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1356.81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万元，其中：一般公共预算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1321.25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政府性基金预算拨款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24.96万元；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上级转移支付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收入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10.6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三、支出预算总体情况说明</w:t>
                  </w:r>
                </w:p>
                <w:p>
                  <w:pPr>
                    <w:ind w:firstLine="640" w:firstLineChars="200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eastAsia="zh-CN"/>
                    </w:rPr>
                    <w:t>东王营乡人民政府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年支出预算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1356.81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万元，按经济用途划分为：一是基本支出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1006.24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74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，其中工资福利支出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455.49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33.5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；对个人和家庭的补助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454.99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33.5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；商品服务支出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95.76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7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；二是项目支出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350.57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26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，其中经常性项目支出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350.57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26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；重点项目支出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。主要用途是：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eastAsia="zh-CN"/>
                    </w:rPr>
                    <w:t>贾鲁河治理和革命老区项目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政府配套资金。</w:t>
                  </w:r>
                  <w:r>
                    <w:rPr>
                      <w:rFonts w:ascii="仿宋" w:hAnsi="宋体" w:eastAsia="仿宋" w:cs="宋体"/>
                      <w:color w:val="00000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四、财政拨款收入支出预算总体情况说明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东王营乡人民政府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1356.81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1356.81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年相比，收、支总计各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增加340.43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增加1.33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。其中工资福利支出中增加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56.31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万元，商品服务支出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52.54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万元，对个人家庭福利支出增加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60.09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万元，项目支出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276.57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万元；收支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原因是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项目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预算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五、一般公共预算支出预算情况说明</w:t>
                  </w:r>
                </w:p>
                <w:p>
                  <w:pPr>
                    <w:widowControl/>
                    <w:spacing w:line="360" w:lineRule="auto"/>
                    <w:ind w:firstLine="64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东王营乡人民政府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年一般公共预算支出年初预算为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1321.24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万元。主要用于以下方面：一般公共服务（类）行政运行（政府办公厅（室）及相关机构事务）支出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678.41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51.3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；社会保障和就业（类）机关事业单位基本养老保险缴费支出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57.59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4.3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；其他社会保障和就业支出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1.81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0.013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，卫生健康支出（类）行政单位医疗支出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23.81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1.8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；农村公益事业建设奖补资金（类）支出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182.91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%；对村民委员会和村党支部的补助支出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354.43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26.8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；住房保障支出（类）住房改革支出（款）住房公积金支出（项）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22.28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万元，占1.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68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。中央自然灾害救灾补助（类）支出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10.6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%。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六、一般公共预算基本支出预算情况说明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东王营乡人民政府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1006.23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910.47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95.76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七、政府性基金预算支出情况说明</w:t>
                  </w:r>
                </w:p>
                <w:p>
                  <w:pPr>
                    <w:widowControl/>
                    <w:spacing w:line="315" w:lineRule="atLeast"/>
                    <w:ind w:firstLine="640" w:firstLineChars="200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我单位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年重点项目支出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24.96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万元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八、</w:t>
                  </w:r>
                  <w:r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“三公”经费支出预算情况说明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东王营乡人民政府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年“三公”经费预算为3.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年“三公”经费支出预算数与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1.03万元，下降25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%。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具体支出情况如下：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（一）因公出国（境）费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万元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（二）公务用车购置及运行费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万元，其中，公务用车购置费0万元；公务用车运行维护费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万元，主要用于开展工作所需公务用车的燃料费、维修费、过路过桥费、保险费、安全奖励费用等支出。公务用车运行维护费预算数相比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（三）公务接待费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比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2020年预算数减少0.6万元，下降30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，主要原因：响应国家号召，压缩三公经费开支。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九、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  <w:lang w:eastAsia="zh-CN"/>
                    </w:rPr>
                    <w:t>国有资本经营预算支出预算情况说明</w:t>
                  </w:r>
                </w:p>
                <w:p>
                  <w:pPr>
                    <w:widowControl/>
                    <w:spacing w:line="315" w:lineRule="atLeast"/>
                    <w:ind w:firstLine="640" w:firstLineChars="200"/>
                    <w:jc w:val="left"/>
                    <w:rPr>
                      <w:rFonts w:hint="default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eastAsia="zh-CN"/>
                    </w:rPr>
                    <w:t>我单位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  <w:t>2021年没有使用国有资本经营预算拨款安排的支出。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  <w:lang w:eastAsia="zh-CN"/>
                    </w:rPr>
                    <w:t>十、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其他重要事项的情况说明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（一）机关运行经费支出情况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hint="eastAsia" w:ascii="宋体" w:eastAsia="仿宋" w:cs="宋体"/>
                      <w:kern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东王营乡人民政府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1006.23万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910.47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95.76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，比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2020年增加340.43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增加1.33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。收支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原因是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加大扶贫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项目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预算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（二）、政府采购支出情况。</w:t>
                  </w:r>
                </w:p>
                <w:p>
                  <w:pPr>
                    <w:spacing w:line="360" w:lineRule="auto"/>
                    <w:ind w:firstLine="640" w:firstLineChars="20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年政府采购预算安排0万元，其中：政府采购货物预算0万元、政府采购工程预算0万元、政府采购服务预算0万元。</w:t>
                  </w:r>
                </w:p>
                <w:p>
                  <w:pPr>
                    <w:numPr>
                      <w:ilvl w:val="0"/>
                      <w:numId w:val="1"/>
                    </w:numPr>
                    <w:spacing w:line="360" w:lineRule="auto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、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关于预算绩效管理工作开展情况说明</w:t>
                  </w:r>
                </w:p>
                <w:p>
                  <w:pPr>
                    <w:numPr>
                      <w:ilvl w:val="0"/>
                      <w:numId w:val="0"/>
                    </w:numPr>
                    <w:spacing w:line="360" w:lineRule="auto"/>
                    <w:ind w:firstLine="640" w:firstLineChars="200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2021年，我单位对  个项目进行了预算绩效评价，涉及资金    万元。2021年，我单位纳入预算绩效管理的支出总额为   万元，其中人员经费支出   万元，公用经费支出   万元，支出项目共   个，支出总额   万元，其中预算支出100万元及100万元以上项目    个，支出总额    万元。</w:t>
                  </w:r>
                </w:p>
                <w:p>
                  <w:pPr>
                    <w:numPr>
                      <w:ilvl w:val="0"/>
                      <w:numId w:val="1"/>
                    </w:num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国有资产占用情况表</w:t>
                  </w:r>
                </w:p>
                <w:p>
                  <w:pPr>
                    <w:spacing w:line="360" w:lineRule="auto"/>
                    <w:ind w:firstLine="640"/>
                    <w:rPr>
                      <w:rFonts w:hint="eastAsia"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年度，西华县</w:t>
                  </w:r>
                  <w:r>
                    <w:rPr>
                      <w:rFonts w:hint="eastAsia" w:ascii="仿宋" w:hAnsi="仿宋" w:eastAsia="仿宋" w:cs="仿宋"/>
                      <w:sz w:val="32"/>
                      <w:lang w:eastAsia="zh-CN"/>
                    </w:rPr>
                    <w:t>东王营乡人民政府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共有车辆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辆，为一般公务用车。单位价值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50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万元以上通用设备0台（套），单位价值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100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万元以上专用设备0台（套）。</w:t>
                  </w:r>
                </w:p>
                <w:p>
                  <w:pPr>
                    <w:numPr>
                      <w:ilvl w:val="0"/>
                      <w:numId w:val="1"/>
                    </w:numPr>
                    <w:spacing w:line="360" w:lineRule="auto"/>
                    <w:ind w:left="0" w:leftChars="0" w:firstLine="0" w:firstLineChars="0"/>
                    <w:rPr>
                      <w:rFonts w:hint="eastAsia"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、</w:t>
                  </w:r>
                  <w:r>
                    <w:rPr>
                      <w:rFonts w:hint="eastAsia" w:ascii="仿宋" w:hAnsi="仿宋" w:eastAsia="仿宋" w:cs="仿宋"/>
                      <w:sz w:val="32"/>
                      <w:lang w:eastAsia="zh-CN"/>
                    </w:rPr>
                    <w:t>专项转移支付项目情况</w:t>
                  </w:r>
                </w:p>
                <w:p>
                  <w:pPr>
                    <w:numPr>
                      <w:ilvl w:val="0"/>
                      <w:numId w:val="0"/>
                    </w:numPr>
                    <w:spacing w:line="360" w:lineRule="auto"/>
                    <w:ind w:leftChars="0"/>
                    <w:rPr>
                      <w:rFonts w:hint="default" w:ascii="仿宋" w:hAnsi="仿宋" w:eastAsia="仿宋" w:cs="仿宋"/>
                      <w:sz w:val="32"/>
                      <w:lang w:val="en-US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 xml:space="preserve">     我单位负责管理的专项转移支付项目有1项，10万元等；我单位将按照{预算法}等有关规定，积极做好项目分配前期准备工作，在规定的时间内向财政部门提出资金分配意见，根据有关要求做好项目申报公开等相关工作。</w:t>
                  </w:r>
                </w:p>
                <w:p>
                  <w:pPr>
                    <w:numPr>
                      <w:ilvl w:val="0"/>
                      <w:numId w:val="1"/>
                    </w:numPr>
                    <w:spacing w:line="360" w:lineRule="auto"/>
                    <w:ind w:left="0" w:leftChars="0" w:firstLine="0" w:firstLineChars="0"/>
                    <w:rPr>
                      <w:rFonts w:hint="eastAsia"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lang w:eastAsia="zh-CN"/>
                    </w:rPr>
                    <w:t>、关于预算部门构成说明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2021年我单位按照市财政预算公开要求，将所属预算单位全部纳入预算公开范围。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firstLine="1749" w:firstLineChars="396"/>
                    <w:jc w:val="left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第三部分名词解释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一、财政拨款收入：是指县级财政当年拨付的资金。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二、事业收入：是指事业单位开展专业活动及辅助活动所取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得的收入。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三、其他收入：是指部门取得的除“财政拨款”、“事业收入”、“事业单位经营收入”等以外的收入。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五、基本支出：是指为保障机构正常运转、完成日常工作任务所必需的开支，其内容包括人员经费和日常公用经费两部分。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六、项目支出：是指在基本支出之外，为完成特定的行政工作任务或事业发展目标所发生的支出。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“三公”经费：是指纳入县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  <w:lang w:eastAsia="zh-CN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</w:tc>
            </w:tr>
          </w:tbl>
          <w:p>
            <w:pPr>
              <w:widowControl/>
              <w:jc w:val="center"/>
              <w:rPr>
                <w:rFonts w:ascii="宋体" w:cs="宋体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atLeast"/>
          <w:tblCellSpacing w:w="0" w:type="dxa"/>
        </w:trPr>
        <w:tc>
          <w:tcPr>
            <w:tcW w:w="8306" w:type="dxa"/>
            <w:vAlign w:val="center"/>
          </w:tcPr>
          <w:p>
            <w:pPr>
              <w:widowControl/>
              <w:spacing w:line="360" w:lineRule="atLeast"/>
              <w:rPr>
                <w:rFonts w:ascii="宋体" w:cs="宋体"/>
                <w:color w:val="113F95"/>
                <w:kern w:val="0"/>
                <w:sz w:val="18"/>
                <w:szCs w:val="1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义启简黑体">
    <w:altName w:val="黑体"/>
    <w:panose1 w:val="02000000000000000000"/>
    <w:charset w:val="80"/>
    <w:family w:val="auto"/>
    <w:pitch w:val="default"/>
    <w:sig w:usb0="00000000" w:usb1="00000000" w:usb2="00000012" w:usb3="00000000" w:csb0="00020001" w:csb1="00000000"/>
  </w:font>
  <w:font w:name="方正仿宋简体">
    <w:altName w:val="微软雅黑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3C36B7"/>
    <w:multiLevelType w:val="singleLevel"/>
    <w:tmpl w:val="043C36B7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05B32"/>
    <w:rsid w:val="000509EE"/>
    <w:rsid w:val="00097292"/>
    <w:rsid w:val="000B07B0"/>
    <w:rsid w:val="000B457D"/>
    <w:rsid w:val="000D5B00"/>
    <w:rsid w:val="00103BDA"/>
    <w:rsid w:val="00104EA6"/>
    <w:rsid w:val="0011522E"/>
    <w:rsid w:val="00124075"/>
    <w:rsid w:val="0016038A"/>
    <w:rsid w:val="0019380A"/>
    <w:rsid w:val="001E02B5"/>
    <w:rsid w:val="001F41BB"/>
    <w:rsid w:val="00204691"/>
    <w:rsid w:val="00205DE7"/>
    <w:rsid w:val="00214A3E"/>
    <w:rsid w:val="002317F4"/>
    <w:rsid w:val="00292606"/>
    <w:rsid w:val="00332A05"/>
    <w:rsid w:val="00344DBB"/>
    <w:rsid w:val="003F3A7E"/>
    <w:rsid w:val="00460799"/>
    <w:rsid w:val="00463EE4"/>
    <w:rsid w:val="00494708"/>
    <w:rsid w:val="004B0DFE"/>
    <w:rsid w:val="004B589C"/>
    <w:rsid w:val="004E2EF8"/>
    <w:rsid w:val="00513F0B"/>
    <w:rsid w:val="00523C9F"/>
    <w:rsid w:val="005242B8"/>
    <w:rsid w:val="005316F4"/>
    <w:rsid w:val="00570C75"/>
    <w:rsid w:val="005B212E"/>
    <w:rsid w:val="005B6137"/>
    <w:rsid w:val="005C366B"/>
    <w:rsid w:val="006058CC"/>
    <w:rsid w:val="006570FE"/>
    <w:rsid w:val="00681AE7"/>
    <w:rsid w:val="0069348A"/>
    <w:rsid w:val="00693BCC"/>
    <w:rsid w:val="00694F49"/>
    <w:rsid w:val="006E552F"/>
    <w:rsid w:val="006F0A98"/>
    <w:rsid w:val="00727034"/>
    <w:rsid w:val="00755367"/>
    <w:rsid w:val="00821342"/>
    <w:rsid w:val="0084717D"/>
    <w:rsid w:val="00855D0A"/>
    <w:rsid w:val="008605B3"/>
    <w:rsid w:val="0086639E"/>
    <w:rsid w:val="008765DB"/>
    <w:rsid w:val="00897A23"/>
    <w:rsid w:val="008A7E83"/>
    <w:rsid w:val="008B7163"/>
    <w:rsid w:val="00910D73"/>
    <w:rsid w:val="009E6AA5"/>
    <w:rsid w:val="00A00397"/>
    <w:rsid w:val="00A67757"/>
    <w:rsid w:val="00A76192"/>
    <w:rsid w:val="00AA20FA"/>
    <w:rsid w:val="00AB49E3"/>
    <w:rsid w:val="00AD40D2"/>
    <w:rsid w:val="00AD552D"/>
    <w:rsid w:val="00B209DA"/>
    <w:rsid w:val="00B663E1"/>
    <w:rsid w:val="00B750A5"/>
    <w:rsid w:val="00B75977"/>
    <w:rsid w:val="00BA65AB"/>
    <w:rsid w:val="00BC00C8"/>
    <w:rsid w:val="00BD2281"/>
    <w:rsid w:val="00C05B32"/>
    <w:rsid w:val="00C10813"/>
    <w:rsid w:val="00C23A11"/>
    <w:rsid w:val="00C52262"/>
    <w:rsid w:val="00C77FC8"/>
    <w:rsid w:val="00C95304"/>
    <w:rsid w:val="00CA3C36"/>
    <w:rsid w:val="00CD621B"/>
    <w:rsid w:val="00CE0EF9"/>
    <w:rsid w:val="00CE4674"/>
    <w:rsid w:val="00D25EA5"/>
    <w:rsid w:val="00D86A69"/>
    <w:rsid w:val="00DA447D"/>
    <w:rsid w:val="00DB7CA9"/>
    <w:rsid w:val="00DC7878"/>
    <w:rsid w:val="00E50D81"/>
    <w:rsid w:val="00E715E9"/>
    <w:rsid w:val="00E94AFB"/>
    <w:rsid w:val="00F13DF9"/>
    <w:rsid w:val="00F177E9"/>
    <w:rsid w:val="00F36CC3"/>
    <w:rsid w:val="00FA0145"/>
    <w:rsid w:val="00FC4C8B"/>
    <w:rsid w:val="00FF533A"/>
    <w:rsid w:val="00FF76B3"/>
    <w:rsid w:val="011B40B3"/>
    <w:rsid w:val="01630D88"/>
    <w:rsid w:val="05732C89"/>
    <w:rsid w:val="06CF1683"/>
    <w:rsid w:val="07660A07"/>
    <w:rsid w:val="094949A6"/>
    <w:rsid w:val="10EF1A61"/>
    <w:rsid w:val="113A2488"/>
    <w:rsid w:val="126166B3"/>
    <w:rsid w:val="150378CE"/>
    <w:rsid w:val="164D2E6A"/>
    <w:rsid w:val="188C2EC6"/>
    <w:rsid w:val="1A9B0BEB"/>
    <w:rsid w:val="1B5A08D2"/>
    <w:rsid w:val="1D3F0FCA"/>
    <w:rsid w:val="1E260365"/>
    <w:rsid w:val="1EFF6041"/>
    <w:rsid w:val="275B318E"/>
    <w:rsid w:val="286B2865"/>
    <w:rsid w:val="288808FC"/>
    <w:rsid w:val="28DE1ED5"/>
    <w:rsid w:val="2A0D4EAE"/>
    <w:rsid w:val="2C08722C"/>
    <w:rsid w:val="2D3A0218"/>
    <w:rsid w:val="2D3F1ADB"/>
    <w:rsid w:val="2DCC46E4"/>
    <w:rsid w:val="2F30309C"/>
    <w:rsid w:val="315C77A5"/>
    <w:rsid w:val="34D7220F"/>
    <w:rsid w:val="35410C4E"/>
    <w:rsid w:val="35B92D77"/>
    <w:rsid w:val="365D094D"/>
    <w:rsid w:val="37B24FD4"/>
    <w:rsid w:val="3F4F31C0"/>
    <w:rsid w:val="41221875"/>
    <w:rsid w:val="414D6DC2"/>
    <w:rsid w:val="41FA132C"/>
    <w:rsid w:val="42504C65"/>
    <w:rsid w:val="42706261"/>
    <w:rsid w:val="441C6D6B"/>
    <w:rsid w:val="48A165C1"/>
    <w:rsid w:val="48D1412B"/>
    <w:rsid w:val="4C500A92"/>
    <w:rsid w:val="4E115458"/>
    <w:rsid w:val="4E7C34D3"/>
    <w:rsid w:val="51940FB7"/>
    <w:rsid w:val="521032D3"/>
    <w:rsid w:val="533C320C"/>
    <w:rsid w:val="539A4AC7"/>
    <w:rsid w:val="53FD1738"/>
    <w:rsid w:val="58CC19CD"/>
    <w:rsid w:val="59535F02"/>
    <w:rsid w:val="59ED2499"/>
    <w:rsid w:val="5AA07DB1"/>
    <w:rsid w:val="5ACD7399"/>
    <w:rsid w:val="5E53502F"/>
    <w:rsid w:val="5EEE7A77"/>
    <w:rsid w:val="60485843"/>
    <w:rsid w:val="62C76C78"/>
    <w:rsid w:val="6524404F"/>
    <w:rsid w:val="662962A3"/>
    <w:rsid w:val="66560652"/>
    <w:rsid w:val="674B730A"/>
    <w:rsid w:val="69AB1800"/>
    <w:rsid w:val="72502B1E"/>
    <w:rsid w:val="73B4206A"/>
    <w:rsid w:val="74BB1A68"/>
    <w:rsid w:val="7538437F"/>
    <w:rsid w:val="783138D0"/>
    <w:rsid w:val="79726C19"/>
    <w:rsid w:val="797F1D42"/>
    <w:rsid w:val="7D0A6673"/>
    <w:rsid w:val="7D69780E"/>
    <w:rsid w:val="7ED2074A"/>
    <w:rsid w:val="7EEB3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iPriority="1" w:name="Default Paragraph Font"/>
    <w:lsdException w:qFormat="1" w:unhideWhenUsed="0" w:uiPriority="99" w:semiHidden="0" w:name="Body Text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qFormat="1"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semiHidden="0" w:name="Balloon Text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2"/>
    <w:qFormat/>
    <w:uiPriority w:val="99"/>
    <w:rPr>
      <w:rFonts w:eastAsia="仿宋_GB2312"/>
      <w:sz w:val="28"/>
    </w:rPr>
  </w:style>
  <w:style w:type="paragraph" w:styleId="3">
    <w:name w:val="Balloon Text"/>
    <w:basedOn w:val="1"/>
    <w:link w:val="9"/>
    <w:qFormat/>
    <w:uiPriority w:val="99"/>
    <w:rPr>
      <w:sz w:val="18"/>
      <w:szCs w:val="18"/>
    </w:rPr>
  </w:style>
  <w:style w:type="paragraph" w:styleId="4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locked/>
    <w:uiPriority w:val="99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9">
    <w:name w:val="批注框文本 Char"/>
    <w:basedOn w:val="8"/>
    <w:link w:val="3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0">
    <w:name w:val="页脚 Char"/>
    <w:basedOn w:val="8"/>
    <w:link w:val="4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1">
    <w:name w:val="页眉 Char"/>
    <w:basedOn w:val="8"/>
    <w:link w:val="5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2">
    <w:name w:val="正文文本 Char"/>
    <w:basedOn w:val="8"/>
    <w:link w:val="2"/>
    <w:semiHidden/>
    <w:qFormat/>
    <w:locked/>
    <w:uiPriority w:val="99"/>
    <w:rPr>
      <w:rFonts w:cs="Times New Roman"/>
      <w:sz w:val="24"/>
      <w:szCs w:val="24"/>
    </w:rPr>
  </w:style>
  <w:style w:type="paragraph" w:customStyle="1" w:styleId="13">
    <w:name w:val="p1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8C01113-2084-4837-9110-B9A079FBB25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11</Pages>
  <Words>3674</Words>
  <Characters>593</Characters>
  <Lines>4</Lines>
  <Paragraphs>8</Paragraphs>
  <TotalTime>0</TotalTime>
  <ScaleCrop>false</ScaleCrop>
  <LinksUpToDate>false</LinksUpToDate>
  <CharactersWithSpaces>4259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2020-06-10T02:15:00Z</dcterms:created>
  <dc:creator>微软用户</dc:creator>
  <cp:lastModifiedBy>YOROYAL颜如玉  全球购</cp:lastModifiedBy>
  <cp:lastPrinted>2017-07-07T02:35:00Z</cp:lastPrinted>
  <dcterms:modified xsi:type="dcterms:W3CDTF">2021-11-16T02:33:07Z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25FC2A20CF42444E8A3A7EF4178ECD52</vt:lpwstr>
  </property>
</Properties>
</file>