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ind w:firstLine="480"/>
        <w:jc w:val="center"/>
        <w:rPr>
          <w:rFonts w:hint="eastAsia"/>
          <w:b/>
          <w:color w:val="auto"/>
          <w:sz w:val="36"/>
          <w:szCs w:val="20"/>
        </w:rPr>
      </w:pPr>
      <w:r>
        <w:rPr>
          <w:rFonts w:hint="eastAsia"/>
          <w:b/>
          <w:color w:val="auto"/>
          <w:sz w:val="36"/>
          <w:szCs w:val="20"/>
          <w:lang w:eastAsia="zh-CN"/>
        </w:rPr>
        <w:t>西华县城老城片区昆山路、棉麻巷、和谐路、滨河南路围合地块控制性详细规划</w:t>
      </w:r>
      <w:r>
        <w:rPr>
          <w:rFonts w:hint="eastAsia"/>
          <w:b/>
          <w:color w:val="auto"/>
          <w:sz w:val="36"/>
          <w:szCs w:val="20"/>
        </w:rPr>
        <w:t>公示</w:t>
      </w:r>
    </w:p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ind w:firstLine="480"/>
        <w:rPr>
          <w:rFonts w:hint="eastAsia"/>
          <w:color w:val="FF0000"/>
          <w:sz w:val="18"/>
          <w:szCs w:val="18"/>
        </w:rPr>
      </w:pPr>
      <w:r>
        <w:rPr>
          <w:rFonts w:hint="eastAsia"/>
          <w:color w:val="FF0000"/>
          <w:sz w:val="18"/>
          <w:szCs w:val="18"/>
        </w:rPr>
        <w:t> </w:t>
      </w:r>
    </w:p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为适应新时期新常态下西华县发展面临的新形势、新机遇和新挑战，推进新型城镇化，促进西华县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中心城区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经济社会全面、协调和可持续发展；落实百城提质工程，更好地指导各项建设活动，依据《中华人民共和国城乡规划法》，编制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《西华县城老城片区昆山路、棉麻巷、和谐路、滨河南路围合地块控制性详细规划》。</w:t>
      </w:r>
    </w:p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为提高规划的科学性和民主性，建立公众参与机制，根据《中华人民共和国城乡规划法》、《城市规划编制办法》和《河南省实施&lt;中华人民共和国城乡规划法&gt;办法》有关规定，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控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规报送审批前应进行公示，充分征求社会公众的意见，修改完善后报上级部门审批。现对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《西华县城老城片区昆山路、棉麻巷、和谐路、滨河南路围合地块控制性详细规划》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进行公示。欢迎社会各界人士积极参与，提出宝贵意见和建议。</w:t>
      </w:r>
    </w:p>
    <w:p>
      <w:pPr>
        <w:pStyle w:val="19"/>
        <w:spacing w:line="360" w:lineRule="auto"/>
        <w:ind w:firstLine="1280" w:firstLineChars="400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公示时间：2022年2月8日—3月10</w:t>
      </w:r>
      <w:bookmarkStart w:id="3" w:name="_GoBack"/>
      <w:bookmarkEnd w:id="3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日</w:t>
      </w:r>
    </w:p>
    <w:p>
      <w:pPr>
        <w:pStyle w:val="19"/>
        <w:spacing w:line="360" w:lineRule="auto"/>
        <w:ind w:firstLine="1280" w:firstLineChars="400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现场公示：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控规调整所在地</w:t>
      </w:r>
    </w:p>
    <w:p>
      <w:pPr>
        <w:pStyle w:val="19"/>
        <w:spacing w:line="360" w:lineRule="auto"/>
        <w:ind w:firstLine="1280" w:firstLineChars="400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网站公示：西华县人民政府网站</w:t>
      </w:r>
    </w:p>
    <w:p>
      <w:pPr>
        <w:ind w:firstLine="1292" w:firstLineChars="40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反馈方式：</w:t>
      </w:r>
      <w:r>
        <w:rPr>
          <w:rFonts w:hint="eastAsia" w:ascii="仿宋_GB2312" w:hAnsi="仿宋_GB2312" w:eastAsia="仿宋_GB2312" w:cs="仿宋_GB2312"/>
          <w:sz w:val="32"/>
          <w:szCs w:val="32"/>
        </w:rPr>
        <w:t>电子信箱xhcxgh@163.com</w:t>
      </w:r>
    </w:p>
    <w:p>
      <w:pPr>
        <w:ind w:firstLine="1292" w:firstLineChars="40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咨询电话：0394-2109221</w:t>
      </w:r>
    </w:p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rPr>
          <w:rFonts w:hint="eastAsia"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color w:val="FF0000"/>
          <w:sz w:val="32"/>
          <w:szCs w:val="32"/>
        </w:rPr>
        <w:t xml:space="preserve">  </w:t>
      </w:r>
    </w:p>
    <w:p>
      <w:pPr>
        <w:pStyle w:val="8"/>
        <w:shd w:val="clear" w:color="auto" w:fill="FFFFFF"/>
        <w:wordWrap w:val="0"/>
        <w:spacing w:before="0" w:beforeAutospacing="0" w:after="0" w:afterAutospacing="0" w:line="300" w:lineRule="atLeast"/>
        <w:rPr>
          <w:rFonts w:hint="eastAsia" w:ascii="仿宋" w:hAnsi="仿宋" w:eastAsia="仿宋" w:cs="仿宋"/>
          <w:b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</w:rPr>
        <w:t>规划成果内容公示如下：</w:t>
      </w:r>
      <w:r>
        <w:rPr>
          <w:rFonts w:hint="eastAsia" w:ascii="仿宋" w:hAnsi="仿宋" w:eastAsia="仿宋" w:cs="仿宋"/>
          <w:color w:val="FF0000"/>
          <w:sz w:val="32"/>
          <w:szCs w:val="32"/>
        </w:rPr>
        <w:br w:type="textWrapping"/>
      </w:r>
    </w:p>
    <w:p>
      <w:pPr>
        <w:spacing w:before="156" w:line="360" w:lineRule="auto"/>
        <w:ind w:firstLine="643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GB" w:eastAsia="zh-CN" w:bidi="ar-SA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color w:val="auto"/>
          <w:sz w:val="32"/>
          <w:szCs w:val="32"/>
        </w:rPr>
        <w:t>、 规划范围</w:t>
      </w:r>
      <w:r>
        <w:rPr>
          <w:rFonts w:hint="eastAsia" w:ascii="仿宋" w:hAnsi="仿宋" w:eastAsia="仿宋" w:cs="仿宋"/>
          <w:color w:val="auto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 xml:space="preserve"> 本次规划的范围：规划街区位于西华县老城片区东北部，规划范围控制在昆山路、棉麻巷、和谐路、滨河南路围合区域。</w:t>
      </w:r>
    </w:p>
    <w:p>
      <w:pPr>
        <w:pStyle w:val="8"/>
        <w:shd w:val="clear" w:color="auto" w:fill="FFFFFF"/>
        <w:wordWrap w:val="0"/>
        <w:spacing w:before="0" w:beforeAutospacing="0" w:after="0" w:afterAutospacing="0" w:line="360" w:lineRule="auto"/>
        <w:ind w:firstLine="643" w:firstLineChars="200"/>
        <w:rPr>
          <w:rFonts w:hint="eastAsia" w:ascii="仿宋" w:hAnsi="仿宋" w:eastAsia="仿宋" w:cs="仿宋"/>
          <w:b/>
          <w:color w:val="auto"/>
          <w:sz w:val="32"/>
          <w:szCs w:val="32"/>
          <w:lang w:val="en-GB" w:eastAsia="zh-CN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b/>
          <w:color w:val="auto"/>
          <w:sz w:val="32"/>
          <w:szCs w:val="32"/>
          <w:lang w:val="en-GB" w:eastAsia="zh-CN"/>
        </w:rPr>
        <w:t>、</w:t>
      </w: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用地规模</w:t>
      </w:r>
    </w:p>
    <w:p>
      <w:pPr>
        <w:spacing w:line="360" w:lineRule="auto"/>
        <w:ind w:firstLine="697" w:firstLineChars="218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GB" w:eastAsia="zh-CN" w:bidi="ar-SA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规划总用地面积约为约8.24公顷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GB" w:eastAsia="zh-CN" w:bidi="ar-SA"/>
        </w:rPr>
        <w:t>。</w:t>
      </w:r>
    </w:p>
    <w:p>
      <w:pPr>
        <w:numPr>
          <w:ilvl w:val="0"/>
          <w:numId w:val="0"/>
        </w:numPr>
        <w:autoSpaceDE w:val="0"/>
        <w:spacing w:line="360" w:lineRule="auto"/>
        <w:ind w:firstLine="643" w:firstLineChars="200"/>
        <w:jc w:val="left"/>
        <w:rPr>
          <w:rFonts w:hint="eastAsia" w:ascii="仿宋" w:hAnsi="仿宋" w:eastAsia="仿宋" w:cs="仿宋"/>
          <w:b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仿宋" w:hAnsi="仿宋" w:eastAsia="仿宋" w:cs="仿宋"/>
          <w:b/>
          <w:color w:val="auto"/>
          <w:sz w:val="32"/>
          <w:szCs w:val="32"/>
          <w:lang w:eastAsia="zh-CN"/>
        </w:rPr>
        <w:t>空间结构布局</w:t>
      </w:r>
    </w:p>
    <w:p>
      <w:pPr>
        <w:widowControl/>
        <w:shd w:val="clear" w:color="auto" w:fill="FFFFFF"/>
        <w:spacing w:line="360" w:lineRule="auto"/>
        <w:ind w:firstLine="420"/>
        <w:jc w:val="left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依据《河南省西华县城乡总体规划（2016—2030年）》，综合考虑西华县未来城市发展方向、现状城市建设、河流水系等情况，规划确定西华县中心城区形成“双心双轴、七区多点”的空间结构。规划范围位于“中部核心片区”中的老城生活片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 w:val="0"/>
        <w:autoSpaceDN/>
        <w:bidi w:val="0"/>
        <w:adjustRightInd/>
        <w:snapToGrid/>
        <w:spacing w:line="360" w:lineRule="auto"/>
        <w:ind w:firstLine="643" w:firstLineChars="200"/>
        <w:jc w:val="left"/>
        <w:textAlignment w:val="auto"/>
        <w:outlineLvl w:val="9"/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2"/>
          <w:szCs w:val="32"/>
          <w:lang w:val="en-US" w:eastAsia="zh-CN"/>
        </w:rPr>
        <w:t>四、用地布局</w:t>
      </w:r>
    </w:p>
    <w:p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N/>
        <w:bidi w:val="0"/>
        <w:adjustRightInd/>
        <w:snapToGrid/>
        <w:spacing w:line="360" w:lineRule="auto"/>
        <w:ind w:firstLine="420"/>
        <w:jc w:val="left"/>
        <w:textAlignment w:val="auto"/>
        <w:outlineLvl w:val="9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bookmarkStart w:id="0" w:name="OLE_LINK40"/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规划范围</w:t>
      </w:r>
      <w:bookmarkEnd w:id="0"/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项目共分为2个地块，其用地性质包括二类城镇住宅用地（070102）和城镇道路用地（1207）。</w:t>
      </w:r>
    </w:p>
    <w:p>
      <w:pPr>
        <w:pStyle w:val="8"/>
        <w:keepNext w:val="0"/>
        <w:keepLines w:val="0"/>
        <w:pageBreakBefore w:val="0"/>
        <w:shd w:val="clear" w:color="auto" w:fill="FFFFFF"/>
        <w:kinsoku/>
        <w:wordWrap w:val="0"/>
        <w:overflowPunct/>
        <w:topLinePunct w:val="0"/>
        <w:autoSpaceDN/>
        <w:bidi w:val="0"/>
        <w:adjustRightInd/>
        <w:snapToGrid/>
        <w:spacing w:before="0" w:beforeAutospacing="0" w:after="0" w:afterAutospacing="0" w:line="360" w:lineRule="auto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color w:val="auto"/>
          <w:kern w:val="2"/>
          <w:sz w:val="32"/>
          <w:szCs w:val="32"/>
          <w:lang w:val="en-US" w:eastAsia="zh-CN" w:bidi="ar-SA"/>
        </w:rPr>
        <w:t>五、道路系统</w:t>
      </w:r>
    </w:p>
    <w:p>
      <w:pPr>
        <w:spacing w:line="360" w:lineRule="auto"/>
        <w:ind w:firstLine="697" w:firstLineChars="218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bookmarkStart w:id="1" w:name="OLE_LINK7"/>
      <w:bookmarkStart w:id="2" w:name="OLE_LINK4"/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规划范围内主要道路有城市次干路和城市支路，昆山路为城市次干路，道路红线宽度为27米；滨河南路为城市次干路，道路红线宽度为20米；和谐路为城市支路，道路红线宽度为20米；棉麻巷为城市支路，道路红线宽度为15米。</w:t>
      </w:r>
    </w:p>
    <w:bookmarkEnd w:id="1"/>
    <w:bookmarkEnd w:id="2"/>
    <w:p>
      <w:pPr>
        <w:spacing w:line="360" w:lineRule="auto"/>
        <w:ind w:firstLine="697" w:firstLineChars="218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附表</w:t>
      </w:r>
    </w:p>
    <w:p>
      <w:pPr>
        <w:adjustRightInd w:val="0"/>
        <w:snapToGrid w:val="0"/>
        <w:spacing w:line="360" w:lineRule="auto"/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规划地块用地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统计</w:t>
      </w:r>
      <w:r>
        <w:rPr>
          <w:rFonts w:hint="eastAsia" w:ascii="仿宋" w:hAnsi="仿宋" w:eastAsia="仿宋" w:cs="仿宋"/>
          <w:sz w:val="32"/>
          <w:szCs w:val="32"/>
        </w:rPr>
        <w:t>表</w:t>
      </w:r>
    </w:p>
    <w:tbl>
      <w:tblPr>
        <w:tblStyle w:val="9"/>
        <w:tblW w:w="8500" w:type="dxa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"/>
        <w:gridCol w:w="11"/>
        <w:gridCol w:w="990"/>
        <w:gridCol w:w="2693"/>
        <w:gridCol w:w="1843"/>
        <w:gridCol w:w="19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用地代码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用地性质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用地面积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（公顷）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比例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9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0701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城镇住宅用地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6.99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84.83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其中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  <w:t>070102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eastAsia="zh-CN"/>
              </w:rPr>
              <w:t>二类城镇住宅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用地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32"/>
                <w:szCs w:val="32"/>
                <w:lang w:val="en-US" w:eastAsia="zh-CN"/>
              </w:rPr>
              <w:t>6.99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32"/>
                <w:szCs w:val="32"/>
                <w:lang w:val="en-US" w:eastAsia="zh-CN"/>
              </w:rPr>
              <w:t>84.83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9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eastAsia="zh-CN"/>
              </w:rPr>
              <w:t>交通运输用地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1.25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15.17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其中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  <w:t>1207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eastAsia="zh-CN"/>
              </w:rPr>
              <w:t>城镇道路用地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  <w:t>1.25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/>
              </w:rPr>
              <w:t>15.17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总规划用地面积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8.24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100.00%</w:t>
            </w:r>
          </w:p>
        </w:tc>
      </w:tr>
    </w:tbl>
    <w:p>
      <w:pPr>
        <w:jc w:val="center"/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控制性详细规划指标一览表</w:t>
      </w:r>
    </w:p>
    <w:tbl>
      <w:tblPr>
        <w:tblStyle w:val="9"/>
        <w:tblW w:w="93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5"/>
        <w:gridCol w:w="1348"/>
        <w:gridCol w:w="938"/>
        <w:gridCol w:w="1256"/>
        <w:gridCol w:w="956"/>
        <w:gridCol w:w="957"/>
        <w:gridCol w:w="862"/>
        <w:gridCol w:w="994"/>
        <w:gridCol w:w="14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</w:trPr>
        <w:tc>
          <w:tcPr>
            <w:tcW w:w="5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类型</w:t>
            </w:r>
          </w:p>
        </w:tc>
        <w:tc>
          <w:tcPr>
            <w:tcW w:w="134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地块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编码</w:t>
            </w:r>
          </w:p>
        </w:tc>
        <w:tc>
          <w:tcPr>
            <w:tcW w:w="93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代码</w:t>
            </w:r>
          </w:p>
        </w:tc>
        <w:tc>
          <w:tcPr>
            <w:tcW w:w="125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用地面积（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㎡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）</w:t>
            </w:r>
          </w:p>
        </w:tc>
        <w:tc>
          <w:tcPr>
            <w:tcW w:w="95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容积率</w:t>
            </w:r>
          </w:p>
        </w:tc>
        <w:tc>
          <w:tcPr>
            <w:tcW w:w="95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建筑密度（%）</w:t>
            </w:r>
          </w:p>
        </w:tc>
        <w:tc>
          <w:tcPr>
            <w:tcW w:w="86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建筑高度（m）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绿地率（%）</w:t>
            </w:r>
          </w:p>
        </w:tc>
        <w:tc>
          <w:tcPr>
            <w:tcW w:w="149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停车位指标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5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控制指标</w:t>
            </w:r>
          </w:p>
        </w:tc>
        <w:tc>
          <w:tcPr>
            <w:tcW w:w="1348" w:type="dxa"/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F-02-01</w:t>
            </w:r>
          </w:p>
        </w:tc>
        <w:tc>
          <w:tcPr>
            <w:tcW w:w="938" w:type="dxa"/>
            <w:noWrap w:val="0"/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070102</w:t>
            </w:r>
          </w:p>
        </w:tc>
        <w:tc>
          <w:tcPr>
            <w:tcW w:w="125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69870.56</w:t>
            </w:r>
          </w:p>
        </w:tc>
        <w:tc>
          <w:tcPr>
            <w:tcW w:w="95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≤1.8</w:t>
            </w:r>
          </w:p>
        </w:tc>
        <w:tc>
          <w:tcPr>
            <w:tcW w:w="95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≤30</w:t>
            </w:r>
          </w:p>
        </w:tc>
        <w:tc>
          <w:tcPr>
            <w:tcW w:w="86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≤54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≥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35</w:t>
            </w:r>
          </w:p>
        </w:tc>
        <w:tc>
          <w:tcPr>
            <w:tcW w:w="149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1.0个/户、1.0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个/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100㎡商业建筑面积</w:t>
            </w:r>
          </w:p>
        </w:tc>
      </w:tr>
    </w:tbl>
    <w:p>
      <w:pPr>
        <w:spacing w:line="360" w:lineRule="auto"/>
        <w:ind w:firstLine="360" w:firstLineChars="200"/>
        <w:rPr>
          <w:rFonts w:hint="eastAsia" w:asciiTheme="minorEastAsia" w:hAnsiTheme="minorEastAsia" w:eastAsiaTheme="minorEastAsia" w:cstheme="minorEastAsia"/>
          <w:color w:val="auto"/>
          <w:sz w:val="18"/>
          <w:szCs w:val="1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814969"/>
    <w:multiLevelType w:val="multilevel"/>
    <w:tmpl w:val="14814969"/>
    <w:lvl w:ilvl="0" w:tentative="0">
      <w:start w:val="1"/>
      <w:numFmt w:val="chineseCountingThousand"/>
      <w:pStyle w:val="3"/>
      <w:lvlText w:val="第%1章"/>
      <w:lvlJc w:val="left"/>
      <w:pPr>
        <w:ind w:left="420" w:hanging="420"/>
      </w:pPr>
      <w:rPr>
        <w:rFonts w:hint="eastAsia" w:cs="Times New Roman"/>
      </w:rPr>
    </w:lvl>
    <w:lvl w:ilvl="1" w:tentative="0">
      <w:start w:val="3"/>
      <w:numFmt w:val="japaneseCounting"/>
      <w:lvlText w:val="第%2节"/>
      <w:lvlJc w:val="left"/>
      <w:pPr>
        <w:tabs>
          <w:tab w:val="left" w:pos="1500"/>
        </w:tabs>
        <w:ind w:left="1500" w:hanging="108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2F4C22E0"/>
    <w:multiLevelType w:val="multilevel"/>
    <w:tmpl w:val="2F4C22E0"/>
    <w:lvl w:ilvl="0" w:tentative="0">
      <w:start w:val="1"/>
      <w:numFmt w:val="decimal"/>
      <w:pStyle w:val="6"/>
      <w:lvlText w:val="第%1条"/>
      <w:lvlJc w:val="left"/>
      <w:pPr>
        <w:ind w:left="4531" w:hanging="420"/>
      </w:pPr>
      <w:rPr>
        <w:rFonts w:hint="eastAsia" w:cs="Times New Roman"/>
      </w:rPr>
    </w:lvl>
    <w:lvl w:ilvl="1" w:tentative="0">
      <w:start w:val="1"/>
      <w:numFmt w:val="japaneseCounting"/>
      <w:lvlText w:val="第%2节"/>
      <w:lvlJc w:val="left"/>
      <w:pPr>
        <w:tabs>
          <w:tab w:val="left" w:pos="1500"/>
        </w:tabs>
        <w:ind w:left="1500" w:hanging="108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184"/>
    <w:rsid w:val="001C6FBA"/>
    <w:rsid w:val="002C46E3"/>
    <w:rsid w:val="00320184"/>
    <w:rsid w:val="003B7B55"/>
    <w:rsid w:val="00516EFC"/>
    <w:rsid w:val="00614EE2"/>
    <w:rsid w:val="0066085E"/>
    <w:rsid w:val="008A2296"/>
    <w:rsid w:val="00986FC1"/>
    <w:rsid w:val="009C65F9"/>
    <w:rsid w:val="00A771AD"/>
    <w:rsid w:val="00F638CD"/>
    <w:rsid w:val="03AA7B1A"/>
    <w:rsid w:val="041D40A7"/>
    <w:rsid w:val="058840E2"/>
    <w:rsid w:val="0C3C512B"/>
    <w:rsid w:val="0D252E5C"/>
    <w:rsid w:val="0DDB4734"/>
    <w:rsid w:val="0EDF4CCD"/>
    <w:rsid w:val="18BA34BD"/>
    <w:rsid w:val="1AED1C99"/>
    <w:rsid w:val="1EE958B4"/>
    <w:rsid w:val="233F7AA7"/>
    <w:rsid w:val="25A84FA0"/>
    <w:rsid w:val="266119FF"/>
    <w:rsid w:val="28FE1002"/>
    <w:rsid w:val="295E4F2D"/>
    <w:rsid w:val="2D550B30"/>
    <w:rsid w:val="354D58C2"/>
    <w:rsid w:val="35C60F6C"/>
    <w:rsid w:val="367E087D"/>
    <w:rsid w:val="39B267C0"/>
    <w:rsid w:val="3B1C261B"/>
    <w:rsid w:val="430641A9"/>
    <w:rsid w:val="43A26CC6"/>
    <w:rsid w:val="44CA121D"/>
    <w:rsid w:val="50FB0BD7"/>
    <w:rsid w:val="542F0764"/>
    <w:rsid w:val="556D0CE2"/>
    <w:rsid w:val="565B2784"/>
    <w:rsid w:val="57C9236B"/>
    <w:rsid w:val="5ACF4691"/>
    <w:rsid w:val="5D463DC5"/>
    <w:rsid w:val="5EE551CA"/>
    <w:rsid w:val="614E55D5"/>
    <w:rsid w:val="67206FD9"/>
    <w:rsid w:val="6A81640C"/>
    <w:rsid w:val="6DB21209"/>
    <w:rsid w:val="6E933D65"/>
    <w:rsid w:val="6F2D135E"/>
    <w:rsid w:val="77EA4D55"/>
    <w:rsid w:val="78D65169"/>
    <w:rsid w:val="7E05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14"/>
    <w:qFormat/>
    <w:uiPriority w:val="9"/>
    <w:pPr>
      <w:keepNext/>
      <w:keepLines/>
      <w:numPr>
        <w:ilvl w:val="0"/>
        <w:numId w:val="1"/>
      </w:numPr>
      <w:spacing w:before="156" w:beforeLines="50" w:after="200" w:line="500" w:lineRule="exact"/>
      <w:jc w:val="center"/>
      <w:outlineLvl w:val="0"/>
    </w:pPr>
    <w:rPr>
      <w:rFonts w:ascii="Calibri" w:hAnsi="Calibri" w:eastAsia="黑体" w:cs="Times New Roman"/>
      <w:bCs/>
      <w:kern w:val="44"/>
      <w:sz w:val="36"/>
      <w:szCs w:val="44"/>
    </w:rPr>
  </w:style>
  <w:style w:type="paragraph" w:styleId="4">
    <w:name w:val="heading 2"/>
    <w:basedOn w:val="1"/>
    <w:next w:val="5"/>
    <w:qFormat/>
    <w:uiPriority w:val="0"/>
    <w:pPr>
      <w:keepNext/>
      <w:keepLines/>
      <w:spacing w:before="100" w:after="100" w:line="500" w:lineRule="exact"/>
      <w:ind w:left="105" w:leftChars="50"/>
      <w:outlineLvl w:val="1"/>
    </w:pPr>
    <w:rPr>
      <w:rFonts w:ascii="黑体" w:hAnsi="宋体" w:eastAsia="黑体"/>
      <w:bCs/>
      <w:sz w:val="24"/>
      <w:lang w:val="en-GB"/>
    </w:rPr>
  </w:style>
  <w:style w:type="paragraph" w:styleId="6">
    <w:name w:val="heading 3"/>
    <w:basedOn w:val="1"/>
    <w:next w:val="1"/>
    <w:link w:val="12"/>
    <w:qFormat/>
    <w:uiPriority w:val="0"/>
    <w:pPr>
      <w:keepNext/>
      <w:keepLines/>
      <w:numPr>
        <w:ilvl w:val="0"/>
        <w:numId w:val="2"/>
      </w:numPr>
      <w:spacing w:before="200" w:line="440" w:lineRule="exact"/>
      <w:outlineLvl w:val="2"/>
    </w:pPr>
    <w:rPr>
      <w:rFonts w:ascii="Calibri" w:hAnsi="Calibri" w:eastAsia="宋体" w:cs="Times New Roman"/>
      <w:bCs/>
      <w:sz w:val="24"/>
      <w:szCs w:val="32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正文001 + 首行缩进:  2 字符1"/>
    <w:basedOn w:val="1"/>
    <w:qFormat/>
    <w:uiPriority w:val="0"/>
    <w:pPr>
      <w:spacing w:before="60" w:line="460" w:lineRule="exact"/>
      <w:ind w:firstLine="480" w:firstLineChars="200"/>
    </w:pPr>
    <w:rPr>
      <w:rFonts w:ascii="宋体" w:hAnsi="宋体"/>
      <w:sz w:val="24"/>
      <w:szCs w:val="22"/>
    </w:rPr>
  </w:style>
  <w:style w:type="paragraph" w:styleId="5">
    <w:name w:val="Normal Indent"/>
    <w:basedOn w:val="1"/>
    <w:qFormat/>
    <w:uiPriority w:val="0"/>
    <w:pPr>
      <w:ind w:firstLine="420" w:firstLineChars="200"/>
    </w:pPr>
  </w:style>
  <w:style w:type="paragraph" w:styleId="7">
    <w:name w:val="Balloon Text"/>
    <w:basedOn w:val="1"/>
    <w:link w:val="15"/>
    <w:unhideWhenUsed/>
    <w:qFormat/>
    <w:uiPriority w:val="99"/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1">
    <w:name w:val="Hyperlink"/>
    <w:basedOn w:val="10"/>
    <w:unhideWhenUsed/>
    <w:qFormat/>
    <w:uiPriority w:val="99"/>
    <w:rPr>
      <w:color w:val="0000FF"/>
      <w:u w:val="single"/>
    </w:rPr>
  </w:style>
  <w:style w:type="character" w:customStyle="1" w:styleId="12">
    <w:name w:val="标题 3 Char"/>
    <w:basedOn w:val="10"/>
    <w:link w:val="6"/>
    <w:qFormat/>
    <w:uiPriority w:val="0"/>
    <w:rPr>
      <w:rFonts w:ascii="Calibri" w:hAnsi="Calibri" w:eastAsia="宋体" w:cs="Times New Roman"/>
      <w:bCs/>
      <w:sz w:val="24"/>
      <w:szCs w:val="32"/>
    </w:rPr>
  </w:style>
  <w:style w:type="paragraph" w:customStyle="1" w:styleId="13">
    <w:name w:val="样式 样式 四号 行距: 固定值 24 磅 左  4.28 字符 + 左侧:  4.28 字符"/>
    <w:basedOn w:val="1"/>
    <w:qFormat/>
    <w:uiPriority w:val="0"/>
    <w:pPr>
      <w:spacing w:line="480" w:lineRule="exact"/>
      <w:ind w:left="899" w:leftChars="428"/>
    </w:pPr>
    <w:rPr>
      <w:rFonts w:ascii="Times New Roman" w:hAnsi="Times New Roman" w:eastAsia="宋体" w:cs="Times New Roman"/>
      <w:sz w:val="24"/>
      <w:szCs w:val="20"/>
    </w:rPr>
  </w:style>
  <w:style w:type="character" w:customStyle="1" w:styleId="14">
    <w:name w:val="标题 1 Char"/>
    <w:basedOn w:val="10"/>
    <w:link w:val="3"/>
    <w:qFormat/>
    <w:uiPriority w:val="9"/>
    <w:rPr>
      <w:rFonts w:ascii="Calibri" w:hAnsi="Calibri" w:eastAsia="黑体" w:cs="Times New Roman"/>
      <w:bCs/>
      <w:kern w:val="44"/>
      <w:sz w:val="36"/>
      <w:szCs w:val="44"/>
    </w:rPr>
  </w:style>
  <w:style w:type="character" w:customStyle="1" w:styleId="15">
    <w:name w:val="批注框文本 Char"/>
    <w:basedOn w:val="10"/>
    <w:link w:val="7"/>
    <w:semiHidden/>
    <w:qFormat/>
    <w:uiPriority w:val="99"/>
    <w:rPr>
      <w:sz w:val="18"/>
      <w:szCs w:val="18"/>
    </w:rPr>
  </w:style>
  <w:style w:type="paragraph" w:customStyle="1" w:styleId="16">
    <w:name w:val="标题2"/>
    <w:basedOn w:val="4"/>
    <w:qFormat/>
    <w:uiPriority w:val="0"/>
    <w:pPr>
      <w:numPr>
        <w:ilvl w:val="1"/>
        <w:numId w:val="0"/>
      </w:numPr>
      <w:spacing w:before="50" w:beforeLines="50" w:after="0" w:line="240" w:lineRule="auto"/>
      <w:ind w:firstLine="164" w:firstLineChars="164"/>
      <w:jc w:val="left"/>
    </w:pPr>
    <w:rPr>
      <w:szCs w:val="28"/>
    </w:rPr>
  </w:style>
  <w:style w:type="paragraph" w:customStyle="1" w:styleId="17">
    <w:name w:val="样式2"/>
    <w:basedOn w:val="1"/>
    <w:qFormat/>
    <w:uiPriority w:val="0"/>
    <w:pPr>
      <w:spacing w:line="360" w:lineRule="auto"/>
      <w:ind w:firstLine="538" w:firstLineChars="192"/>
      <w:jc w:val="left"/>
    </w:pPr>
    <w:rPr>
      <w:rFonts w:ascii="宋体" w:hAnsi="宋体"/>
      <w:sz w:val="28"/>
      <w:szCs w:val="28"/>
    </w:rPr>
  </w:style>
  <w:style w:type="paragraph" w:customStyle="1" w:styleId="18">
    <w:name w:val="Table Paragraph"/>
    <w:basedOn w:val="1"/>
    <w:qFormat/>
    <w:uiPriority w:val="1"/>
    <w:pPr>
      <w:spacing w:before="98"/>
      <w:jc w:val="center"/>
    </w:pPr>
    <w:rPr>
      <w:rFonts w:ascii="宋体" w:hAnsi="宋体" w:eastAsia="宋体" w:cs="宋体"/>
      <w:lang w:val="zh-CN" w:eastAsia="zh-CN" w:bidi="zh-CN"/>
    </w:rPr>
  </w:style>
  <w:style w:type="paragraph" w:customStyle="1" w:styleId="19">
    <w:name w:val="样式 段前: 7.8 磅"/>
    <w:basedOn w:val="1"/>
    <w:qFormat/>
    <w:uiPriority w:val="0"/>
    <w:pPr>
      <w:ind w:firstLine="200" w:firstLineChars="200"/>
    </w:pPr>
    <w:rPr>
      <w:rFonts w:cs="宋体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454</Words>
  <Characters>2588</Characters>
  <Lines>21</Lines>
  <Paragraphs>6</Paragraphs>
  <TotalTime>2</TotalTime>
  <ScaleCrop>false</ScaleCrop>
  <LinksUpToDate>false</LinksUpToDate>
  <CharactersWithSpaces>3036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2017-08-02T02:16:00Z</dcterms:created>
  <dc:creator>AutoBVT</dc:creator>
  <cp:lastModifiedBy>pc</cp:lastModifiedBy>
  <dcterms:modified xsi:type="dcterms:W3CDTF">2022-03-22T01:12:00Z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D2903C54921A4DD18E0674FA86EBAD84</vt:lpwstr>
  </property>
</Properties>
</file>