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shd w:val="clear" w:color="auto" w:fill="FFFFFF"/>
        <w:wordWrap w:val="0"/>
        <w:spacing w:before="0" w:beforeAutospacing="0" w:after="0" w:afterAutospacing="0" w:line="300" w:lineRule="atLeast"/>
        <w:ind w:firstLine="480"/>
        <w:jc w:val="center"/>
        <w:rPr>
          <w:rFonts w:hint="eastAsia"/>
          <w:b/>
          <w:color w:val="auto"/>
          <w:sz w:val="40"/>
          <w:szCs w:val="21"/>
          <w:lang w:eastAsia="zh-CN"/>
        </w:rPr>
      </w:pPr>
      <w:r>
        <w:rPr>
          <w:rFonts w:hint="eastAsia"/>
          <w:b/>
          <w:color w:val="auto"/>
          <w:sz w:val="40"/>
          <w:szCs w:val="21"/>
          <w:lang w:val="en-US" w:eastAsia="zh-CN"/>
        </w:rPr>
        <w:t>西华县城老城片区F-02地块</w:t>
      </w:r>
      <w:r>
        <w:rPr>
          <w:rFonts w:hint="eastAsia"/>
          <w:b/>
          <w:color w:val="auto"/>
          <w:sz w:val="40"/>
          <w:szCs w:val="21"/>
          <w:lang w:eastAsia="zh-CN"/>
        </w:rPr>
        <w:t>控制性详细规划</w:t>
      </w:r>
    </w:p>
    <w:p>
      <w:pPr>
        <w:pStyle w:val="7"/>
        <w:shd w:val="clear" w:color="auto" w:fill="FFFFFF"/>
        <w:wordWrap w:val="0"/>
        <w:spacing w:before="0" w:beforeAutospacing="0" w:after="0" w:afterAutospacing="0" w:line="300" w:lineRule="atLeast"/>
        <w:ind w:firstLine="480"/>
        <w:jc w:val="center"/>
        <w:rPr>
          <w:rFonts w:hint="eastAsia"/>
          <w:b/>
          <w:color w:val="auto"/>
          <w:sz w:val="32"/>
          <w:szCs w:val="18"/>
        </w:rPr>
      </w:pPr>
      <w:r>
        <w:rPr>
          <w:rFonts w:hint="eastAsia"/>
          <w:b/>
          <w:color w:val="auto"/>
          <w:sz w:val="40"/>
          <w:szCs w:val="21"/>
          <w:lang w:eastAsia="zh-CN"/>
        </w:rPr>
        <w:t>调整论证报告公示</w:t>
      </w:r>
      <w:r>
        <w:rPr>
          <w:rFonts w:hint="eastAsia"/>
          <w:b/>
          <w:color w:val="auto"/>
          <w:sz w:val="32"/>
          <w:szCs w:val="18"/>
          <w:lang w:eastAsia="zh-CN"/>
        </w:rPr>
        <w:t xml:space="preserve"> </w:t>
      </w:r>
    </w:p>
    <w:p>
      <w:pPr>
        <w:pStyle w:val="17"/>
        <w:spacing w:line="360" w:lineRule="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为提高规划的科学性和民主性，建立公众参与机制，根据《中华人民共和国城乡规划法》、《城市规划编制办法》和《河南省实施&lt;中华人民共和国城乡规划法&gt;办法》有关规定，控规报送审批前应进行公示，充分征求社会公众的意见，修改完善后报上级部门审批。现对《西华县城老城片区F-02地块</w:t>
      </w:r>
      <w:r>
        <w:rPr>
          <w:rFonts w:hint="eastAsia" w:ascii="仿宋_GB2312" w:hAnsi="仿宋_GB2312" w:eastAsia="仿宋_GB2312" w:cs="仿宋_GB2312"/>
          <w:sz w:val="32"/>
          <w:szCs w:val="32"/>
        </w:rPr>
        <w:t>控制性详细规划调整论证报告</w:t>
      </w:r>
      <w:r>
        <w:rPr>
          <w:rFonts w:hint="eastAsia" w:ascii="仿宋" w:hAnsi="仿宋" w:eastAsia="仿宋" w:cs="仿宋"/>
          <w:b w:val="0"/>
          <w:bCs w:val="0"/>
          <w:kern w:val="2"/>
          <w:sz w:val="32"/>
          <w:szCs w:val="32"/>
          <w:lang w:val="en-US" w:eastAsia="zh-CN" w:bidi="ar-SA"/>
        </w:rPr>
        <w:t>》进行公示。欢迎社会各界人士积极参与，提出宝贵意见和建议。</w:t>
      </w:r>
    </w:p>
    <w:p>
      <w:pPr>
        <w:pStyle w:val="17"/>
        <w:spacing w:line="360" w:lineRule="auto"/>
        <w:ind w:firstLine="1280" w:firstLineChars="400"/>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公示时间：2021年12月27日—2022年1月26</w:t>
      </w:r>
      <w:bookmarkStart w:id="0" w:name="_GoBack"/>
      <w:bookmarkEnd w:id="0"/>
      <w:r>
        <w:rPr>
          <w:rFonts w:hint="eastAsia" w:ascii="仿宋" w:hAnsi="仿宋" w:eastAsia="仿宋" w:cs="仿宋"/>
          <w:b w:val="0"/>
          <w:bCs w:val="0"/>
          <w:kern w:val="2"/>
          <w:sz w:val="32"/>
          <w:szCs w:val="32"/>
          <w:lang w:val="en-US" w:eastAsia="zh-CN" w:bidi="ar-SA"/>
        </w:rPr>
        <w:t>日</w:t>
      </w:r>
    </w:p>
    <w:p>
      <w:pPr>
        <w:pStyle w:val="17"/>
        <w:spacing w:line="360" w:lineRule="auto"/>
        <w:ind w:firstLine="1280" w:firstLineChars="400"/>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现场公示：</w:t>
      </w:r>
      <w:r>
        <w:rPr>
          <w:rFonts w:hint="eastAsia" w:ascii="仿宋_GB2312" w:hAnsi="仿宋_GB2312" w:eastAsia="仿宋_GB2312" w:cs="仿宋_GB2312"/>
          <w:color w:val="auto"/>
          <w:sz w:val="32"/>
          <w:szCs w:val="32"/>
          <w:lang w:val="en-US" w:eastAsia="zh-CN"/>
        </w:rPr>
        <w:t>控规调整所在地</w:t>
      </w:r>
    </w:p>
    <w:p>
      <w:pPr>
        <w:pStyle w:val="17"/>
        <w:spacing w:line="360" w:lineRule="auto"/>
        <w:ind w:firstLine="1280" w:firstLineChars="400"/>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网站公示：西华县人民政府网站</w:t>
      </w:r>
    </w:p>
    <w:p>
      <w:pPr>
        <w:ind w:firstLine="1292" w:firstLineChars="404"/>
        <w:rPr>
          <w:rFonts w:hint="eastAsia" w:ascii="仿宋_GB2312" w:hAnsi="仿宋_GB2312" w:eastAsia="仿宋_GB2312" w:cs="仿宋_GB2312"/>
          <w:sz w:val="32"/>
          <w:szCs w:val="32"/>
        </w:rPr>
      </w:pPr>
      <w:r>
        <w:rPr>
          <w:rFonts w:hint="eastAsia" w:ascii="仿宋" w:hAnsi="仿宋" w:eastAsia="仿宋" w:cs="仿宋"/>
          <w:b w:val="0"/>
          <w:bCs w:val="0"/>
          <w:kern w:val="2"/>
          <w:sz w:val="32"/>
          <w:szCs w:val="32"/>
          <w:lang w:val="en-US" w:eastAsia="zh-CN" w:bidi="ar-SA"/>
        </w:rPr>
        <w:t>反馈方式：</w:t>
      </w:r>
      <w:r>
        <w:rPr>
          <w:rFonts w:hint="eastAsia" w:ascii="仿宋_GB2312" w:hAnsi="仿宋_GB2312" w:eastAsia="仿宋_GB2312" w:cs="仿宋_GB2312"/>
          <w:sz w:val="32"/>
          <w:szCs w:val="32"/>
        </w:rPr>
        <w:t>电子信箱xhcxgh@163.com</w:t>
      </w:r>
    </w:p>
    <w:p>
      <w:pPr>
        <w:ind w:firstLine="1292" w:firstLineChars="40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咨询电话：0394-2109221</w:t>
      </w:r>
    </w:p>
    <w:p>
      <w:pPr>
        <w:numPr>
          <w:ilvl w:val="0"/>
          <w:numId w:val="0"/>
        </w:numPr>
        <w:rPr>
          <w:rFonts w:hint="eastAsia" w:ascii="仿宋" w:hAnsi="仿宋" w:eastAsia="仿宋" w:cs="仿宋"/>
          <w:b/>
          <w:bCs/>
          <w:sz w:val="32"/>
          <w:szCs w:val="32"/>
        </w:rPr>
      </w:pPr>
      <w:r>
        <w:rPr>
          <w:rFonts w:hint="eastAsia" w:ascii="仿宋" w:hAnsi="仿宋" w:eastAsia="仿宋" w:cs="仿宋"/>
          <w:b/>
          <w:bCs/>
          <w:sz w:val="32"/>
          <w:szCs w:val="32"/>
          <w:lang w:val="en-US" w:eastAsia="zh-CN"/>
        </w:rPr>
        <w:t>1、</w:t>
      </w:r>
      <w:r>
        <w:rPr>
          <w:rFonts w:hint="eastAsia" w:ascii="仿宋" w:hAnsi="仿宋" w:eastAsia="仿宋" w:cs="仿宋"/>
          <w:b/>
          <w:bCs/>
          <w:sz w:val="32"/>
          <w:szCs w:val="32"/>
        </w:rPr>
        <w:t>地块位置及现状情况</w:t>
      </w:r>
    </w:p>
    <w:p>
      <w:pPr>
        <w:pStyle w:val="7"/>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360" w:lineRule="auto"/>
        <w:ind w:left="0" w:right="0" w:firstLine="640" w:firstLineChars="200"/>
        <w:textAlignment w:val="auto"/>
        <w:rPr>
          <w:rFonts w:hint="eastAsia" w:ascii="仿宋" w:hAnsi="仿宋" w:eastAsia="仿宋" w:cs="仿宋"/>
          <w:i w:val="0"/>
          <w:caps w:val="0"/>
          <w:color w:val="auto"/>
          <w:spacing w:val="0"/>
          <w:sz w:val="32"/>
          <w:szCs w:val="32"/>
          <w:lang w:val="en-US"/>
        </w:rPr>
      </w:pPr>
      <w:r>
        <w:rPr>
          <w:rFonts w:hint="eastAsia" w:ascii="仿宋" w:hAnsi="仿宋" w:eastAsia="仿宋" w:cs="仿宋"/>
          <w:i w:val="0"/>
          <w:caps w:val="0"/>
          <w:color w:val="auto"/>
          <w:spacing w:val="0"/>
          <w:sz w:val="32"/>
          <w:szCs w:val="32"/>
          <w:shd w:val="clear" w:fill="FFFFFF"/>
        </w:rPr>
        <w:t>（1）地块位置：</w:t>
      </w:r>
      <w:r>
        <w:rPr>
          <w:rFonts w:hint="eastAsia" w:ascii="仿宋" w:hAnsi="仿宋" w:eastAsia="仿宋" w:cs="仿宋"/>
          <w:i w:val="0"/>
          <w:caps w:val="0"/>
          <w:color w:val="auto"/>
          <w:spacing w:val="0"/>
          <w:sz w:val="32"/>
          <w:szCs w:val="32"/>
          <w:shd w:val="clear" w:fill="FFFFFF"/>
          <w:lang w:val="en-US" w:eastAsia="zh-CN"/>
        </w:rPr>
        <w:t>调整地块位于西华县城老城片区内，西华县昆山路以东、东风运河以南、棉麻巷以北围合区域</w:t>
      </w:r>
      <w:r>
        <w:rPr>
          <w:rFonts w:hint="eastAsia" w:ascii="仿宋" w:hAnsi="仿宋" w:eastAsia="仿宋" w:cs="仿宋"/>
          <w:i w:val="0"/>
          <w:caps w:val="0"/>
          <w:color w:val="auto"/>
          <w:spacing w:val="0"/>
          <w:sz w:val="32"/>
          <w:szCs w:val="32"/>
          <w:shd w:val="clear" w:fill="FFFFFF"/>
        </w:rPr>
        <w:t>；属于《</w:t>
      </w:r>
      <w:r>
        <w:rPr>
          <w:rFonts w:hint="eastAsia" w:ascii="仿宋" w:hAnsi="仿宋" w:eastAsia="仿宋" w:cs="仿宋"/>
          <w:b/>
          <w:i w:val="0"/>
          <w:caps w:val="0"/>
          <w:color w:val="auto"/>
          <w:spacing w:val="0"/>
          <w:sz w:val="32"/>
          <w:szCs w:val="32"/>
          <w:shd w:val="clear" w:fill="FFFFFF"/>
          <w:lang w:val="en-US" w:eastAsia="zh-CN"/>
        </w:rPr>
        <w:t>西华县城老城片区</w:t>
      </w:r>
      <w:r>
        <w:rPr>
          <w:rFonts w:hint="eastAsia" w:ascii="仿宋" w:hAnsi="仿宋" w:eastAsia="仿宋" w:cs="仿宋"/>
          <w:b/>
          <w:i w:val="0"/>
          <w:caps w:val="0"/>
          <w:color w:val="auto"/>
          <w:spacing w:val="0"/>
          <w:sz w:val="32"/>
          <w:szCs w:val="32"/>
          <w:shd w:val="clear" w:fill="FFFFFF"/>
        </w:rPr>
        <w:t>控制性详细规划</w:t>
      </w:r>
      <w:r>
        <w:rPr>
          <w:rFonts w:hint="eastAsia" w:ascii="仿宋" w:hAnsi="仿宋" w:eastAsia="仿宋" w:cs="仿宋"/>
          <w:i w:val="0"/>
          <w:caps w:val="0"/>
          <w:color w:val="auto"/>
          <w:spacing w:val="0"/>
          <w:sz w:val="32"/>
          <w:szCs w:val="32"/>
          <w:shd w:val="clear" w:fill="FFFFFF"/>
        </w:rPr>
        <w:t>》的一部分，街坊编号：</w:t>
      </w:r>
      <w:r>
        <w:rPr>
          <w:rFonts w:hint="eastAsia" w:ascii="仿宋" w:hAnsi="仿宋" w:eastAsia="仿宋" w:cs="仿宋"/>
          <w:i w:val="0"/>
          <w:caps w:val="0"/>
          <w:color w:val="auto"/>
          <w:spacing w:val="0"/>
          <w:sz w:val="32"/>
          <w:szCs w:val="32"/>
          <w:shd w:val="clear" w:fill="FFFFFF"/>
          <w:lang w:val="en-US" w:eastAsia="zh-CN"/>
        </w:rPr>
        <w:t>F-02</w:t>
      </w:r>
      <w:r>
        <w:rPr>
          <w:rFonts w:hint="eastAsia" w:ascii="仿宋" w:hAnsi="仿宋" w:eastAsia="仿宋" w:cs="仿宋"/>
          <w:i w:val="0"/>
          <w:caps w:val="0"/>
          <w:color w:val="auto"/>
          <w:spacing w:val="0"/>
          <w:sz w:val="32"/>
          <w:szCs w:val="32"/>
          <w:shd w:val="clear" w:fill="FFFFFF"/>
        </w:rPr>
        <w:t>，地块编码：</w:t>
      </w:r>
      <w:r>
        <w:rPr>
          <w:rFonts w:hint="eastAsia" w:ascii="仿宋" w:hAnsi="仿宋" w:eastAsia="仿宋" w:cs="仿宋"/>
          <w:i w:val="0"/>
          <w:caps w:val="0"/>
          <w:color w:val="auto"/>
          <w:spacing w:val="0"/>
          <w:sz w:val="32"/>
          <w:szCs w:val="32"/>
          <w:shd w:val="clear" w:fill="FFFFFF"/>
          <w:lang w:val="en-US" w:eastAsia="zh-CN"/>
        </w:rPr>
        <w:t>F-02-01、F-02-02。</w:t>
      </w:r>
    </w:p>
    <w:p>
      <w:pPr>
        <w:keepNext w:val="0"/>
        <w:keepLines w:val="0"/>
        <w:pageBreakBefore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color w:val="auto"/>
          <w:sz w:val="32"/>
          <w:szCs w:val="32"/>
        </w:rPr>
      </w:pPr>
      <w:r>
        <w:rPr>
          <w:rFonts w:hint="eastAsia" w:ascii="仿宋" w:hAnsi="仿宋" w:eastAsia="仿宋" w:cs="仿宋"/>
          <w:i w:val="0"/>
          <w:caps w:val="0"/>
          <w:color w:val="auto"/>
          <w:spacing w:val="0"/>
          <w:sz w:val="32"/>
          <w:szCs w:val="32"/>
          <w:shd w:val="clear" w:fill="FFFFFF"/>
        </w:rPr>
        <w:t>（2）现状情况：</w:t>
      </w:r>
      <w:r>
        <w:rPr>
          <w:rFonts w:hint="eastAsia" w:ascii="仿宋" w:hAnsi="仿宋" w:eastAsia="仿宋" w:cs="仿宋"/>
          <w:sz w:val="32"/>
          <w:szCs w:val="32"/>
        </w:rPr>
        <w:t>地块内部现状为</w:t>
      </w:r>
      <w:r>
        <w:rPr>
          <w:rFonts w:hint="eastAsia" w:ascii="仿宋" w:hAnsi="仿宋" w:eastAsia="仿宋" w:cs="仿宋"/>
          <w:sz w:val="32"/>
          <w:szCs w:val="32"/>
          <w:lang w:val="en-US" w:eastAsia="zh-CN"/>
        </w:rPr>
        <w:t>空闲</w:t>
      </w:r>
      <w:r>
        <w:rPr>
          <w:rFonts w:hint="eastAsia" w:ascii="仿宋" w:hAnsi="仿宋" w:eastAsia="仿宋" w:cs="仿宋"/>
          <w:sz w:val="32"/>
          <w:szCs w:val="32"/>
          <w:lang w:eastAsia="zh-CN"/>
        </w:rPr>
        <w:t>地、自建民房</w:t>
      </w:r>
      <w:r>
        <w:rPr>
          <w:rFonts w:hint="eastAsia" w:ascii="仿宋" w:hAnsi="仿宋" w:eastAsia="仿宋" w:cs="仿宋"/>
          <w:sz w:val="32"/>
          <w:szCs w:val="32"/>
          <w:lang w:val="en-US" w:eastAsia="zh-CN"/>
        </w:rPr>
        <w:t>和厂房</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地块内部目前正处于拆迁过程中；地块东侧为江南水乡小区，地块北侧与东风运河相邻。本地块周边昆山路为已建市政道路，滨河南路、和谐路、经五路尚未开始建设，棉麻巷现状为4米左右的巷道。</w:t>
      </w:r>
      <w:r>
        <w:rPr>
          <w:rFonts w:hint="eastAsia" w:ascii="仿宋" w:hAnsi="仿宋" w:eastAsia="仿宋" w:cs="仿宋"/>
          <w:color w:val="auto"/>
          <w:sz w:val="32"/>
          <w:szCs w:val="32"/>
          <w:lang w:val="en-US" w:eastAsia="zh-CN"/>
        </w:rPr>
        <w:t>市政设施好，场地空旷且较为平坦，是较为理想的建设用地。</w:t>
      </w:r>
    </w:p>
    <w:p>
      <w:pPr>
        <w:numPr>
          <w:ilvl w:val="0"/>
          <w:numId w:val="0"/>
        </w:numPr>
        <w:ind w:left="281" w:leftChars="0"/>
        <w:jc w:val="center"/>
        <w:rPr>
          <w:rFonts w:hint="eastAsia" w:ascii="仿宋" w:hAnsi="仿宋" w:eastAsia="仿宋" w:cs="仿宋"/>
          <w:b/>
          <w:bCs/>
          <w:sz w:val="32"/>
          <w:szCs w:val="32"/>
          <w:lang w:eastAsia="zh-CN"/>
        </w:rPr>
      </w:pPr>
      <w:r>
        <w:rPr>
          <w:rFonts w:hint="eastAsia" w:ascii="仿宋" w:hAnsi="仿宋" w:eastAsia="仿宋" w:cs="仿宋"/>
          <w:sz w:val="32"/>
          <w:szCs w:val="32"/>
          <w:lang w:val="en-US" w:eastAsia="zh-CN"/>
        </w:rPr>
        <w:drawing>
          <wp:inline distT="0" distB="0" distL="114300" distR="114300">
            <wp:extent cx="4076700" cy="5088890"/>
            <wp:effectExtent l="0" t="0" r="0" b="16510"/>
            <wp:docPr id="1" name="图片 1" descr="C:\Users\Administrator\Desktop\02调整地块谷歌图1.jpg02调整地块谷歌图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Administrator\Desktop\02调整地块谷歌图1.jpg02调整地块谷歌图1"/>
                    <pic:cNvPicPr>
                      <a:picLocks noChangeAspect="1"/>
                    </pic:cNvPicPr>
                  </pic:nvPicPr>
                  <pic:blipFill>
                    <a:blip r:embed="rId4"/>
                    <a:srcRect l="4710" t="8360" r="5071" b="4874"/>
                    <a:stretch>
                      <a:fillRect/>
                    </a:stretch>
                  </pic:blipFill>
                  <pic:spPr>
                    <a:xfrm>
                      <a:off x="0" y="0"/>
                      <a:ext cx="4076700" cy="5088890"/>
                    </a:xfrm>
                    <a:prstGeom prst="rect">
                      <a:avLst/>
                    </a:prstGeom>
                    <a:noFill/>
                    <a:ln>
                      <a:noFill/>
                    </a:ln>
                  </pic:spPr>
                </pic:pic>
              </a:graphicData>
            </a:graphic>
          </wp:inline>
        </w:drawing>
      </w:r>
    </w:p>
    <w:p>
      <w:pPr>
        <w:pStyle w:val="4"/>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0" w:beforeAutospacing="0" w:after="0" w:afterAutospacing="0" w:line="360" w:lineRule="auto"/>
        <w:ind w:right="0" w:rightChars="0" w:firstLine="640" w:firstLineChars="200"/>
        <w:textAlignment w:val="auto"/>
        <w:rPr>
          <w:rFonts w:hint="eastAsia" w:ascii="仿宋" w:hAnsi="仿宋" w:eastAsia="仿宋" w:cs="仿宋"/>
          <w:i w:val="0"/>
          <w:caps w:val="0"/>
          <w:color w:val="auto"/>
          <w:spacing w:val="0"/>
          <w:sz w:val="32"/>
          <w:szCs w:val="32"/>
          <w:lang w:val="en-US"/>
        </w:rPr>
      </w:pPr>
      <w:r>
        <w:rPr>
          <w:rFonts w:hint="eastAsia" w:ascii="仿宋" w:hAnsi="仿宋" w:eastAsia="仿宋" w:cs="仿宋"/>
          <w:b w:val="0"/>
          <w:i w:val="0"/>
          <w:caps w:val="0"/>
          <w:color w:val="auto"/>
          <w:spacing w:val="0"/>
          <w:sz w:val="32"/>
          <w:szCs w:val="32"/>
          <w:shd w:val="clear" w:fill="FFFFFF"/>
        </w:rPr>
        <w:t>（</w:t>
      </w:r>
      <w:r>
        <w:rPr>
          <w:rFonts w:hint="eastAsia" w:ascii="仿宋" w:hAnsi="仿宋" w:eastAsia="仿宋" w:cs="仿宋"/>
          <w:bCs w:val="0"/>
          <w:i w:val="0"/>
          <w:caps w:val="0"/>
          <w:color w:val="auto"/>
          <w:spacing w:val="0"/>
          <w:kern w:val="2"/>
          <w:sz w:val="32"/>
          <w:szCs w:val="32"/>
          <w:shd w:val="clear" w:fill="FFFFFF"/>
          <w:lang w:val="en-US" w:eastAsia="zh-CN" w:bidi="ar-SA"/>
        </w:rPr>
        <w:t>3）原规划情况：原《控规》规划：F-02-01地块为二类城镇住宅用地（070102），用地面积4.02ha，容积率1.5-3.0，建筑密度≤30%，建筑限高36m，绿地率≥30%，停车位配建0.8个/户；F-02-02地块为二类城镇住宅用地（070102），用地面积2.65ha，容积率1.5-3.0，建筑密度≤30%，建筑限高36m，绿地率≥30%，停车位配建0.8个/户。</w:t>
      </w:r>
    </w:p>
    <w:p>
      <w:pPr>
        <w:spacing w:line="360" w:lineRule="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2、控规调整的必要性</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color w:val="000000"/>
          <w:sz w:val="32"/>
          <w:szCs w:val="32"/>
          <w:lang w:eastAsia="zh-CN"/>
        </w:rPr>
        <w:t>为加快片区开发进程，切实改变老城区面貌，就必须充分考虑地块的用地开发规模的合理性，解决地块分割面积过小等影响地块整体开发的不利因素。本次控规调整将</w:t>
      </w:r>
      <w:r>
        <w:rPr>
          <w:rFonts w:hint="eastAsia" w:ascii="仿宋" w:hAnsi="仿宋" w:eastAsia="仿宋" w:cs="仿宋"/>
          <w:sz w:val="32"/>
          <w:szCs w:val="32"/>
          <w:lang w:val="en-US" w:eastAsia="zh-CN"/>
        </w:rPr>
        <w:t>经五路（棉麻巷至滨河南路段）取消，将调整地块进行合并，使地块建设的可操作性更强，有利于该地块的及早入市。同时，</w:t>
      </w:r>
      <w:r>
        <w:rPr>
          <w:rFonts w:hint="eastAsia" w:ascii="仿宋" w:hAnsi="仿宋" w:eastAsia="仿宋" w:cs="仿宋"/>
          <w:sz w:val="32"/>
          <w:szCs w:val="32"/>
          <w:shd w:val="clear" w:color="auto" w:fill="FFFFFF"/>
        </w:rPr>
        <w:t>现行《控规》控制指标与最新《城市居住区规划设计标准（GB50180-2018）》指导要求不符</w:t>
      </w:r>
      <w:r>
        <w:rPr>
          <w:rFonts w:hint="eastAsia" w:ascii="仿宋" w:hAnsi="仿宋" w:eastAsia="仿宋" w:cs="仿宋"/>
          <w:sz w:val="32"/>
          <w:szCs w:val="32"/>
          <w:shd w:val="clear" w:color="auto" w:fill="FFFFFF"/>
          <w:lang w:eastAsia="zh-CN"/>
        </w:rPr>
        <w:t>，本次调整对地块各项控制指标进行优化调整，使其更加合理合规。</w:t>
      </w:r>
    </w:p>
    <w:p>
      <w:pPr>
        <w:spacing w:line="360" w:lineRule="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3、规划调整内容</w:t>
      </w:r>
    </w:p>
    <w:p>
      <w:pPr>
        <w:widowControl/>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本次调整具体涉及到</w:t>
      </w:r>
      <w:r>
        <w:rPr>
          <w:rFonts w:hint="eastAsia" w:ascii="仿宋" w:hAnsi="仿宋" w:eastAsia="仿宋" w:cs="仿宋"/>
          <w:sz w:val="32"/>
          <w:szCs w:val="32"/>
          <w:lang w:val="en-US" w:eastAsia="zh-CN"/>
        </w:rPr>
        <w:t>F-02街区内经五路（棉麻巷至滨河南路段）取消，F-02-01、F-02-02两个地块合并</w:t>
      </w:r>
      <w:r>
        <w:rPr>
          <w:rFonts w:hint="eastAsia" w:ascii="仿宋" w:hAnsi="仿宋" w:eastAsia="仿宋" w:cs="仿宋"/>
          <w:sz w:val="32"/>
          <w:szCs w:val="32"/>
        </w:rPr>
        <w:t>，调整后的用地代码变为</w:t>
      </w:r>
      <w:r>
        <w:rPr>
          <w:rFonts w:hint="eastAsia" w:ascii="仿宋" w:hAnsi="仿宋" w:eastAsia="仿宋" w:cs="仿宋"/>
          <w:sz w:val="32"/>
          <w:szCs w:val="32"/>
          <w:lang w:val="en-US" w:eastAsia="zh-CN"/>
        </w:rPr>
        <w:t>F-02-01</w:t>
      </w:r>
      <w:r>
        <w:rPr>
          <w:rFonts w:hint="eastAsia" w:ascii="仿宋" w:hAnsi="仿宋" w:eastAsia="仿宋" w:cs="仿宋"/>
          <w:sz w:val="32"/>
          <w:szCs w:val="32"/>
        </w:rPr>
        <w:t>。</w:t>
      </w:r>
      <w:r>
        <w:rPr>
          <w:rFonts w:hint="eastAsia" w:ascii="仿宋" w:hAnsi="仿宋" w:eastAsia="仿宋" w:cs="仿宋"/>
          <w:sz w:val="32"/>
          <w:szCs w:val="32"/>
          <w:lang w:eastAsia="zh-CN"/>
        </w:rPr>
        <w:t>调整后地块用地性质保持不变，控制指标略有调整，其中，</w:t>
      </w:r>
      <w:r>
        <w:rPr>
          <w:rFonts w:hint="eastAsia" w:ascii="仿宋" w:hAnsi="仿宋" w:eastAsia="仿宋" w:cs="仿宋"/>
          <w:sz w:val="32"/>
          <w:szCs w:val="32"/>
        </w:rPr>
        <w:t>容积率不</w:t>
      </w:r>
      <w:r>
        <w:rPr>
          <w:rFonts w:hint="eastAsia" w:ascii="仿宋" w:hAnsi="仿宋" w:eastAsia="仿宋" w:cs="仿宋"/>
          <w:sz w:val="32"/>
          <w:szCs w:val="32"/>
          <w:lang w:eastAsia="zh-CN"/>
        </w:rPr>
        <w:t>高</w:t>
      </w:r>
      <w:r>
        <w:rPr>
          <w:rFonts w:hint="eastAsia" w:ascii="仿宋" w:hAnsi="仿宋" w:eastAsia="仿宋" w:cs="仿宋"/>
          <w:sz w:val="32"/>
          <w:szCs w:val="32"/>
        </w:rPr>
        <w:t>于</w:t>
      </w:r>
      <w:r>
        <w:rPr>
          <w:rFonts w:hint="eastAsia" w:ascii="仿宋" w:hAnsi="仿宋" w:eastAsia="仿宋" w:cs="仿宋"/>
          <w:sz w:val="32"/>
          <w:szCs w:val="32"/>
          <w:lang w:val="en-US" w:eastAsia="zh-CN"/>
        </w:rPr>
        <w:t>1.8</w:t>
      </w:r>
      <w:r>
        <w:rPr>
          <w:rFonts w:hint="eastAsia" w:ascii="仿宋" w:hAnsi="仿宋" w:eastAsia="仿宋" w:cs="仿宋"/>
          <w:sz w:val="32"/>
          <w:szCs w:val="32"/>
        </w:rPr>
        <w:t>，建筑密度不大于</w:t>
      </w:r>
      <w:r>
        <w:rPr>
          <w:rFonts w:hint="eastAsia" w:ascii="仿宋" w:hAnsi="仿宋" w:eastAsia="仿宋" w:cs="仿宋"/>
          <w:sz w:val="32"/>
          <w:szCs w:val="32"/>
          <w:lang w:val="en-US" w:eastAsia="zh-CN"/>
        </w:rPr>
        <w:t>30</w:t>
      </w:r>
      <w:r>
        <w:rPr>
          <w:rFonts w:hint="eastAsia" w:ascii="仿宋" w:hAnsi="仿宋" w:eastAsia="仿宋" w:cs="仿宋"/>
          <w:sz w:val="32"/>
          <w:szCs w:val="32"/>
        </w:rPr>
        <w:t>%，绿地率不</w:t>
      </w:r>
      <w:r>
        <w:rPr>
          <w:rFonts w:hint="eastAsia" w:ascii="仿宋" w:hAnsi="仿宋" w:eastAsia="仿宋" w:cs="仿宋"/>
          <w:sz w:val="32"/>
          <w:szCs w:val="32"/>
          <w:lang w:eastAsia="zh-CN"/>
        </w:rPr>
        <w:t>低</w:t>
      </w:r>
      <w:r>
        <w:rPr>
          <w:rFonts w:hint="eastAsia" w:ascii="仿宋" w:hAnsi="仿宋" w:eastAsia="仿宋" w:cs="仿宋"/>
          <w:sz w:val="32"/>
          <w:szCs w:val="32"/>
        </w:rPr>
        <w:t>于</w:t>
      </w:r>
      <w:r>
        <w:rPr>
          <w:rFonts w:hint="eastAsia" w:ascii="仿宋" w:hAnsi="仿宋" w:eastAsia="仿宋" w:cs="仿宋"/>
          <w:sz w:val="32"/>
          <w:szCs w:val="32"/>
          <w:lang w:val="en-US" w:eastAsia="zh-CN"/>
        </w:rPr>
        <w:t>3</w:t>
      </w:r>
      <w:r>
        <w:rPr>
          <w:rFonts w:hint="eastAsia" w:ascii="仿宋" w:hAnsi="仿宋" w:eastAsia="仿宋" w:cs="仿宋"/>
          <w:sz w:val="32"/>
          <w:szCs w:val="32"/>
        </w:rPr>
        <w:t>5%，建筑限高</w:t>
      </w:r>
      <w:r>
        <w:rPr>
          <w:rFonts w:hint="eastAsia" w:ascii="仿宋" w:hAnsi="仿宋" w:eastAsia="仿宋" w:cs="仿宋"/>
          <w:sz w:val="32"/>
          <w:szCs w:val="32"/>
          <w:lang w:val="en-US" w:eastAsia="zh-CN"/>
        </w:rPr>
        <w:t>54</w:t>
      </w:r>
      <w:r>
        <w:rPr>
          <w:rFonts w:hint="eastAsia" w:ascii="仿宋" w:hAnsi="仿宋" w:eastAsia="仿宋" w:cs="仿宋"/>
          <w:sz w:val="32"/>
          <w:szCs w:val="32"/>
        </w:rPr>
        <w:t>米；机动车停车位按照</w:t>
      </w:r>
      <w:r>
        <w:rPr>
          <w:rFonts w:hint="eastAsia" w:ascii="仿宋" w:hAnsi="仿宋" w:eastAsia="仿宋" w:cs="仿宋"/>
          <w:sz w:val="32"/>
          <w:szCs w:val="32"/>
          <w:lang w:val="en-US" w:eastAsia="zh-CN"/>
        </w:rPr>
        <w:t>1.0个/户</w:t>
      </w:r>
      <w:r>
        <w:rPr>
          <w:rFonts w:hint="eastAsia" w:ascii="仿宋" w:hAnsi="仿宋" w:eastAsia="仿宋" w:cs="仿宋"/>
          <w:sz w:val="32"/>
          <w:szCs w:val="32"/>
        </w:rPr>
        <w:t>进行布置。</w:t>
      </w:r>
    </w:p>
    <w:p>
      <w:pPr>
        <w:spacing w:line="360" w:lineRule="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4、可行性分析</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rPr>
        <w:t>（1）通过对地块的分析，</w:t>
      </w:r>
      <w:r>
        <w:rPr>
          <w:rFonts w:hint="eastAsia" w:ascii="仿宋" w:hAnsi="仿宋" w:eastAsia="仿宋" w:cs="仿宋"/>
          <w:color w:val="auto"/>
          <w:sz w:val="32"/>
          <w:szCs w:val="32"/>
          <w:lang w:eastAsia="zh-CN"/>
        </w:rPr>
        <w:t>调整地块</w:t>
      </w:r>
      <w:r>
        <w:rPr>
          <w:rFonts w:hint="eastAsia" w:ascii="仿宋" w:hAnsi="仿宋" w:eastAsia="仿宋" w:cs="仿宋"/>
          <w:color w:val="auto"/>
          <w:sz w:val="32"/>
          <w:szCs w:val="32"/>
        </w:rPr>
        <w:t>内部现状为空闲地、自建民房和厂房；地块内部目前正处于拆迁过程中</w:t>
      </w:r>
      <w:r>
        <w:rPr>
          <w:rFonts w:hint="eastAsia" w:ascii="仿宋" w:hAnsi="仿宋" w:eastAsia="仿宋" w:cs="仿宋"/>
          <w:color w:val="auto"/>
          <w:sz w:val="32"/>
          <w:szCs w:val="32"/>
          <w:lang w:eastAsia="zh-CN"/>
        </w:rPr>
        <w:t>，地块周边地势平坦，交通便利。</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地块建设条件良好，本地块调整后能够进一步优化该片区的用地布局。因此调整地块的选址比较合理。</w:t>
      </w:r>
    </w:p>
    <w:p>
      <w:pPr>
        <w:numPr>
          <w:ilvl w:val="0"/>
          <w:numId w:val="3"/>
        </w:numPr>
        <w:spacing w:line="360" w:lineRule="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规划调整影响分析 </w:t>
      </w:r>
    </w:p>
    <w:p>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本次修改</w:t>
      </w:r>
      <w:r>
        <w:rPr>
          <w:rFonts w:hint="eastAsia" w:ascii="仿宋" w:hAnsi="仿宋" w:eastAsia="仿宋" w:cs="仿宋"/>
          <w:sz w:val="32"/>
          <w:szCs w:val="32"/>
          <w:lang w:eastAsia="zh-CN"/>
        </w:rPr>
        <w:t>没有</w:t>
      </w:r>
      <w:r>
        <w:rPr>
          <w:rFonts w:hint="eastAsia" w:ascii="仿宋" w:hAnsi="仿宋" w:eastAsia="仿宋" w:cs="仿宋"/>
          <w:sz w:val="32"/>
          <w:szCs w:val="32"/>
        </w:rPr>
        <w:t>涉及</w:t>
      </w:r>
      <w:r>
        <w:rPr>
          <w:rFonts w:hint="eastAsia" w:ascii="仿宋" w:hAnsi="仿宋" w:eastAsia="仿宋" w:cs="仿宋"/>
          <w:sz w:val="32"/>
          <w:szCs w:val="32"/>
          <w:lang w:eastAsia="zh-CN"/>
        </w:rPr>
        <w:t>城市主次干道，仅取消部分支路，对片区通行能力影响小</w:t>
      </w:r>
      <w:r>
        <w:rPr>
          <w:rFonts w:hint="eastAsia" w:ascii="仿宋" w:hAnsi="仿宋" w:eastAsia="仿宋" w:cs="仿宋"/>
          <w:sz w:val="32"/>
          <w:szCs w:val="32"/>
          <w:lang w:val="en-US" w:eastAsia="zh-CN"/>
        </w:rPr>
        <w:t>。本次地块控规调整地块南侧两个出入口设置应充分考虑与经五路与棉麻路丁字形交叉口的关系，依据相关规范要求合理控制出入口与道路交叉口间距，避免对交通通行流向造成干扰，力求将不利影响降到最低。</w:t>
      </w:r>
    </w:p>
    <w:p>
      <w:pPr>
        <w:numPr>
          <w:ilvl w:val="0"/>
          <w:numId w:val="3"/>
        </w:numPr>
        <w:spacing w:line="360" w:lineRule="auto"/>
        <w:ind w:left="0" w:leftChars="0" w:firstLine="0" w:firstLineChars="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调整前后对比</w:t>
      </w:r>
    </w:p>
    <w:p>
      <w:pPr>
        <w:keepNext w:val="0"/>
        <w:keepLines w:val="0"/>
        <w:pageBreakBefore w:val="0"/>
        <w:widowControl w:val="0"/>
        <w:numPr>
          <w:ilvl w:val="0"/>
          <w:numId w:val="4"/>
        </w:numPr>
        <w:kinsoku/>
        <w:wordWrap/>
        <w:overflowPunct/>
        <w:topLinePunct w:val="0"/>
        <w:autoSpaceDE/>
        <w:autoSpaceDN/>
        <w:bidi w:val="0"/>
        <w:adjustRightInd/>
        <w:snapToGrid/>
        <w:spacing w:line="360" w:lineRule="auto"/>
        <w:ind w:left="0" w:leftChars="0"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本次调整</w:t>
      </w:r>
      <w:r>
        <w:rPr>
          <w:rFonts w:hint="eastAsia" w:ascii="仿宋" w:hAnsi="仿宋" w:eastAsia="仿宋" w:cs="仿宋"/>
          <w:color w:val="auto"/>
          <w:sz w:val="32"/>
          <w:szCs w:val="32"/>
          <w:lang w:eastAsia="zh-CN"/>
        </w:rPr>
        <w:t>没有</w:t>
      </w:r>
      <w:r>
        <w:rPr>
          <w:rFonts w:hint="eastAsia" w:ascii="仿宋" w:hAnsi="仿宋" w:eastAsia="仿宋" w:cs="仿宋"/>
          <w:color w:val="auto"/>
          <w:sz w:val="32"/>
          <w:szCs w:val="32"/>
        </w:rPr>
        <w:t>涉及绿地修改</w:t>
      </w:r>
      <w:r>
        <w:rPr>
          <w:rFonts w:hint="eastAsia" w:ascii="仿宋" w:hAnsi="仿宋" w:eastAsia="仿宋" w:cs="仿宋"/>
          <w:color w:val="auto"/>
          <w:sz w:val="32"/>
          <w:szCs w:val="32"/>
          <w:lang w:eastAsia="zh-CN"/>
        </w:rPr>
        <w:t>。</w:t>
      </w:r>
      <w:r>
        <w:rPr>
          <w:rFonts w:hint="eastAsia" w:ascii="仿宋" w:hAnsi="仿宋" w:eastAsia="仿宋" w:cs="仿宋"/>
          <w:sz w:val="32"/>
          <w:szCs w:val="32"/>
          <w:lang w:val="en-US" w:eastAsia="zh-CN"/>
        </w:rPr>
        <w:t>规划修改后，调整地块内绿地率</w:t>
      </w:r>
      <w:r>
        <w:rPr>
          <w:rFonts w:hint="eastAsia" w:ascii="仿宋" w:hAnsi="仿宋" w:eastAsia="仿宋" w:cs="仿宋"/>
          <w:sz w:val="32"/>
          <w:szCs w:val="32"/>
        </w:rPr>
        <w:t>在相关规范的要求范围内，不会对区域</w:t>
      </w:r>
      <w:r>
        <w:rPr>
          <w:rFonts w:hint="eastAsia" w:ascii="仿宋" w:hAnsi="仿宋" w:eastAsia="仿宋" w:cs="仿宋"/>
          <w:sz w:val="32"/>
          <w:szCs w:val="32"/>
          <w:lang w:eastAsia="zh-CN"/>
        </w:rPr>
        <w:t>环境</w:t>
      </w:r>
      <w:r>
        <w:rPr>
          <w:rFonts w:hint="eastAsia" w:ascii="仿宋" w:hAnsi="仿宋" w:eastAsia="仿宋" w:cs="仿宋"/>
          <w:sz w:val="32"/>
          <w:szCs w:val="32"/>
        </w:rPr>
        <w:t>造成不良影响。</w:t>
      </w:r>
    </w:p>
    <w:p>
      <w:pPr>
        <w:spacing w:line="360" w:lineRule="auto"/>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w:t>
      </w:r>
      <w:r>
        <w:rPr>
          <w:rFonts w:hint="eastAsia" w:ascii="仿宋" w:hAnsi="仿宋" w:eastAsia="仿宋" w:cs="仿宋"/>
          <w:sz w:val="32"/>
          <w:szCs w:val="32"/>
          <w:lang w:eastAsia="zh-CN"/>
        </w:rPr>
        <w:t>本次调整</w:t>
      </w:r>
      <w:r>
        <w:rPr>
          <w:rFonts w:hint="eastAsia" w:ascii="仿宋" w:hAnsi="仿宋" w:eastAsia="仿宋" w:cs="仿宋"/>
          <w:sz w:val="32"/>
          <w:szCs w:val="32"/>
        </w:rPr>
        <w:t>地块容积率</w:t>
      </w:r>
      <w:r>
        <w:rPr>
          <w:rFonts w:hint="eastAsia" w:ascii="仿宋" w:hAnsi="仿宋" w:eastAsia="仿宋" w:cs="仿宋"/>
          <w:sz w:val="32"/>
          <w:szCs w:val="32"/>
          <w:lang w:eastAsia="zh-CN"/>
        </w:rPr>
        <w:t>指标由上限</w:t>
      </w:r>
      <w:r>
        <w:rPr>
          <w:rFonts w:hint="eastAsia" w:ascii="仿宋" w:hAnsi="仿宋" w:eastAsia="仿宋" w:cs="仿宋"/>
          <w:sz w:val="32"/>
          <w:szCs w:val="32"/>
          <w:lang w:val="en-US" w:eastAsia="zh-CN"/>
        </w:rPr>
        <w:t>3.0调整至1.8</w:t>
      </w:r>
      <w:r>
        <w:rPr>
          <w:rFonts w:hint="eastAsia" w:ascii="仿宋" w:hAnsi="仿宋" w:eastAsia="仿宋" w:cs="仿宋"/>
          <w:sz w:val="32"/>
          <w:szCs w:val="32"/>
          <w:lang w:eastAsia="zh-CN"/>
        </w:rPr>
        <w:t>，地块开发强度降低，有利于缓解</w:t>
      </w:r>
      <w:r>
        <w:rPr>
          <w:rFonts w:hint="eastAsia" w:ascii="仿宋" w:hAnsi="仿宋" w:eastAsia="仿宋" w:cs="仿宋"/>
          <w:sz w:val="32"/>
          <w:szCs w:val="32"/>
        </w:rPr>
        <w:t>区域交通</w:t>
      </w:r>
      <w:r>
        <w:rPr>
          <w:rFonts w:hint="eastAsia" w:ascii="仿宋" w:hAnsi="仿宋" w:eastAsia="仿宋" w:cs="仿宋"/>
          <w:sz w:val="32"/>
          <w:szCs w:val="32"/>
          <w:lang w:eastAsia="zh-CN"/>
        </w:rPr>
        <w:t>压力</w:t>
      </w:r>
      <w:r>
        <w:rPr>
          <w:rFonts w:hint="eastAsia" w:ascii="仿宋" w:hAnsi="仿宋" w:eastAsia="仿宋" w:cs="仿宋"/>
          <w:color w:val="auto"/>
          <w:sz w:val="32"/>
          <w:szCs w:val="32"/>
          <w:lang w:val="en-US" w:eastAsia="zh-CN"/>
        </w:rPr>
        <w:t>，调整后对城市居民生活环境的影响较为有利。</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lang w:eastAsia="zh-CN"/>
        </w:rPr>
        <w:t>）</w:t>
      </w:r>
      <w:r>
        <w:rPr>
          <w:rFonts w:hint="eastAsia" w:ascii="仿宋" w:hAnsi="仿宋" w:eastAsia="仿宋" w:cs="仿宋"/>
          <w:sz w:val="32"/>
          <w:szCs w:val="32"/>
        </w:rPr>
        <w:t>地块周边规划有二类居住用地、</w:t>
      </w:r>
      <w:r>
        <w:rPr>
          <w:rFonts w:hint="eastAsia" w:ascii="仿宋" w:hAnsi="仿宋" w:eastAsia="仿宋" w:cs="仿宋"/>
          <w:sz w:val="32"/>
          <w:szCs w:val="32"/>
          <w:lang w:eastAsia="zh-CN"/>
        </w:rPr>
        <w:t>商业和商务设施</w:t>
      </w:r>
      <w:r>
        <w:rPr>
          <w:rFonts w:hint="eastAsia" w:ascii="仿宋" w:hAnsi="仿宋" w:eastAsia="仿宋" w:cs="仿宋"/>
          <w:sz w:val="32"/>
          <w:szCs w:val="32"/>
        </w:rPr>
        <w:t>用地</w:t>
      </w:r>
      <w:r>
        <w:rPr>
          <w:rFonts w:hint="eastAsia" w:ascii="仿宋" w:hAnsi="仿宋" w:eastAsia="仿宋" w:cs="仿宋"/>
          <w:sz w:val="32"/>
          <w:szCs w:val="32"/>
          <w:lang w:eastAsia="zh-CN"/>
        </w:rPr>
        <w:t>以及公园绿地等</w:t>
      </w:r>
      <w:r>
        <w:rPr>
          <w:rFonts w:hint="eastAsia" w:ascii="仿宋" w:hAnsi="仿宋" w:eastAsia="仿宋" w:cs="仿宋"/>
          <w:color w:val="auto"/>
          <w:sz w:val="32"/>
          <w:szCs w:val="32"/>
        </w:rPr>
        <w:t>，建筑退让要求应符合规范的要求。</w:t>
      </w:r>
    </w:p>
    <w:p>
      <w:pPr>
        <w:pStyle w:val="7"/>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360" w:lineRule="auto"/>
        <w:ind w:left="0" w:right="0" w:firstLine="640" w:firstLineChars="200"/>
        <w:textAlignment w:val="auto"/>
        <w:rPr>
          <w:rFonts w:hint="eastAsia" w:asciiTheme="minorEastAsia" w:hAnsiTheme="minorEastAsia" w:eastAsiaTheme="minorEastAsia" w:cstheme="minorEastAsia"/>
          <w:i w:val="0"/>
          <w:caps w:val="0"/>
          <w:color w:val="auto"/>
          <w:spacing w:val="0"/>
          <w:sz w:val="24"/>
          <w:szCs w:val="24"/>
          <w:shd w:val="clear" w:fill="FFFFFF"/>
          <w:lang w:eastAsia="zh-CN"/>
        </w:rPr>
      </w:pPr>
      <w:r>
        <w:rPr>
          <w:rFonts w:hint="eastAsia" w:ascii="仿宋" w:hAnsi="仿宋" w:eastAsia="仿宋" w:cs="仿宋"/>
          <w:i w:val="0"/>
          <w:caps w:val="0"/>
          <w:color w:val="auto"/>
          <w:spacing w:val="0"/>
          <w:sz w:val="32"/>
          <w:szCs w:val="32"/>
          <w:shd w:val="clear" w:fill="FFFFFF"/>
        </w:rPr>
        <w:t>（</w:t>
      </w:r>
      <w:r>
        <w:rPr>
          <w:rFonts w:hint="eastAsia" w:ascii="仿宋" w:hAnsi="仿宋" w:eastAsia="仿宋" w:cs="仿宋"/>
          <w:i w:val="0"/>
          <w:caps w:val="0"/>
          <w:color w:val="auto"/>
          <w:spacing w:val="0"/>
          <w:sz w:val="32"/>
          <w:szCs w:val="32"/>
          <w:shd w:val="clear" w:fill="FFFFFF"/>
          <w:lang w:val="en-US" w:eastAsia="zh-CN"/>
        </w:rPr>
        <w:t>7</w:t>
      </w:r>
      <w:r>
        <w:rPr>
          <w:rFonts w:hint="eastAsia" w:ascii="仿宋" w:hAnsi="仿宋" w:eastAsia="仿宋" w:cs="仿宋"/>
          <w:i w:val="0"/>
          <w:caps w:val="0"/>
          <w:color w:val="auto"/>
          <w:spacing w:val="0"/>
          <w:sz w:val="32"/>
          <w:szCs w:val="32"/>
          <w:shd w:val="clear" w:fill="FFFFFF"/>
        </w:rPr>
        <w:t>）</w:t>
      </w:r>
      <w:r>
        <w:rPr>
          <w:rFonts w:hint="eastAsia" w:ascii="仿宋" w:hAnsi="仿宋" w:eastAsia="仿宋" w:cs="仿宋"/>
          <w:i w:val="0"/>
          <w:caps w:val="0"/>
          <w:color w:val="auto"/>
          <w:spacing w:val="0"/>
          <w:sz w:val="32"/>
          <w:szCs w:val="32"/>
          <w:shd w:val="clear" w:fill="FFFFFF"/>
          <w:lang w:eastAsia="zh-CN"/>
        </w:rPr>
        <w:t>调整前后</w:t>
      </w:r>
      <w:r>
        <w:rPr>
          <w:rFonts w:hint="eastAsia" w:ascii="仿宋" w:hAnsi="仿宋" w:eastAsia="仿宋" w:cs="仿宋"/>
          <w:i w:val="0"/>
          <w:caps w:val="0"/>
          <w:color w:val="auto"/>
          <w:spacing w:val="0"/>
          <w:sz w:val="32"/>
          <w:szCs w:val="32"/>
          <w:shd w:val="clear" w:fill="FFFFFF"/>
        </w:rPr>
        <w:t>用地对比：</w:t>
      </w:r>
    </w:p>
    <w:p>
      <w:pPr>
        <w:spacing w:line="360" w:lineRule="auto"/>
      </w:pPr>
      <w:r>
        <w:rPr>
          <w:rFonts w:hint="eastAsia"/>
          <w:lang w:val="en-US" w:eastAsia="zh-CN"/>
        </w:rPr>
        <w:t xml:space="preserve"> </w:t>
      </w:r>
      <w:r>
        <w:rPr>
          <w:rFonts w:hint="eastAsia"/>
          <w:lang w:val="en-US" w:eastAsia="zh-CN"/>
        </w:rPr>
        <w:drawing>
          <wp:inline distT="0" distB="0" distL="114300" distR="114300">
            <wp:extent cx="2450465" cy="2110740"/>
            <wp:effectExtent l="0" t="0" r="6985" b="3810"/>
            <wp:docPr id="2" name="图片 2" descr="121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21el"/>
                    <pic:cNvPicPr>
                      <a:picLocks noChangeAspect="1"/>
                    </pic:cNvPicPr>
                  </pic:nvPicPr>
                  <pic:blipFill>
                    <a:blip r:embed="rId5"/>
                    <a:stretch>
                      <a:fillRect/>
                    </a:stretch>
                  </pic:blipFill>
                  <pic:spPr>
                    <a:xfrm>
                      <a:off x="0" y="0"/>
                      <a:ext cx="2450465" cy="2110740"/>
                    </a:xfrm>
                    <a:prstGeom prst="rect">
                      <a:avLst/>
                    </a:prstGeom>
                  </pic:spPr>
                </pic:pic>
              </a:graphicData>
            </a:graphic>
          </wp:inline>
        </w:drawing>
      </w:r>
      <w:r>
        <w:rPr>
          <w:rFonts w:hint="eastAsia"/>
          <w:lang w:val="en-US" w:eastAsia="zh-CN"/>
        </w:rPr>
        <w:t xml:space="preserve">   </w:t>
      </w:r>
      <w:r>
        <w:drawing>
          <wp:inline distT="0" distB="0" distL="114300" distR="114300">
            <wp:extent cx="2498725" cy="2036445"/>
            <wp:effectExtent l="0" t="0" r="15875" b="1905"/>
            <wp:docPr id="3" name="图片 3" descr="05控规调整后图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05控规调整后图则"/>
                    <pic:cNvPicPr>
                      <a:picLocks noChangeAspect="1"/>
                    </pic:cNvPicPr>
                  </pic:nvPicPr>
                  <pic:blipFill>
                    <a:blip r:embed="rId6"/>
                    <a:srcRect l="7201" t="13657" r="33378" b="17869"/>
                    <a:stretch>
                      <a:fillRect/>
                    </a:stretch>
                  </pic:blipFill>
                  <pic:spPr>
                    <a:xfrm>
                      <a:off x="0" y="0"/>
                      <a:ext cx="2498725" cy="2036445"/>
                    </a:xfrm>
                    <a:prstGeom prst="rect">
                      <a:avLst/>
                    </a:prstGeom>
                  </pic:spPr>
                </pic:pic>
              </a:graphicData>
            </a:graphic>
          </wp:inline>
        </w:drawing>
      </w:r>
    </w:p>
    <w:p>
      <w:pPr>
        <w:spacing w:line="360" w:lineRule="auto"/>
        <w:rPr>
          <w:rFonts w:hint="eastAsia" w:eastAsiaTheme="minorEastAsia"/>
          <w:lang w:eastAsia="zh-CN"/>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rPr>
      </w:pPr>
      <w:r>
        <w:rPr>
          <w:rFonts w:hint="eastAsia" w:ascii="宋体" w:hAnsi="宋体" w:eastAsia="宋体" w:cs="宋体"/>
          <w:i w:val="0"/>
          <w:caps w:val="0"/>
          <w:color w:val="auto"/>
          <w:spacing w:val="0"/>
          <w:sz w:val="24"/>
          <w:szCs w:val="24"/>
          <w:shd w:val="clear" w:fill="FFFFFF"/>
          <w:lang w:eastAsia="zh-CN"/>
        </w:rPr>
        <w:t>（</w:t>
      </w:r>
      <w:r>
        <w:rPr>
          <w:rFonts w:hint="eastAsia" w:ascii="宋体" w:hAnsi="宋体" w:eastAsia="宋体" w:cs="宋体"/>
          <w:i w:val="0"/>
          <w:caps w:val="0"/>
          <w:color w:val="auto"/>
          <w:spacing w:val="0"/>
          <w:sz w:val="24"/>
          <w:szCs w:val="24"/>
          <w:shd w:val="clear" w:fill="FFFFFF"/>
          <w:lang w:val="en-US" w:eastAsia="zh-CN"/>
        </w:rPr>
        <w:t>2</w:t>
      </w:r>
      <w:r>
        <w:rPr>
          <w:rFonts w:hint="eastAsia" w:ascii="宋体" w:hAnsi="宋体" w:eastAsia="宋体" w:cs="宋体"/>
          <w:i w:val="0"/>
          <w:caps w:val="0"/>
          <w:color w:val="auto"/>
          <w:spacing w:val="0"/>
          <w:sz w:val="24"/>
          <w:szCs w:val="24"/>
          <w:shd w:val="clear" w:fill="FFFFFF"/>
          <w:lang w:eastAsia="zh-CN"/>
        </w:rPr>
        <w:t>）</w:t>
      </w:r>
      <w:r>
        <w:rPr>
          <w:rFonts w:hint="eastAsia" w:ascii="宋体" w:hAnsi="宋体" w:eastAsia="宋体" w:cs="宋体"/>
          <w:i w:val="0"/>
          <w:caps w:val="0"/>
          <w:color w:val="auto"/>
          <w:spacing w:val="0"/>
          <w:sz w:val="24"/>
          <w:szCs w:val="24"/>
          <w:shd w:val="clear" w:fill="FFFFFF"/>
        </w:rPr>
        <w:t>调整前后用地控制指标对比如下：</w:t>
      </w:r>
    </w:p>
    <w:tbl>
      <w:tblPr>
        <w:tblStyle w:val="8"/>
        <w:tblW w:w="9063" w:type="dxa"/>
        <w:tblInd w:w="-1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8"/>
        <w:gridCol w:w="1078"/>
        <w:gridCol w:w="946"/>
        <w:gridCol w:w="1122"/>
        <w:gridCol w:w="1106"/>
        <w:gridCol w:w="991"/>
        <w:gridCol w:w="932"/>
        <w:gridCol w:w="888"/>
        <w:gridCol w:w="12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728" w:type="dxa"/>
            <w:noWrap w:val="0"/>
            <w:vAlign w:val="top"/>
          </w:tcPr>
          <w:p>
            <w:pPr>
              <w:rPr>
                <w:rFonts w:hint="eastAsia" w:ascii="宋体" w:hAnsi="宋体" w:cs="宋体"/>
                <w:sz w:val="24"/>
              </w:rPr>
            </w:pPr>
            <w:r>
              <w:rPr>
                <w:rFonts w:hint="eastAsia" w:ascii="宋体" w:hAnsi="宋体" w:cs="宋体"/>
                <w:sz w:val="24"/>
              </w:rPr>
              <w:t>类型</w:t>
            </w:r>
          </w:p>
        </w:tc>
        <w:tc>
          <w:tcPr>
            <w:tcW w:w="1078" w:type="dxa"/>
            <w:noWrap w:val="0"/>
            <w:vAlign w:val="top"/>
          </w:tcPr>
          <w:p>
            <w:pPr>
              <w:rPr>
                <w:rFonts w:ascii="宋体" w:hAnsi="宋体" w:cs="宋体"/>
                <w:sz w:val="24"/>
              </w:rPr>
            </w:pPr>
            <w:r>
              <w:rPr>
                <w:rFonts w:hint="eastAsia" w:ascii="宋体" w:hAnsi="宋体" w:cs="宋体"/>
                <w:sz w:val="24"/>
              </w:rPr>
              <w:t>地块</w:t>
            </w:r>
          </w:p>
          <w:p>
            <w:pPr>
              <w:rPr>
                <w:rFonts w:hint="eastAsia" w:ascii="宋体" w:hAnsi="宋体" w:cs="宋体"/>
                <w:sz w:val="24"/>
              </w:rPr>
            </w:pPr>
            <w:r>
              <w:rPr>
                <w:rFonts w:hint="eastAsia" w:ascii="宋体" w:hAnsi="宋体" w:cs="宋体"/>
                <w:sz w:val="24"/>
              </w:rPr>
              <w:t>编码</w:t>
            </w:r>
          </w:p>
        </w:tc>
        <w:tc>
          <w:tcPr>
            <w:tcW w:w="946" w:type="dxa"/>
            <w:noWrap w:val="0"/>
            <w:vAlign w:val="top"/>
          </w:tcPr>
          <w:p>
            <w:pPr>
              <w:rPr>
                <w:rFonts w:hint="eastAsia" w:ascii="宋体" w:hAnsi="宋体" w:cs="宋体"/>
                <w:sz w:val="24"/>
              </w:rPr>
            </w:pPr>
            <w:r>
              <w:rPr>
                <w:rFonts w:hint="eastAsia" w:ascii="宋体" w:hAnsi="宋体" w:cs="宋体"/>
                <w:sz w:val="24"/>
              </w:rPr>
              <w:t>代码</w:t>
            </w:r>
          </w:p>
        </w:tc>
        <w:tc>
          <w:tcPr>
            <w:tcW w:w="1122" w:type="dxa"/>
            <w:noWrap w:val="0"/>
            <w:vAlign w:val="top"/>
          </w:tcPr>
          <w:p>
            <w:pPr>
              <w:rPr>
                <w:rFonts w:hint="eastAsia" w:ascii="宋体" w:hAnsi="宋体" w:cs="宋体"/>
                <w:sz w:val="24"/>
              </w:rPr>
            </w:pPr>
            <w:r>
              <w:rPr>
                <w:rFonts w:hint="eastAsia" w:ascii="宋体" w:hAnsi="宋体" w:cs="宋体"/>
                <w:sz w:val="24"/>
              </w:rPr>
              <w:t>用地面积（公顷）</w:t>
            </w:r>
          </w:p>
        </w:tc>
        <w:tc>
          <w:tcPr>
            <w:tcW w:w="1106" w:type="dxa"/>
            <w:noWrap w:val="0"/>
            <w:vAlign w:val="top"/>
          </w:tcPr>
          <w:p>
            <w:pPr>
              <w:rPr>
                <w:rFonts w:hint="eastAsia" w:ascii="宋体" w:hAnsi="宋体" w:cs="宋体"/>
                <w:sz w:val="24"/>
              </w:rPr>
            </w:pPr>
            <w:r>
              <w:rPr>
                <w:rFonts w:hint="eastAsia" w:ascii="宋体" w:hAnsi="宋体" w:cs="宋体"/>
                <w:sz w:val="24"/>
              </w:rPr>
              <w:t>容积率</w:t>
            </w:r>
          </w:p>
        </w:tc>
        <w:tc>
          <w:tcPr>
            <w:tcW w:w="991" w:type="dxa"/>
            <w:noWrap w:val="0"/>
            <w:vAlign w:val="top"/>
          </w:tcPr>
          <w:p>
            <w:pPr>
              <w:rPr>
                <w:rFonts w:hint="eastAsia" w:ascii="宋体" w:hAnsi="宋体" w:cs="宋体"/>
                <w:sz w:val="24"/>
              </w:rPr>
            </w:pPr>
            <w:r>
              <w:rPr>
                <w:rFonts w:hint="eastAsia" w:ascii="宋体" w:hAnsi="宋体" w:cs="宋体"/>
                <w:sz w:val="24"/>
              </w:rPr>
              <w:t>建筑密度（%）</w:t>
            </w:r>
          </w:p>
        </w:tc>
        <w:tc>
          <w:tcPr>
            <w:tcW w:w="932" w:type="dxa"/>
            <w:noWrap w:val="0"/>
            <w:vAlign w:val="top"/>
          </w:tcPr>
          <w:p>
            <w:pPr>
              <w:rPr>
                <w:rFonts w:hint="eastAsia" w:ascii="宋体" w:hAnsi="宋体" w:cs="宋体"/>
                <w:sz w:val="24"/>
              </w:rPr>
            </w:pPr>
            <w:r>
              <w:rPr>
                <w:rFonts w:hint="eastAsia" w:ascii="宋体" w:hAnsi="宋体" w:cs="宋体"/>
                <w:sz w:val="24"/>
              </w:rPr>
              <w:t>建筑高度（m）</w:t>
            </w:r>
          </w:p>
        </w:tc>
        <w:tc>
          <w:tcPr>
            <w:tcW w:w="888" w:type="dxa"/>
            <w:noWrap w:val="0"/>
            <w:vAlign w:val="top"/>
          </w:tcPr>
          <w:p>
            <w:pPr>
              <w:rPr>
                <w:rFonts w:hint="eastAsia" w:ascii="宋体" w:hAnsi="宋体" w:cs="宋体"/>
                <w:sz w:val="24"/>
              </w:rPr>
            </w:pPr>
            <w:r>
              <w:rPr>
                <w:rFonts w:hint="eastAsia" w:ascii="宋体" w:hAnsi="宋体" w:cs="宋体"/>
                <w:sz w:val="24"/>
              </w:rPr>
              <w:t>绿地率（%）</w:t>
            </w:r>
          </w:p>
        </w:tc>
        <w:tc>
          <w:tcPr>
            <w:tcW w:w="1272" w:type="dxa"/>
            <w:noWrap w:val="0"/>
            <w:vAlign w:val="top"/>
          </w:tcPr>
          <w:p>
            <w:pPr>
              <w:rPr>
                <w:rFonts w:hint="eastAsia" w:ascii="宋体" w:hAnsi="宋体" w:cs="宋体"/>
                <w:sz w:val="24"/>
              </w:rPr>
            </w:pPr>
            <w:r>
              <w:rPr>
                <w:rFonts w:hint="eastAsia" w:ascii="宋体" w:hAnsi="宋体" w:cs="宋体"/>
                <w:sz w:val="24"/>
              </w:rPr>
              <w:t>停车位指标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2" w:hRule="atLeast"/>
        </w:trPr>
        <w:tc>
          <w:tcPr>
            <w:tcW w:w="728" w:type="dxa"/>
            <w:vMerge w:val="restart"/>
            <w:noWrap w:val="0"/>
            <w:vAlign w:val="top"/>
          </w:tcPr>
          <w:p>
            <w:pPr>
              <w:spacing w:line="360" w:lineRule="auto"/>
              <w:rPr>
                <w:rFonts w:hint="eastAsia" w:ascii="宋体" w:hAnsi="宋体" w:cs="宋体"/>
                <w:sz w:val="24"/>
              </w:rPr>
            </w:pPr>
            <w:r>
              <w:rPr>
                <w:rFonts w:hint="eastAsia" w:ascii="宋体" w:hAnsi="宋体" w:cs="宋体"/>
                <w:sz w:val="24"/>
              </w:rPr>
              <w:t>原控规指标</w:t>
            </w:r>
          </w:p>
          <w:p>
            <w:pPr>
              <w:spacing w:line="360" w:lineRule="auto"/>
              <w:ind w:firstLine="480"/>
              <w:jc w:val="center"/>
              <w:rPr>
                <w:rFonts w:hint="eastAsia" w:ascii="宋体" w:hAnsi="宋体" w:cs="宋体"/>
                <w:sz w:val="24"/>
              </w:rPr>
            </w:pPr>
          </w:p>
        </w:tc>
        <w:tc>
          <w:tcPr>
            <w:tcW w:w="1078" w:type="dxa"/>
            <w:noWrap w:val="0"/>
            <w:vAlign w:val="center"/>
          </w:tcPr>
          <w:p>
            <w:pPr>
              <w:widowControl/>
              <w:spacing w:line="360" w:lineRule="auto"/>
              <w:jc w:val="center"/>
              <w:rPr>
                <w:rFonts w:hint="eastAsia" w:ascii="宋体" w:hAnsi="宋体" w:eastAsia="宋体" w:cs="宋体"/>
                <w:color w:val="auto"/>
                <w:kern w:val="2"/>
                <w:sz w:val="24"/>
                <w:szCs w:val="22"/>
                <w:lang w:val="en-US" w:eastAsia="zh-CN" w:bidi="ar-SA"/>
              </w:rPr>
            </w:pPr>
            <w:r>
              <w:rPr>
                <w:rFonts w:hint="eastAsia" w:ascii="宋体" w:hAnsi="宋体" w:cs="宋体"/>
                <w:sz w:val="24"/>
                <w:lang w:val="en-US" w:eastAsia="zh-CN"/>
              </w:rPr>
              <w:t>F-02-01</w:t>
            </w:r>
          </w:p>
        </w:tc>
        <w:tc>
          <w:tcPr>
            <w:tcW w:w="946" w:type="dxa"/>
            <w:noWrap w:val="0"/>
            <w:vAlign w:val="center"/>
          </w:tcPr>
          <w:p>
            <w:pPr>
              <w:widowControl/>
              <w:spacing w:line="360" w:lineRule="auto"/>
              <w:jc w:val="center"/>
              <w:rPr>
                <w:rFonts w:hint="eastAsia" w:ascii="宋体" w:hAnsi="宋体" w:eastAsia="宋体" w:cs="宋体"/>
                <w:color w:val="auto"/>
                <w:kern w:val="2"/>
                <w:sz w:val="24"/>
                <w:szCs w:val="22"/>
                <w:lang w:val="en-US" w:eastAsia="zh-CN" w:bidi="ar-SA"/>
              </w:rPr>
            </w:pPr>
            <w:r>
              <w:rPr>
                <w:rFonts w:hint="eastAsia" w:ascii="宋体" w:hAnsi="宋体" w:cs="宋体"/>
                <w:color w:val="auto"/>
                <w:sz w:val="24"/>
                <w:lang w:val="en-US" w:eastAsia="zh-CN"/>
              </w:rPr>
              <w:t>070102</w:t>
            </w:r>
          </w:p>
        </w:tc>
        <w:tc>
          <w:tcPr>
            <w:tcW w:w="1122" w:type="dxa"/>
            <w:noWrap w:val="0"/>
            <w:vAlign w:val="center"/>
          </w:tcPr>
          <w:p>
            <w:pPr>
              <w:bidi w:val="0"/>
              <w:jc w:val="center"/>
              <w:rPr>
                <w:rFonts w:hint="default" w:eastAsia="宋体" w:asciiTheme="minorHAnsi" w:hAnsiTheme="minorHAnsi" w:cstheme="minorBidi"/>
                <w:color w:val="auto"/>
                <w:kern w:val="2"/>
                <w:sz w:val="21"/>
                <w:szCs w:val="22"/>
                <w:lang w:val="en-US" w:eastAsia="zh-CN" w:bidi="ar-SA"/>
              </w:rPr>
            </w:pPr>
            <w:r>
              <w:rPr>
                <w:rFonts w:hint="eastAsia" w:ascii="宋体" w:hAnsi="宋体" w:eastAsia="宋体" w:cs="宋体"/>
                <w:sz w:val="24"/>
                <w:szCs w:val="24"/>
                <w:lang w:val="en-US" w:eastAsia="zh-CN"/>
              </w:rPr>
              <w:t>4.02</w:t>
            </w:r>
          </w:p>
        </w:tc>
        <w:tc>
          <w:tcPr>
            <w:tcW w:w="1106" w:type="dxa"/>
            <w:noWrap w:val="0"/>
            <w:vAlign w:val="center"/>
          </w:tcPr>
          <w:p>
            <w:pPr>
              <w:widowControl/>
              <w:spacing w:line="360" w:lineRule="auto"/>
              <w:jc w:val="center"/>
              <w:rPr>
                <w:rFonts w:hint="eastAsia" w:ascii="宋体" w:hAnsi="宋体" w:eastAsia="宋体" w:cs="宋体"/>
                <w:color w:val="auto"/>
                <w:kern w:val="2"/>
                <w:sz w:val="24"/>
                <w:szCs w:val="22"/>
                <w:lang w:val="en-US" w:eastAsia="zh-CN" w:bidi="ar-SA"/>
              </w:rPr>
            </w:pPr>
            <w:r>
              <w:rPr>
                <w:rFonts w:hint="eastAsia" w:ascii="宋体" w:hAnsi="宋体" w:cs="宋体"/>
                <w:color w:val="auto"/>
                <w:sz w:val="24"/>
                <w:lang w:val="en-US" w:eastAsia="zh-CN"/>
              </w:rPr>
              <w:t>1.5-3.0</w:t>
            </w:r>
          </w:p>
        </w:tc>
        <w:tc>
          <w:tcPr>
            <w:tcW w:w="991" w:type="dxa"/>
            <w:noWrap w:val="0"/>
            <w:vAlign w:val="center"/>
          </w:tcPr>
          <w:p>
            <w:pPr>
              <w:bidi w:val="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30</w:t>
            </w:r>
          </w:p>
        </w:tc>
        <w:tc>
          <w:tcPr>
            <w:tcW w:w="932" w:type="dxa"/>
            <w:noWrap w:val="0"/>
            <w:vAlign w:val="center"/>
          </w:tcPr>
          <w:p>
            <w:pPr>
              <w:bidi w:val="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36</w:t>
            </w:r>
          </w:p>
        </w:tc>
        <w:tc>
          <w:tcPr>
            <w:tcW w:w="888" w:type="dxa"/>
            <w:noWrap w:val="0"/>
            <w:vAlign w:val="center"/>
          </w:tcPr>
          <w:p>
            <w:pPr>
              <w:bidi w:val="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3</w:t>
            </w:r>
            <w:r>
              <w:rPr>
                <w:rFonts w:hint="eastAsia" w:ascii="宋体" w:hAnsi="宋体" w:eastAsia="宋体" w:cs="宋体"/>
                <w:sz w:val="24"/>
                <w:szCs w:val="24"/>
                <w:lang w:val="en-US" w:eastAsia="zh-CN"/>
              </w:rPr>
              <w:t>0</w:t>
            </w:r>
          </w:p>
        </w:tc>
        <w:tc>
          <w:tcPr>
            <w:tcW w:w="1272" w:type="dxa"/>
            <w:noWrap w:val="0"/>
            <w:vAlign w:val="center"/>
          </w:tcPr>
          <w:p>
            <w:pPr>
              <w:bidi w:val="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0.8</w:t>
            </w:r>
            <w:r>
              <w:rPr>
                <w:rFonts w:hint="eastAsia" w:ascii="宋体" w:hAnsi="宋体" w:eastAsia="宋体" w:cs="宋体"/>
                <w:sz w:val="24"/>
                <w:szCs w:val="24"/>
              </w:rPr>
              <w:t>个/户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7" w:hRule="atLeast"/>
        </w:trPr>
        <w:tc>
          <w:tcPr>
            <w:tcW w:w="728" w:type="dxa"/>
            <w:vMerge w:val="continue"/>
            <w:noWrap w:val="0"/>
            <w:vAlign w:val="top"/>
          </w:tcPr>
          <w:p>
            <w:pPr>
              <w:spacing w:line="360" w:lineRule="auto"/>
              <w:ind w:firstLine="480"/>
              <w:jc w:val="center"/>
              <w:rPr>
                <w:rFonts w:hint="eastAsia" w:ascii="宋体" w:hAnsi="宋体" w:cs="宋体"/>
                <w:sz w:val="24"/>
              </w:rPr>
            </w:pPr>
          </w:p>
        </w:tc>
        <w:tc>
          <w:tcPr>
            <w:tcW w:w="1078" w:type="dxa"/>
            <w:noWrap w:val="0"/>
            <w:vAlign w:val="center"/>
          </w:tcPr>
          <w:p>
            <w:pPr>
              <w:widowControl/>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cs="宋体"/>
                <w:sz w:val="24"/>
                <w:lang w:val="en-US" w:eastAsia="zh-CN"/>
              </w:rPr>
              <w:t>F-02-02</w:t>
            </w:r>
          </w:p>
        </w:tc>
        <w:tc>
          <w:tcPr>
            <w:tcW w:w="946" w:type="dxa"/>
            <w:noWrap w:val="0"/>
            <w:vAlign w:val="center"/>
          </w:tcPr>
          <w:p>
            <w:pPr>
              <w:widowControl/>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cs="宋体"/>
                <w:color w:val="auto"/>
                <w:sz w:val="24"/>
                <w:lang w:val="en-US" w:eastAsia="zh-CN"/>
              </w:rPr>
              <w:t>070102</w:t>
            </w:r>
          </w:p>
        </w:tc>
        <w:tc>
          <w:tcPr>
            <w:tcW w:w="1122" w:type="dxa"/>
            <w:noWrap w:val="0"/>
            <w:vAlign w:val="center"/>
          </w:tcPr>
          <w:p>
            <w:pPr>
              <w:bidi w:val="0"/>
              <w:jc w:val="center"/>
              <w:rPr>
                <w:rFonts w:hint="eastAsia" w:eastAsia="宋体" w:asciiTheme="minorHAnsi" w:hAnsiTheme="minorHAnsi" w:cstheme="minorBidi"/>
                <w:color w:val="auto"/>
                <w:kern w:val="2"/>
                <w:sz w:val="21"/>
                <w:szCs w:val="24"/>
                <w:lang w:val="en-US" w:eastAsia="zh-CN" w:bidi="ar-SA"/>
              </w:rPr>
            </w:pPr>
            <w:r>
              <w:rPr>
                <w:rFonts w:hint="eastAsia" w:ascii="宋体" w:hAnsi="宋体" w:eastAsia="宋体" w:cs="宋体"/>
                <w:sz w:val="24"/>
                <w:szCs w:val="24"/>
                <w:lang w:val="en-US" w:eastAsia="zh-CN"/>
              </w:rPr>
              <w:t>2.65</w:t>
            </w:r>
          </w:p>
        </w:tc>
        <w:tc>
          <w:tcPr>
            <w:tcW w:w="1106" w:type="dxa"/>
            <w:noWrap w:val="0"/>
            <w:vAlign w:val="center"/>
          </w:tcPr>
          <w:p>
            <w:pPr>
              <w:widowControl/>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cs="宋体"/>
                <w:color w:val="auto"/>
                <w:sz w:val="24"/>
                <w:lang w:val="en-US" w:eastAsia="zh-CN"/>
              </w:rPr>
              <w:t>1.5-3.0</w:t>
            </w:r>
          </w:p>
        </w:tc>
        <w:tc>
          <w:tcPr>
            <w:tcW w:w="991" w:type="dxa"/>
            <w:noWrap w:val="0"/>
            <w:vAlign w:val="center"/>
          </w:tcPr>
          <w:p>
            <w:pPr>
              <w:bidi w:val="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30</w:t>
            </w:r>
          </w:p>
        </w:tc>
        <w:tc>
          <w:tcPr>
            <w:tcW w:w="932" w:type="dxa"/>
            <w:noWrap w:val="0"/>
            <w:vAlign w:val="center"/>
          </w:tcPr>
          <w:p>
            <w:pPr>
              <w:bidi w:val="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36</w:t>
            </w:r>
          </w:p>
        </w:tc>
        <w:tc>
          <w:tcPr>
            <w:tcW w:w="888" w:type="dxa"/>
            <w:noWrap w:val="0"/>
            <w:vAlign w:val="center"/>
          </w:tcPr>
          <w:p>
            <w:pPr>
              <w:bidi w:val="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3</w:t>
            </w:r>
            <w:r>
              <w:rPr>
                <w:rFonts w:hint="eastAsia" w:ascii="宋体" w:hAnsi="宋体" w:eastAsia="宋体" w:cs="宋体"/>
                <w:sz w:val="24"/>
                <w:szCs w:val="24"/>
                <w:lang w:val="en-US" w:eastAsia="zh-CN"/>
              </w:rPr>
              <w:t>0</w:t>
            </w:r>
          </w:p>
        </w:tc>
        <w:tc>
          <w:tcPr>
            <w:tcW w:w="1272" w:type="dxa"/>
            <w:noWrap w:val="0"/>
            <w:vAlign w:val="center"/>
          </w:tcPr>
          <w:p>
            <w:pPr>
              <w:bidi w:val="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0.8</w:t>
            </w:r>
            <w:r>
              <w:rPr>
                <w:rFonts w:hint="eastAsia" w:ascii="宋体" w:hAnsi="宋体" w:eastAsia="宋体" w:cs="宋体"/>
                <w:sz w:val="24"/>
                <w:szCs w:val="24"/>
              </w:rPr>
              <w:t>个/户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728" w:type="dxa"/>
            <w:noWrap w:val="0"/>
            <w:vAlign w:val="top"/>
          </w:tcPr>
          <w:p>
            <w:pPr>
              <w:spacing w:line="360" w:lineRule="auto"/>
              <w:rPr>
                <w:rFonts w:hint="eastAsia"/>
              </w:rPr>
            </w:pPr>
            <w:r>
              <w:rPr>
                <w:rFonts w:hint="eastAsia" w:ascii="宋体" w:hAnsi="宋体" w:cs="宋体"/>
                <w:sz w:val="24"/>
              </w:rPr>
              <w:t>调整后指标</w:t>
            </w:r>
          </w:p>
        </w:tc>
        <w:tc>
          <w:tcPr>
            <w:tcW w:w="1078" w:type="dxa"/>
            <w:noWrap w:val="0"/>
            <w:vAlign w:val="center"/>
          </w:tcPr>
          <w:p>
            <w:pPr>
              <w:widowControl/>
              <w:spacing w:line="360" w:lineRule="auto"/>
              <w:jc w:val="center"/>
              <w:rPr>
                <w:rFonts w:hint="eastAsia" w:eastAsia="宋体" w:asciiTheme="minorHAnsi" w:hAnsiTheme="minorHAnsi" w:cstheme="minorBidi"/>
                <w:kern w:val="2"/>
                <w:sz w:val="24"/>
                <w:szCs w:val="24"/>
                <w:lang w:val="en-US" w:eastAsia="zh-CN" w:bidi="ar-SA"/>
              </w:rPr>
            </w:pPr>
            <w:r>
              <w:rPr>
                <w:rFonts w:hint="eastAsia" w:ascii="宋体" w:hAnsi="宋体" w:cs="宋体"/>
                <w:sz w:val="24"/>
                <w:lang w:val="en-US" w:eastAsia="zh-CN"/>
              </w:rPr>
              <w:t>F-02-01</w:t>
            </w:r>
          </w:p>
        </w:tc>
        <w:tc>
          <w:tcPr>
            <w:tcW w:w="946" w:type="dxa"/>
            <w:noWrap w:val="0"/>
            <w:vAlign w:val="center"/>
          </w:tcPr>
          <w:p>
            <w:pPr>
              <w:spacing w:line="360" w:lineRule="auto"/>
              <w:jc w:val="center"/>
              <w:rPr>
                <w:rFonts w:hint="eastAsia" w:ascii="宋体" w:hAnsi="宋体" w:eastAsia="宋体" w:cs="宋体"/>
                <w:kern w:val="2"/>
                <w:sz w:val="24"/>
                <w:szCs w:val="24"/>
                <w:lang w:val="en-US" w:eastAsia="zh-CN" w:bidi="ar-SA"/>
              </w:rPr>
            </w:pPr>
            <w:r>
              <w:rPr>
                <w:rFonts w:hint="eastAsia" w:ascii="宋体" w:hAnsi="宋体" w:cs="宋体"/>
                <w:sz w:val="24"/>
                <w:szCs w:val="24"/>
                <w:lang w:val="en-US" w:eastAsia="zh-CN"/>
              </w:rPr>
              <w:t>070102</w:t>
            </w:r>
          </w:p>
        </w:tc>
        <w:tc>
          <w:tcPr>
            <w:tcW w:w="1122" w:type="dxa"/>
            <w:noWrap w:val="0"/>
            <w:vAlign w:val="center"/>
          </w:tcPr>
          <w:p>
            <w:pPr>
              <w:spacing w:line="360" w:lineRule="auto"/>
              <w:jc w:val="center"/>
              <w:rPr>
                <w:rFonts w:hint="eastAsia" w:ascii="宋体" w:hAnsi="宋体" w:eastAsia="宋体" w:cs="宋体"/>
                <w:kern w:val="2"/>
                <w:sz w:val="24"/>
                <w:szCs w:val="24"/>
                <w:lang w:val="en-US" w:eastAsia="zh-CN" w:bidi="ar-SA"/>
              </w:rPr>
            </w:pPr>
            <w:r>
              <w:rPr>
                <w:rFonts w:hint="eastAsia" w:ascii="宋体" w:hAnsi="宋体" w:cs="宋体"/>
                <w:sz w:val="24"/>
                <w:szCs w:val="24"/>
                <w:lang w:val="en-US" w:eastAsia="zh-CN"/>
              </w:rPr>
              <w:t>6.99</w:t>
            </w:r>
          </w:p>
        </w:tc>
        <w:tc>
          <w:tcPr>
            <w:tcW w:w="1106" w:type="dxa"/>
            <w:noWrap w:val="0"/>
            <w:vAlign w:val="center"/>
          </w:tcPr>
          <w:p>
            <w:pPr>
              <w:spacing w:line="360" w:lineRule="auto"/>
              <w:jc w:val="center"/>
              <w:rPr>
                <w:rFonts w:hint="eastAsia" w:ascii="宋体" w:hAnsi="宋体" w:eastAsia="宋体" w:cs="宋体"/>
                <w:kern w:val="2"/>
                <w:sz w:val="24"/>
                <w:szCs w:val="24"/>
                <w:lang w:val="en-US" w:eastAsia="zh-CN" w:bidi="ar-SA"/>
              </w:rPr>
            </w:pPr>
            <w:r>
              <w:rPr>
                <w:rFonts w:hint="eastAsia" w:ascii="宋体" w:hAnsi="宋体" w:cs="宋体"/>
                <w:sz w:val="24"/>
                <w:szCs w:val="24"/>
                <w:lang w:val="en-US" w:eastAsia="zh-CN"/>
              </w:rPr>
              <w:t>1.8</w:t>
            </w:r>
          </w:p>
        </w:tc>
        <w:tc>
          <w:tcPr>
            <w:tcW w:w="991" w:type="dxa"/>
            <w:noWrap w:val="0"/>
            <w:vAlign w:val="center"/>
          </w:tcPr>
          <w:p>
            <w:pPr>
              <w:spacing w:line="360" w:lineRule="auto"/>
              <w:jc w:val="center"/>
              <w:rPr>
                <w:rFonts w:hint="eastAsia" w:ascii="宋体" w:hAnsi="宋体" w:eastAsia="宋体" w:cs="宋体"/>
                <w:kern w:val="2"/>
                <w:sz w:val="24"/>
                <w:szCs w:val="24"/>
                <w:lang w:val="en-US" w:eastAsia="zh-CN" w:bidi="ar-SA"/>
              </w:rPr>
            </w:pPr>
            <w:r>
              <w:rPr>
                <w:rFonts w:hint="eastAsia" w:ascii="宋体" w:hAnsi="宋体" w:cs="宋体"/>
                <w:sz w:val="24"/>
                <w:szCs w:val="24"/>
                <w:lang w:val="en-US" w:eastAsia="zh-CN"/>
              </w:rPr>
              <w:t>30</w:t>
            </w:r>
          </w:p>
        </w:tc>
        <w:tc>
          <w:tcPr>
            <w:tcW w:w="932" w:type="dxa"/>
            <w:noWrap w:val="0"/>
            <w:vAlign w:val="center"/>
          </w:tcPr>
          <w:p>
            <w:pPr>
              <w:spacing w:line="360" w:lineRule="auto"/>
              <w:jc w:val="center"/>
              <w:rPr>
                <w:rFonts w:hint="eastAsia" w:ascii="宋体" w:hAnsi="宋体" w:eastAsia="宋体" w:cs="宋体"/>
                <w:kern w:val="2"/>
                <w:sz w:val="24"/>
                <w:szCs w:val="24"/>
                <w:lang w:val="en-US" w:eastAsia="zh-CN" w:bidi="ar-SA"/>
              </w:rPr>
            </w:pPr>
            <w:r>
              <w:rPr>
                <w:rFonts w:hint="eastAsia" w:ascii="宋体" w:hAnsi="宋体" w:cs="宋体"/>
                <w:sz w:val="24"/>
                <w:szCs w:val="24"/>
                <w:lang w:val="en-US" w:eastAsia="zh-CN"/>
              </w:rPr>
              <w:t>54</w:t>
            </w:r>
          </w:p>
        </w:tc>
        <w:tc>
          <w:tcPr>
            <w:tcW w:w="888" w:type="dxa"/>
            <w:noWrap w:val="0"/>
            <w:vAlign w:val="center"/>
          </w:tcPr>
          <w:p>
            <w:pPr>
              <w:spacing w:line="360" w:lineRule="auto"/>
              <w:jc w:val="center"/>
              <w:rPr>
                <w:rFonts w:hint="eastAsia" w:ascii="宋体" w:hAnsi="宋体" w:cs="宋体" w:eastAsiaTheme="minorEastAsia"/>
                <w:kern w:val="2"/>
                <w:sz w:val="24"/>
                <w:szCs w:val="24"/>
                <w:lang w:val="en-US" w:eastAsia="zh-CN" w:bidi="ar-SA"/>
              </w:rPr>
            </w:pPr>
            <w:r>
              <w:rPr>
                <w:rFonts w:hint="eastAsia" w:ascii="宋体" w:hAnsi="宋体" w:cs="宋体"/>
                <w:sz w:val="24"/>
                <w:szCs w:val="24"/>
                <w:lang w:val="en-US" w:eastAsia="zh-CN"/>
              </w:rPr>
              <w:t>3</w:t>
            </w:r>
            <w:r>
              <w:rPr>
                <w:rFonts w:hint="eastAsia" w:ascii="宋体" w:hAnsi="宋体" w:cs="宋体"/>
                <w:sz w:val="24"/>
                <w:szCs w:val="24"/>
              </w:rPr>
              <w:t>5</w:t>
            </w:r>
          </w:p>
        </w:tc>
        <w:tc>
          <w:tcPr>
            <w:tcW w:w="1272" w:type="dxa"/>
            <w:noWrap w:val="0"/>
            <w:vAlign w:val="center"/>
          </w:tcPr>
          <w:p>
            <w:pPr>
              <w:pStyle w:val="16"/>
              <w:ind w:right="21" w:rightChars="0"/>
              <w:jc w:val="center"/>
              <w:rPr>
                <w:rFonts w:hint="eastAsia" w:ascii="宋体" w:hAnsi="宋体" w:eastAsia="宋体" w:cs="宋体"/>
                <w:kern w:val="2"/>
                <w:sz w:val="24"/>
                <w:szCs w:val="24"/>
                <w:lang w:val="zh-CN" w:eastAsia="zh-CN" w:bidi="zh-CN"/>
              </w:rPr>
            </w:pPr>
            <w:r>
              <w:rPr>
                <w:rFonts w:hint="eastAsia" w:ascii="宋体" w:hAnsi="宋体" w:cs="宋体"/>
                <w:sz w:val="24"/>
                <w:lang w:val="en-US" w:eastAsia="zh-CN"/>
              </w:rPr>
              <w:t>1</w:t>
            </w:r>
            <w:r>
              <w:rPr>
                <w:rFonts w:hint="eastAsia" w:cs="宋体"/>
                <w:sz w:val="24"/>
                <w:lang w:val="en-US" w:eastAsia="zh-CN"/>
              </w:rPr>
              <w:t>.0</w:t>
            </w:r>
            <w:r>
              <w:rPr>
                <w:rFonts w:hint="eastAsia" w:ascii="宋体" w:hAnsi="宋体" w:cs="宋体"/>
                <w:sz w:val="24"/>
                <w:lang w:val="en-US" w:eastAsia="zh-CN"/>
              </w:rPr>
              <w:t>个/户</w:t>
            </w:r>
          </w:p>
        </w:tc>
      </w:tr>
    </w:tbl>
    <w:p>
      <w:pPr>
        <w:spacing w:line="360" w:lineRule="auto"/>
        <w:rPr>
          <w:rFonts w:hint="eastAsia" w:asciiTheme="minorEastAsia" w:hAnsiTheme="minorEastAsia" w:eastAsiaTheme="minorEastAsia" w:cstheme="minorEastAsia"/>
          <w:color w:val="auto"/>
          <w:sz w:val="18"/>
          <w:szCs w:val="18"/>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BBA163"/>
    <w:multiLevelType w:val="singleLevel"/>
    <w:tmpl w:val="D1BBA163"/>
    <w:lvl w:ilvl="0" w:tentative="0">
      <w:start w:val="5"/>
      <w:numFmt w:val="decimal"/>
      <w:suff w:val="nothing"/>
      <w:lvlText w:val="%1、"/>
      <w:lvlJc w:val="left"/>
    </w:lvl>
  </w:abstractNum>
  <w:abstractNum w:abstractNumId="1">
    <w:nsid w:val="14814969"/>
    <w:multiLevelType w:val="multilevel"/>
    <w:tmpl w:val="14814969"/>
    <w:lvl w:ilvl="0" w:tentative="0">
      <w:start w:val="1"/>
      <w:numFmt w:val="chineseCountingThousand"/>
      <w:pStyle w:val="2"/>
      <w:lvlText w:val="第%1章"/>
      <w:lvlJc w:val="left"/>
      <w:pPr>
        <w:ind w:left="420" w:hanging="420"/>
      </w:pPr>
      <w:rPr>
        <w:rFonts w:hint="eastAsia" w:cs="Times New Roman"/>
      </w:rPr>
    </w:lvl>
    <w:lvl w:ilvl="1" w:tentative="0">
      <w:start w:val="3"/>
      <w:numFmt w:val="japaneseCounting"/>
      <w:lvlText w:val="第%2节"/>
      <w:lvlJc w:val="left"/>
      <w:pPr>
        <w:tabs>
          <w:tab w:val="left" w:pos="1500"/>
        </w:tabs>
        <w:ind w:left="1500" w:hanging="1080"/>
      </w:pPr>
      <w:rPr>
        <w:rFonts w:hint="default"/>
      </w:rPr>
    </w:lvl>
    <w:lvl w:ilvl="2" w:tentative="0">
      <w:start w:val="1"/>
      <w:numFmt w:val="lowerRoman"/>
      <w:lvlText w:val="%3."/>
      <w:lvlJc w:val="right"/>
      <w:pPr>
        <w:ind w:left="1260" w:hanging="420"/>
      </w:pPr>
      <w:rPr>
        <w:rFonts w:cs="Times New Roman"/>
      </w:rPr>
    </w:lvl>
    <w:lvl w:ilvl="3" w:tentative="0">
      <w:start w:val="1"/>
      <w:numFmt w:val="decimal"/>
      <w:lvlText w:val="%4."/>
      <w:lvlJc w:val="left"/>
      <w:pPr>
        <w:ind w:left="1680" w:hanging="420"/>
      </w:pPr>
      <w:rPr>
        <w:rFonts w:cs="Times New Roman"/>
      </w:rPr>
    </w:lvl>
    <w:lvl w:ilvl="4" w:tentative="0">
      <w:start w:val="1"/>
      <w:numFmt w:val="lowerLetter"/>
      <w:lvlText w:val="%5)"/>
      <w:lvlJc w:val="left"/>
      <w:pPr>
        <w:ind w:left="2100" w:hanging="420"/>
      </w:pPr>
      <w:rPr>
        <w:rFonts w:cs="Times New Roman"/>
      </w:rPr>
    </w:lvl>
    <w:lvl w:ilvl="5" w:tentative="0">
      <w:start w:val="1"/>
      <w:numFmt w:val="lowerRoman"/>
      <w:lvlText w:val="%6."/>
      <w:lvlJc w:val="right"/>
      <w:pPr>
        <w:ind w:left="2520" w:hanging="420"/>
      </w:pPr>
      <w:rPr>
        <w:rFonts w:cs="Times New Roman"/>
      </w:rPr>
    </w:lvl>
    <w:lvl w:ilvl="6" w:tentative="0">
      <w:start w:val="1"/>
      <w:numFmt w:val="decimal"/>
      <w:lvlText w:val="%7."/>
      <w:lvlJc w:val="left"/>
      <w:pPr>
        <w:ind w:left="2940" w:hanging="420"/>
      </w:pPr>
      <w:rPr>
        <w:rFonts w:cs="Times New Roman"/>
      </w:rPr>
    </w:lvl>
    <w:lvl w:ilvl="7" w:tentative="0">
      <w:start w:val="1"/>
      <w:numFmt w:val="lowerLetter"/>
      <w:lvlText w:val="%8)"/>
      <w:lvlJc w:val="left"/>
      <w:pPr>
        <w:ind w:left="3360" w:hanging="420"/>
      </w:pPr>
      <w:rPr>
        <w:rFonts w:cs="Times New Roman"/>
      </w:rPr>
    </w:lvl>
    <w:lvl w:ilvl="8" w:tentative="0">
      <w:start w:val="1"/>
      <w:numFmt w:val="lowerRoman"/>
      <w:lvlText w:val="%9."/>
      <w:lvlJc w:val="right"/>
      <w:pPr>
        <w:ind w:left="3780" w:hanging="420"/>
      </w:pPr>
      <w:rPr>
        <w:rFonts w:cs="Times New Roman"/>
      </w:rPr>
    </w:lvl>
  </w:abstractNum>
  <w:abstractNum w:abstractNumId="2">
    <w:nsid w:val="25755761"/>
    <w:multiLevelType w:val="singleLevel"/>
    <w:tmpl w:val="25755761"/>
    <w:lvl w:ilvl="0" w:tentative="0">
      <w:start w:val="1"/>
      <w:numFmt w:val="decimal"/>
      <w:suff w:val="nothing"/>
      <w:lvlText w:val="（%1）"/>
      <w:lvlJc w:val="left"/>
    </w:lvl>
  </w:abstractNum>
  <w:abstractNum w:abstractNumId="3">
    <w:nsid w:val="2F4C22E0"/>
    <w:multiLevelType w:val="multilevel"/>
    <w:tmpl w:val="2F4C22E0"/>
    <w:lvl w:ilvl="0" w:tentative="0">
      <w:start w:val="1"/>
      <w:numFmt w:val="decimal"/>
      <w:pStyle w:val="4"/>
      <w:lvlText w:val="第%1条"/>
      <w:lvlJc w:val="left"/>
      <w:pPr>
        <w:ind w:left="4531" w:hanging="420"/>
      </w:pPr>
      <w:rPr>
        <w:rFonts w:hint="eastAsia" w:cs="Times New Roman"/>
      </w:rPr>
    </w:lvl>
    <w:lvl w:ilvl="1" w:tentative="0">
      <w:start w:val="1"/>
      <w:numFmt w:val="japaneseCounting"/>
      <w:lvlText w:val="第%2节"/>
      <w:lvlJc w:val="left"/>
      <w:pPr>
        <w:tabs>
          <w:tab w:val="left" w:pos="1500"/>
        </w:tabs>
        <w:ind w:left="1500" w:hanging="1080"/>
      </w:pPr>
      <w:rPr>
        <w:rFonts w:hint="default"/>
      </w:rPr>
    </w:lvl>
    <w:lvl w:ilvl="2" w:tentative="0">
      <w:start w:val="1"/>
      <w:numFmt w:val="lowerRoman"/>
      <w:lvlText w:val="%3."/>
      <w:lvlJc w:val="right"/>
      <w:pPr>
        <w:ind w:left="1260" w:hanging="420"/>
      </w:pPr>
      <w:rPr>
        <w:rFonts w:cs="Times New Roman"/>
      </w:rPr>
    </w:lvl>
    <w:lvl w:ilvl="3" w:tentative="0">
      <w:start w:val="1"/>
      <w:numFmt w:val="decimal"/>
      <w:lvlText w:val="%4."/>
      <w:lvlJc w:val="left"/>
      <w:pPr>
        <w:ind w:left="1680" w:hanging="420"/>
      </w:pPr>
      <w:rPr>
        <w:rFonts w:cs="Times New Roman"/>
      </w:rPr>
    </w:lvl>
    <w:lvl w:ilvl="4" w:tentative="0">
      <w:start w:val="1"/>
      <w:numFmt w:val="lowerLetter"/>
      <w:lvlText w:val="%5)"/>
      <w:lvlJc w:val="left"/>
      <w:pPr>
        <w:ind w:left="2100" w:hanging="420"/>
      </w:pPr>
      <w:rPr>
        <w:rFonts w:cs="Times New Roman"/>
      </w:rPr>
    </w:lvl>
    <w:lvl w:ilvl="5" w:tentative="0">
      <w:start w:val="1"/>
      <w:numFmt w:val="lowerRoman"/>
      <w:lvlText w:val="%6."/>
      <w:lvlJc w:val="right"/>
      <w:pPr>
        <w:ind w:left="2520" w:hanging="420"/>
      </w:pPr>
      <w:rPr>
        <w:rFonts w:cs="Times New Roman"/>
      </w:rPr>
    </w:lvl>
    <w:lvl w:ilvl="6" w:tentative="0">
      <w:start w:val="1"/>
      <w:numFmt w:val="decimal"/>
      <w:lvlText w:val="%7."/>
      <w:lvlJc w:val="left"/>
      <w:pPr>
        <w:ind w:left="2940" w:hanging="420"/>
      </w:pPr>
      <w:rPr>
        <w:rFonts w:cs="Times New Roman"/>
      </w:rPr>
    </w:lvl>
    <w:lvl w:ilvl="7" w:tentative="0">
      <w:start w:val="1"/>
      <w:numFmt w:val="lowerLetter"/>
      <w:lvlText w:val="%8)"/>
      <w:lvlJc w:val="left"/>
      <w:pPr>
        <w:ind w:left="3360" w:hanging="420"/>
      </w:pPr>
      <w:rPr>
        <w:rFonts w:cs="Times New Roman"/>
      </w:rPr>
    </w:lvl>
    <w:lvl w:ilvl="8" w:tentative="0">
      <w:start w:val="1"/>
      <w:numFmt w:val="lowerRoman"/>
      <w:lvlText w:val="%9."/>
      <w:lvlJc w:val="right"/>
      <w:pPr>
        <w:ind w:left="3780" w:hanging="420"/>
      </w:pPr>
      <w:rPr>
        <w:rFonts w:cs="Times New Roman"/>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0184"/>
    <w:rsid w:val="001C6FBA"/>
    <w:rsid w:val="002C46E3"/>
    <w:rsid w:val="00320184"/>
    <w:rsid w:val="003B7B55"/>
    <w:rsid w:val="00516EFC"/>
    <w:rsid w:val="00614EE2"/>
    <w:rsid w:val="0066085E"/>
    <w:rsid w:val="008A2296"/>
    <w:rsid w:val="00986FC1"/>
    <w:rsid w:val="009C65F9"/>
    <w:rsid w:val="00A771AD"/>
    <w:rsid w:val="00F638CD"/>
    <w:rsid w:val="036D5148"/>
    <w:rsid w:val="03AA7B1A"/>
    <w:rsid w:val="041D40A7"/>
    <w:rsid w:val="058840E2"/>
    <w:rsid w:val="0B3C6F4E"/>
    <w:rsid w:val="0C3C512B"/>
    <w:rsid w:val="0EDF4CCD"/>
    <w:rsid w:val="147A2C38"/>
    <w:rsid w:val="1AED1C99"/>
    <w:rsid w:val="1CCD1541"/>
    <w:rsid w:val="1DAE1D08"/>
    <w:rsid w:val="233F7AA7"/>
    <w:rsid w:val="25A84FA0"/>
    <w:rsid w:val="266119FF"/>
    <w:rsid w:val="28FE1002"/>
    <w:rsid w:val="295E4F2D"/>
    <w:rsid w:val="304F475D"/>
    <w:rsid w:val="354D58C2"/>
    <w:rsid w:val="367E087D"/>
    <w:rsid w:val="3B1C261B"/>
    <w:rsid w:val="43A26CC6"/>
    <w:rsid w:val="44CA121D"/>
    <w:rsid w:val="473A1359"/>
    <w:rsid w:val="50FB0BD7"/>
    <w:rsid w:val="542F0764"/>
    <w:rsid w:val="54A11A6F"/>
    <w:rsid w:val="556D0CE2"/>
    <w:rsid w:val="5ACF4691"/>
    <w:rsid w:val="5C62386C"/>
    <w:rsid w:val="5D463DC5"/>
    <w:rsid w:val="5EE551CA"/>
    <w:rsid w:val="635B7229"/>
    <w:rsid w:val="65A0646D"/>
    <w:rsid w:val="67206FD9"/>
    <w:rsid w:val="67582D15"/>
    <w:rsid w:val="680C3622"/>
    <w:rsid w:val="6ADD50B3"/>
    <w:rsid w:val="6D2F4EA9"/>
    <w:rsid w:val="6DB21209"/>
    <w:rsid w:val="6E933D65"/>
    <w:rsid w:val="6F2D135E"/>
    <w:rsid w:val="6FBC6EED"/>
    <w:rsid w:val="6FD028C9"/>
    <w:rsid w:val="768B7B5C"/>
    <w:rsid w:val="78D65169"/>
    <w:rsid w:val="795C54FE"/>
    <w:rsid w:val="795D0237"/>
    <w:rsid w:val="7CB72564"/>
    <w:rsid w:val="7EAC22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nhideWhenUsed="0" w:uiPriority="0" w:semiHidden="0"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3"/>
    <w:qFormat/>
    <w:uiPriority w:val="9"/>
    <w:pPr>
      <w:keepNext/>
      <w:keepLines/>
      <w:numPr>
        <w:ilvl w:val="0"/>
        <w:numId w:val="1"/>
      </w:numPr>
      <w:spacing w:before="156" w:beforeLines="50" w:after="200" w:line="500" w:lineRule="exact"/>
      <w:jc w:val="center"/>
      <w:outlineLvl w:val="0"/>
    </w:pPr>
    <w:rPr>
      <w:rFonts w:ascii="Calibri" w:hAnsi="Calibri" w:eastAsia="黑体" w:cs="Times New Roman"/>
      <w:bCs/>
      <w:kern w:val="44"/>
      <w:sz w:val="36"/>
      <w:szCs w:val="44"/>
    </w:rPr>
  </w:style>
  <w:style w:type="paragraph" w:styleId="3">
    <w:name w:val="heading 2"/>
    <w:basedOn w:val="1"/>
    <w:next w:val="1"/>
    <w:qFormat/>
    <w:uiPriority w:val="0"/>
    <w:pPr>
      <w:keepNext/>
      <w:keepLines/>
      <w:spacing w:before="100" w:after="100" w:line="500" w:lineRule="exact"/>
      <w:ind w:left="105" w:leftChars="50"/>
      <w:outlineLvl w:val="1"/>
    </w:pPr>
    <w:rPr>
      <w:rFonts w:ascii="黑体" w:hAnsi="宋体" w:eastAsia="黑体"/>
      <w:bCs/>
      <w:sz w:val="24"/>
      <w:lang w:val="en-GB"/>
    </w:rPr>
  </w:style>
  <w:style w:type="paragraph" w:styleId="4">
    <w:name w:val="heading 3"/>
    <w:basedOn w:val="1"/>
    <w:next w:val="1"/>
    <w:link w:val="11"/>
    <w:qFormat/>
    <w:uiPriority w:val="0"/>
    <w:pPr>
      <w:keepNext/>
      <w:keepLines/>
      <w:numPr>
        <w:ilvl w:val="0"/>
        <w:numId w:val="2"/>
      </w:numPr>
      <w:spacing w:before="200" w:line="440" w:lineRule="exact"/>
      <w:outlineLvl w:val="2"/>
    </w:pPr>
    <w:rPr>
      <w:rFonts w:ascii="Calibri" w:hAnsi="Calibri" w:eastAsia="宋体" w:cs="Times New Roman"/>
      <w:bCs/>
      <w:sz w:val="24"/>
      <w:szCs w:val="32"/>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5">
    <w:name w:val="Normal Indent"/>
    <w:basedOn w:val="1"/>
    <w:qFormat/>
    <w:uiPriority w:val="0"/>
    <w:pPr>
      <w:ind w:firstLine="420" w:firstLineChars="200"/>
    </w:pPr>
  </w:style>
  <w:style w:type="paragraph" w:styleId="6">
    <w:name w:val="Balloon Text"/>
    <w:basedOn w:val="1"/>
    <w:link w:val="14"/>
    <w:unhideWhenUsed/>
    <w:qFormat/>
    <w:uiPriority w:val="99"/>
    <w:rPr>
      <w:sz w:val="18"/>
      <w:szCs w:val="18"/>
    </w:r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Hyperlink"/>
    <w:basedOn w:val="9"/>
    <w:unhideWhenUsed/>
    <w:qFormat/>
    <w:uiPriority w:val="99"/>
    <w:rPr>
      <w:color w:val="0000FF"/>
      <w:u w:val="single"/>
    </w:rPr>
  </w:style>
  <w:style w:type="character" w:customStyle="1" w:styleId="11">
    <w:name w:val="标题 3 Char"/>
    <w:basedOn w:val="9"/>
    <w:link w:val="4"/>
    <w:qFormat/>
    <w:uiPriority w:val="0"/>
    <w:rPr>
      <w:rFonts w:ascii="Calibri" w:hAnsi="Calibri" w:eastAsia="宋体" w:cs="Times New Roman"/>
      <w:bCs/>
      <w:sz w:val="24"/>
      <w:szCs w:val="32"/>
    </w:rPr>
  </w:style>
  <w:style w:type="paragraph" w:customStyle="1" w:styleId="12">
    <w:name w:val="样式 样式 四号 行距: 固定值 24 磅 左  4.28 字符 + 左侧:  4.28 字符"/>
    <w:basedOn w:val="1"/>
    <w:qFormat/>
    <w:uiPriority w:val="0"/>
    <w:pPr>
      <w:spacing w:line="480" w:lineRule="exact"/>
      <w:ind w:left="899" w:leftChars="428"/>
    </w:pPr>
    <w:rPr>
      <w:rFonts w:ascii="Times New Roman" w:hAnsi="Times New Roman" w:eastAsia="宋体" w:cs="Times New Roman"/>
      <w:sz w:val="24"/>
      <w:szCs w:val="20"/>
    </w:rPr>
  </w:style>
  <w:style w:type="character" w:customStyle="1" w:styleId="13">
    <w:name w:val="标题 1 Char"/>
    <w:basedOn w:val="9"/>
    <w:link w:val="2"/>
    <w:qFormat/>
    <w:uiPriority w:val="9"/>
    <w:rPr>
      <w:rFonts w:ascii="Calibri" w:hAnsi="Calibri" w:eastAsia="黑体" w:cs="Times New Roman"/>
      <w:bCs/>
      <w:kern w:val="44"/>
      <w:sz w:val="36"/>
      <w:szCs w:val="44"/>
    </w:rPr>
  </w:style>
  <w:style w:type="character" w:customStyle="1" w:styleId="14">
    <w:name w:val="批注框文本 Char"/>
    <w:basedOn w:val="9"/>
    <w:link w:val="6"/>
    <w:semiHidden/>
    <w:qFormat/>
    <w:uiPriority w:val="99"/>
    <w:rPr>
      <w:sz w:val="18"/>
      <w:szCs w:val="18"/>
    </w:rPr>
  </w:style>
  <w:style w:type="paragraph" w:customStyle="1" w:styleId="15">
    <w:name w:val="标题2"/>
    <w:basedOn w:val="3"/>
    <w:qFormat/>
    <w:uiPriority w:val="0"/>
    <w:pPr>
      <w:numPr>
        <w:ilvl w:val="1"/>
        <w:numId w:val="0"/>
      </w:numPr>
      <w:spacing w:before="50" w:beforeLines="50" w:after="0" w:line="240" w:lineRule="auto"/>
      <w:ind w:firstLine="164" w:firstLineChars="164"/>
      <w:jc w:val="left"/>
    </w:pPr>
    <w:rPr>
      <w:szCs w:val="28"/>
    </w:rPr>
  </w:style>
  <w:style w:type="paragraph" w:customStyle="1" w:styleId="16">
    <w:name w:val="Table Paragraph"/>
    <w:basedOn w:val="1"/>
    <w:qFormat/>
    <w:uiPriority w:val="1"/>
    <w:pPr>
      <w:spacing w:before="98"/>
      <w:jc w:val="center"/>
    </w:pPr>
    <w:rPr>
      <w:rFonts w:ascii="宋体" w:hAnsi="宋体" w:eastAsia="宋体" w:cs="宋体"/>
      <w:lang w:val="zh-CN" w:eastAsia="zh-CN" w:bidi="zh-CN"/>
    </w:rPr>
  </w:style>
  <w:style w:type="paragraph" w:customStyle="1" w:styleId="17">
    <w:name w:val="样式 段前: 7.8 磅"/>
    <w:basedOn w:val="1"/>
    <w:qFormat/>
    <w:uiPriority w:val="0"/>
    <w:pPr>
      <w:ind w:firstLine="200" w:firstLineChars="200"/>
    </w:pPr>
    <w:rPr>
      <w:rFonts w:cs="宋体"/>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Pages>
  <Words>454</Words>
  <Characters>2588</Characters>
  <Lines>21</Lines>
  <Paragraphs>6</Paragraphs>
  <TotalTime>2</TotalTime>
  <ScaleCrop>false</ScaleCrop>
  <LinksUpToDate>false</LinksUpToDate>
  <CharactersWithSpaces>3036</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2017-08-02T02:16:00Z</dcterms:created>
  <dc:creator>AutoBVT</dc:creator>
  <cp:lastModifiedBy>pc</cp:lastModifiedBy>
  <dcterms:modified xsi:type="dcterms:W3CDTF">2022-03-22T01:10:17Z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A72854AE2580410BBF4305D2942C662B</vt:lpwstr>
  </property>
</Properties>
</file>