
<file path=[Content_Types].xml><?xml version="1.0" encoding="utf-8"?>
<Types xmlns="http://schemas.openxmlformats.org/package/2006/content-types">
  <Default Extension="xml" ContentType="application/xml"/>
  <Default Extension="bin" ContentType="application/vnd.openxmlformats-officedocument.oleObject"/>
  <Default Extension="emf" ContentType="image/x-emf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/>
    <w:p/>
    <w:p/>
    <w:p>
      <w:pPr>
        <w:jc w:val="center"/>
        <w:rPr>
          <w:b/>
          <w:sz w:val="36"/>
          <w:szCs w:val="36"/>
        </w:rPr>
      </w:pPr>
    </w:p>
    <w:p>
      <w:pPr>
        <w:ind w:firstLine="2610" w:firstLineChars="500"/>
        <w:jc w:val="both"/>
        <w:rPr>
          <w:rFonts w:ascii="仿宋" w:hAnsi="仿宋" w:eastAsia="仿宋"/>
          <w:b/>
          <w:sz w:val="52"/>
          <w:szCs w:val="52"/>
        </w:rPr>
      </w:pPr>
      <w:r>
        <w:rPr>
          <w:rFonts w:ascii="仿宋" w:hAnsi="仿宋" w:eastAsia="仿宋"/>
          <w:b/>
          <w:sz w:val="52"/>
          <w:szCs w:val="52"/>
        </w:rPr>
        <w:t>20</w:t>
      </w:r>
      <w:r>
        <w:rPr>
          <w:rFonts w:hint="eastAsia" w:ascii="仿宋" w:hAnsi="仿宋" w:eastAsia="仿宋"/>
          <w:b/>
          <w:sz w:val="52"/>
          <w:szCs w:val="52"/>
          <w:lang w:val="en-US" w:eastAsia="zh-CN"/>
        </w:rPr>
        <w:t>20</w:t>
      </w:r>
      <w:r>
        <w:rPr>
          <w:rFonts w:hint="eastAsia" w:ascii="仿宋" w:hAnsi="仿宋" w:eastAsia="仿宋"/>
          <w:b/>
          <w:sz w:val="52"/>
          <w:szCs w:val="52"/>
        </w:rPr>
        <w:t>年度西华县</w:t>
      </w:r>
    </w:p>
    <w:p>
      <w:pPr>
        <w:jc w:val="center"/>
        <w:rPr>
          <w:rFonts w:ascii="仿宋" w:hAnsi="仿宋" w:eastAsia="仿宋"/>
          <w:b/>
          <w:sz w:val="52"/>
          <w:szCs w:val="52"/>
        </w:rPr>
      </w:pPr>
      <w:r>
        <w:rPr>
          <w:rFonts w:hint="eastAsia" w:ascii="仿宋" w:hAnsi="仿宋" w:eastAsia="仿宋"/>
          <w:b/>
          <w:sz w:val="52"/>
          <w:szCs w:val="52"/>
          <w:lang w:eastAsia="zh-CN"/>
        </w:rPr>
        <w:t>粮食局</w:t>
      </w:r>
      <w:r>
        <w:rPr>
          <w:rFonts w:hint="eastAsia" w:ascii="仿宋" w:hAnsi="仿宋" w:eastAsia="仿宋"/>
          <w:b/>
          <w:sz w:val="52"/>
          <w:szCs w:val="52"/>
        </w:rPr>
        <w:t>部门预算公开说明</w:t>
      </w:r>
    </w:p>
    <w:p>
      <w:pPr>
        <w:jc w:val="center"/>
        <w:rPr>
          <w:b/>
          <w:sz w:val="36"/>
          <w:szCs w:val="36"/>
        </w:rPr>
      </w:pPr>
    </w:p>
    <w:p>
      <w:pPr>
        <w:jc w:val="center"/>
        <w:rPr>
          <w:b/>
          <w:sz w:val="36"/>
          <w:szCs w:val="36"/>
        </w:rPr>
      </w:pPr>
    </w:p>
    <w:p>
      <w:pPr>
        <w:jc w:val="center"/>
        <w:rPr>
          <w:b/>
          <w:sz w:val="36"/>
          <w:szCs w:val="36"/>
        </w:rPr>
      </w:pPr>
    </w:p>
    <w:p/>
    <w:p/>
    <w:p/>
    <w:p/>
    <w:p/>
    <w:p/>
    <w:p/>
    <w:p/>
    <w:p/>
    <w:p/>
    <w:p/>
    <w:p/>
    <w:p/>
    <w:p/>
    <w:p/>
    <w:p/>
    <w:p/>
    <w:p/>
    <w:p>
      <w:pPr>
        <w:rPr>
          <w:rFonts w:hint="default" w:eastAsia="宋体"/>
          <w:sz w:val="52"/>
          <w:szCs w:val="52"/>
          <w:lang w:val="en-US" w:eastAsia="zh-CN"/>
        </w:rPr>
      </w:pPr>
      <w:r>
        <w:rPr>
          <w:rFonts w:hint="eastAsia"/>
          <w:lang w:val="en-US" w:eastAsia="zh-CN"/>
        </w:rPr>
        <w:t xml:space="preserve">                      </w:t>
      </w:r>
      <w:r>
        <w:rPr>
          <w:rFonts w:hint="eastAsia"/>
          <w:b/>
          <w:bCs/>
          <w:sz w:val="44"/>
          <w:szCs w:val="44"/>
          <w:lang w:val="en-US" w:eastAsia="zh-CN"/>
        </w:rPr>
        <w:t>二零二零年六月</w:t>
      </w:r>
    </w:p>
    <w:p/>
    <w:p/>
    <w:p/>
    <w:p/>
    <w:p/>
    <w:p/>
    <w:p/>
    <w:p/>
    <w:p/>
    <w:p/>
    <w:p/>
    <w:p/>
    <w:p/>
    <w:tbl>
      <w:tblPr>
        <w:tblStyle w:val="6"/>
        <w:tblW w:w="8306" w:type="dxa"/>
        <w:tblCellSpacing w:w="0" w:type="dxa"/>
        <w:tblInd w:w="0" w:type="dxa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8306"/>
      </w:tblGrid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blCellSpacing w:w="0" w:type="dxa"/>
        </w:trPr>
        <w:tc>
          <w:tcPr>
            <w:tcW w:w="8306" w:type="dxa"/>
          </w:tcPr>
          <w:p/>
          <w:tbl>
            <w:tblPr>
              <w:tblStyle w:val="6"/>
              <w:tblW w:w="7827" w:type="dxa"/>
              <w:jc w:val="center"/>
              <w:tblCellSpacing w:w="0" w:type="dxa"/>
              <w:tblLayout w:type="fixed"/>
              <w:tblCellMar>
                <w:top w:w="0" w:type="dxa"/>
                <w:left w:w="0" w:type="dxa"/>
                <w:bottom w:w="0" w:type="dxa"/>
                <w:right w:w="0" w:type="dxa"/>
              </w:tblCellMar>
            </w:tblPr>
            <w:tblGrid>
              <w:gridCol w:w="7827"/>
            </w:tblGrid>
            <w:tr>
              <w:tblPrEx>
                <w:tblCellMar>
                  <w:top w:w="0" w:type="dxa"/>
                  <w:left w:w="0" w:type="dxa"/>
                  <w:bottom w:w="0" w:type="dxa"/>
                  <w:right w:w="0" w:type="dxa"/>
                </w:tblCellMar>
              </w:tblPrEx>
              <w:trPr>
                <w:trHeight w:val="5400" w:hRule="atLeast"/>
                <w:tblCellSpacing w:w="0" w:type="dxa"/>
                <w:jc w:val="center"/>
              </w:trPr>
              <w:tc>
                <w:tcPr>
                  <w:tcW w:w="7827" w:type="dxa"/>
                </w:tcPr>
                <w:p>
                  <w:pPr>
                    <w:widowControl/>
                    <w:spacing w:line="315" w:lineRule="atLeast"/>
                    <w:ind w:right="51" w:firstLine="2530" w:firstLineChars="450"/>
                    <w:rPr>
                      <w:rFonts w:ascii="仿宋" w:hAnsi="宋体" w:eastAsia="仿宋" w:cs="宋体"/>
                      <w:b/>
                      <w:kern w:val="0"/>
                      <w:sz w:val="56"/>
                      <w:szCs w:val="56"/>
                    </w:rPr>
                  </w:pPr>
                  <w:r>
                    <w:rPr>
                      <w:rFonts w:hint="eastAsia" w:ascii="仿宋" w:hAnsi="宋体" w:eastAsia="仿宋" w:cs="宋体"/>
                      <w:b/>
                      <w:kern w:val="0"/>
                      <w:sz w:val="56"/>
                      <w:szCs w:val="56"/>
                    </w:rPr>
                    <w:t>目</w:t>
                  </w:r>
                  <w:r>
                    <w:rPr>
                      <w:rFonts w:ascii="仿宋" w:hAnsi="宋体" w:eastAsia="仿宋" w:cs="宋体"/>
                      <w:b/>
                      <w:spacing w:val="2"/>
                      <w:kern w:val="0"/>
                      <w:sz w:val="56"/>
                      <w:szCs w:val="56"/>
                    </w:rPr>
                    <w:t> </w:t>
                  </w:r>
                  <w:r>
                    <w:rPr>
                      <w:rFonts w:hint="eastAsia" w:ascii="仿宋" w:hAnsi="宋体" w:eastAsia="仿宋" w:cs="宋体"/>
                      <w:b/>
                      <w:kern w:val="0"/>
                      <w:sz w:val="56"/>
                      <w:szCs w:val="56"/>
                    </w:rPr>
                    <w:t>录</w:t>
                  </w:r>
                </w:p>
                <w:p>
                  <w:pPr>
                    <w:widowControl/>
                    <w:spacing w:line="315" w:lineRule="atLeast"/>
                    <w:ind w:left="-142" w:right="51" w:firstLine="39"/>
                    <w:jc w:val="center"/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</w:pPr>
                </w:p>
                <w:p>
                  <w:pPr>
                    <w:widowControl/>
                    <w:spacing w:line="315" w:lineRule="atLeast"/>
                    <w:ind w:left="-142" w:right="51" w:firstLine="161" w:firstLineChars="50"/>
                    <w:rPr>
                      <w:rFonts w:ascii="仿宋" w:hAnsi="宋体" w:eastAsia="仿宋" w:cs="宋体"/>
                      <w:b/>
                      <w:kern w:val="0"/>
                      <w:sz w:val="56"/>
                      <w:szCs w:val="56"/>
                    </w:rPr>
                  </w:pPr>
                  <w:r>
                    <w:rPr>
                      <w:rFonts w:hint="eastAsia" w:ascii="仿宋" w:hAnsi="宋体" w:eastAsia="仿宋" w:cs="宋体"/>
                      <w:b/>
                      <w:kern w:val="0"/>
                      <w:sz w:val="32"/>
                      <w:szCs w:val="32"/>
                    </w:rPr>
                    <w:t>第一部分西华县</w:t>
                  </w:r>
                  <w:r>
                    <w:rPr>
                      <w:rFonts w:hint="eastAsia" w:ascii="仿宋" w:hAnsi="宋体" w:eastAsia="仿宋" w:cs="宋体"/>
                      <w:b/>
                      <w:kern w:val="0"/>
                      <w:sz w:val="32"/>
                      <w:szCs w:val="32"/>
                      <w:lang w:eastAsia="zh-CN"/>
                    </w:rPr>
                    <w:t>粮食局</w:t>
                  </w:r>
                  <w:r>
                    <w:rPr>
                      <w:rFonts w:hint="eastAsia" w:ascii="仿宋" w:hAnsi="宋体" w:eastAsia="仿宋" w:cs="宋体"/>
                      <w:b/>
                      <w:kern w:val="0"/>
                      <w:sz w:val="32"/>
                      <w:szCs w:val="32"/>
                    </w:rPr>
                    <w:t>概况</w:t>
                  </w:r>
                </w:p>
                <w:p>
                  <w:pPr>
                    <w:widowControl/>
                    <w:spacing w:line="315" w:lineRule="atLeast"/>
                    <w:ind w:right="3569" w:firstLine="640" w:firstLineChars="200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一、主要职能</w:t>
                  </w:r>
                </w:p>
                <w:p>
                  <w:pPr>
                    <w:widowControl/>
                    <w:spacing w:line="315" w:lineRule="atLeast"/>
                    <w:ind w:right="3569"/>
                    <w:jc w:val="center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 xml:space="preserve"> 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二、部门预算单位构成</w:t>
                  </w:r>
                </w:p>
                <w:p>
                  <w:pPr>
                    <w:widowControl/>
                    <w:spacing w:line="315" w:lineRule="atLeast"/>
                    <w:ind w:left="31680" w:right="522" w:hanging="964" w:hangingChars="300"/>
                    <w:jc w:val="left"/>
                    <w:rPr>
                      <w:rFonts w:ascii="宋体" w:cs="宋体"/>
                      <w:b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b/>
                      <w:kern w:val="0"/>
                      <w:sz w:val="32"/>
                      <w:szCs w:val="32"/>
                    </w:rPr>
                    <w:t>第二部分</w:t>
                  </w:r>
                  <w:r>
                    <w:rPr>
                      <w:rFonts w:ascii="仿宋" w:hAnsi="宋体" w:eastAsia="仿宋" w:cs="宋体"/>
                      <w:b/>
                      <w:kern w:val="0"/>
                      <w:sz w:val="32"/>
                      <w:szCs w:val="32"/>
                    </w:rPr>
                    <w:t xml:space="preserve"> </w:t>
                  </w:r>
                  <w:r>
                    <w:rPr>
                      <w:rFonts w:hint="eastAsia" w:ascii="仿宋" w:hAnsi="宋体" w:eastAsia="仿宋" w:cs="宋体"/>
                      <w:b/>
                      <w:kern w:val="0"/>
                      <w:sz w:val="32"/>
                      <w:szCs w:val="32"/>
                    </w:rPr>
                    <w:t>西华县</w:t>
                  </w:r>
                  <w:r>
                    <w:rPr>
                      <w:rFonts w:hint="eastAsia" w:ascii="仿宋" w:hAnsi="宋体" w:eastAsia="仿宋" w:cs="宋体"/>
                      <w:b/>
                      <w:kern w:val="0"/>
                      <w:sz w:val="32"/>
                      <w:szCs w:val="32"/>
                      <w:lang w:eastAsia="zh-CN"/>
                    </w:rPr>
                    <w:t>粮食</w:t>
                  </w:r>
                  <w:r>
                    <w:rPr>
                      <w:rFonts w:ascii="仿宋" w:hAnsi="宋体" w:eastAsia="仿宋" w:cs="宋体"/>
                      <w:b/>
                      <w:kern w:val="0"/>
                      <w:sz w:val="32"/>
                      <w:szCs w:val="32"/>
                    </w:rPr>
                    <w:t>20</w:t>
                  </w:r>
                  <w:r>
                    <w:rPr>
                      <w:rFonts w:hint="eastAsia" w:ascii="仿宋" w:hAnsi="宋体" w:eastAsia="仿宋" w:cs="宋体"/>
                      <w:b/>
                      <w:kern w:val="0"/>
                      <w:sz w:val="32"/>
                      <w:szCs w:val="32"/>
                      <w:lang w:val="en-US" w:eastAsia="zh-CN"/>
                    </w:rPr>
                    <w:t>20</w:t>
                  </w:r>
                  <w:r>
                    <w:rPr>
                      <w:rFonts w:ascii="仿宋" w:hAnsi="宋体" w:eastAsia="仿宋" w:cs="宋体"/>
                      <w:b/>
                      <w:spacing w:val="-119"/>
                      <w:kern w:val="0"/>
                      <w:sz w:val="32"/>
                      <w:szCs w:val="32"/>
                    </w:rPr>
                    <w:t> </w:t>
                  </w:r>
                  <w:r>
                    <w:rPr>
                      <w:rFonts w:hint="eastAsia" w:ascii="仿宋" w:hAnsi="宋体" w:eastAsia="仿宋" w:cs="宋体"/>
                      <w:b/>
                      <w:kern w:val="0"/>
                      <w:sz w:val="32"/>
                      <w:szCs w:val="32"/>
                    </w:rPr>
                    <w:t>年度部门预算情况说明</w:t>
                  </w:r>
                  <w:r>
                    <w:rPr>
                      <w:rFonts w:ascii="宋体" w:hAnsi="宋体" w:cs="宋体"/>
                      <w:b/>
                      <w:kern w:val="0"/>
                      <w:sz w:val="24"/>
                    </w:rPr>
                    <w:t xml:space="preserve">          </w:t>
                  </w:r>
                </w:p>
                <w:p>
                  <w:pPr>
                    <w:widowControl/>
                    <w:spacing w:line="315" w:lineRule="atLeast"/>
                    <w:ind w:right="522"/>
                    <w:jc w:val="left"/>
                    <w:rPr>
                      <w:rFonts w:ascii="宋体" w:cs="宋体"/>
                      <w:b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b/>
                      <w:kern w:val="0"/>
                      <w:sz w:val="32"/>
                      <w:szCs w:val="32"/>
                    </w:rPr>
                    <w:t>第三部分</w:t>
                  </w:r>
                  <w:r>
                    <w:rPr>
                      <w:rFonts w:ascii="仿宋" w:hAnsi="宋体" w:eastAsia="仿宋" w:cs="宋体"/>
                      <w:b/>
                      <w:spacing w:val="-32"/>
                      <w:kern w:val="0"/>
                      <w:sz w:val="32"/>
                      <w:szCs w:val="32"/>
                    </w:rPr>
                    <w:t> </w:t>
                  </w:r>
                  <w:r>
                    <w:rPr>
                      <w:rFonts w:hint="eastAsia" w:ascii="仿宋" w:hAnsi="宋体" w:eastAsia="仿宋" w:cs="宋体"/>
                      <w:b/>
                      <w:kern w:val="0"/>
                      <w:sz w:val="32"/>
                      <w:szCs w:val="32"/>
                    </w:rPr>
                    <w:t>名词解释</w:t>
                  </w:r>
                </w:p>
                <w:p>
                  <w:pPr>
                    <w:widowControl/>
                    <w:spacing w:line="315" w:lineRule="atLeast"/>
                    <w:ind w:firstLine="320" w:firstLineChars="100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附件：</w:t>
                  </w:r>
                  <w:r>
                    <w:rPr>
                      <w:rFonts w:ascii="仿宋" w:hAnsi="宋体" w:eastAsia="仿宋" w:cs="宋体"/>
                      <w:spacing w:val="-32"/>
                      <w:kern w:val="0"/>
                      <w:sz w:val="32"/>
                      <w:szCs w:val="32"/>
                    </w:rPr>
                    <w:t> 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西华县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eastAsia="zh-CN"/>
                    </w:rPr>
                    <w:t>粮食局</w:t>
                  </w: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>20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20</w:t>
                  </w:r>
                  <w:r>
                    <w:rPr>
                      <w:rFonts w:ascii="仿宋" w:hAnsi="宋体" w:eastAsia="仿宋" w:cs="宋体"/>
                      <w:spacing w:val="-116"/>
                      <w:kern w:val="0"/>
                      <w:sz w:val="32"/>
                      <w:szCs w:val="32"/>
                    </w:rPr>
                    <w:t xml:space="preserve">   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年度部门预算表</w:t>
                  </w:r>
                </w:p>
                <w:p>
                  <w:pPr>
                    <w:widowControl/>
                    <w:spacing w:line="315" w:lineRule="atLeast"/>
                    <w:ind w:right="51" w:firstLine="960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一、部门收支总表</w:t>
                  </w:r>
                </w:p>
                <w:p>
                  <w:pPr>
                    <w:widowControl/>
                    <w:spacing w:line="315" w:lineRule="atLeast"/>
                    <w:ind w:right="51" w:firstLine="960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二、部门收入总表</w:t>
                  </w:r>
                </w:p>
                <w:p>
                  <w:pPr>
                    <w:widowControl/>
                    <w:spacing w:line="315" w:lineRule="atLeast"/>
                    <w:ind w:right="51" w:firstLine="960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三、部门支出总表</w:t>
                  </w:r>
                </w:p>
                <w:p>
                  <w:pPr>
                    <w:widowControl/>
                    <w:spacing w:line="315" w:lineRule="atLeast"/>
                    <w:ind w:right="51" w:firstLine="960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四、财政拨款收支总表</w:t>
                  </w:r>
                </w:p>
                <w:p>
                  <w:pPr>
                    <w:widowControl/>
                    <w:spacing w:line="315" w:lineRule="atLeast"/>
                    <w:ind w:right="51" w:firstLine="960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五、一般公共预算支出表</w:t>
                  </w:r>
                </w:p>
                <w:p>
                  <w:pPr>
                    <w:widowControl/>
                    <w:spacing w:line="315" w:lineRule="atLeast"/>
                    <w:ind w:right="51" w:firstLine="960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六、一般公共预算基本支出表</w:t>
                  </w:r>
                </w:p>
                <w:p>
                  <w:pPr>
                    <w:widowControl/>
                    <w:spacing w:line="315" w:lineRule="atLeast"/>
                    <w:ind w:right="51" w:firstLine="960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七、一般公共预算“三公”经费支出表</w:t>
                  </w:r>
                </w:p>
                <w:p>
                  <w:pPr>
                    <w:widowControl/>
                    <w:spacing w:line="315" w:lineRule="atLeast"/>
                    <w:ind w:right="51" w:firstLine="960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八、政府性基金预算支出表</w:t>
                  </w:r>
                </w:p>
                <w:p>
                  <w:pPr>
                    <w:widowControl/>
                    <w:spacing w:line="315" w:lineRule="atLeast"/>
                    <w:ind w:left="101" w:right="521" w:firstLine="640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> </w:t>
                  </w:r>
                </w:p>
                <w:p>
                  <w:pPr>
                    <w:widowControl/>
                    <w:spacing w:line="315" w:lineRule="atLeast"/>
                    <w:ind w:firstLine="640"/>
                    <w:jc w:val="center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> </w:t>
                  </w:r>
                </w:p>
                <w:p>
                  <w:pPr>
                    <w:spacing w:line="360" w:lineRule="auto"/>
                    <w:ind w:firstLine="2831" w:firstLineChars="641"/>
                    <w:rPr>
                      <w:rFonts w:ascii="仿宋" w:hAnsi="仿宋" w:eastAsia="仿宋" w:cs="仿宋"/>
                      <w:b/>
                      <w:sz w:val="44"/>
                    </w:rPr>
                  </w:pPr>
                  <w:r>
                    <w:rPr>
                      <w:rFonts w:hint="eastAsia" w:ascii="仿宋" w:hAnsi="仿宋" w:eastAsia="仿宋" w:cs="仿宋"/>
                      <w:b/>
                      <w:sz w:val="44"/>
                    </w:rPr>
                    <w:t>第一部分</w:t>
                  </w:r>
                </w:p>
                <w:p>
                  <w:pPr>
                    <w:spacing w:line="360" w:lineRule="auto"/>
                    <w:ind w:firstLine="442"/>
                    <w:jc w:val="center"/>
                    <w:rPr>
                      <w:rFonts w:ascii="仿宋" w:hAnsi="仿宋" w:eastAsia="仿宋" w:cs="仿宋"/>
                      <w:b/>
                      <w:sz w:val="44"/>
                    </w:rPr>
                  </w:pPr>
                </w:p>
                <w:p>
                  <w:pPr>
                    <w:spacing w:line="360" w:lineRule="auto"/>
                    <w:jc w:val="center"/>
                    <w:rPr>
                      <w:rFonts w:ascii="仿宋" w:hAnsi="仿宋" w:eastAsia="仿宋" w:cs="仿宋"/>
                      <w:b/>
                      <w:sz w:val="44"/>
                    </w:rPr>
                  </w:pPr>
                  <w:r>
                    <w:rPr>
                      <w:rFonts w:hint="eastAsia" w:ascii="仿宋" w:hAnsi="仿宋" w:eastAsia="仿宋" w:cs="仿宋"/>
                      <w:b/>
                      <w:sz w:val="44"/>
                    </w:rPr>
                    <w:t>西华县</w:t>
                  </w:r>
                  <w:r>
                    <w:rPr>
                      <w:rFonts w:hint="eastAsia" w:ascii="仿宋" w:hAnsi="仿宋" w:eastAsia="仿宋" w:cs="仿宋"/>
                      <w:b/>
                      <w:sz w:val="44"/>
                      <w:lang w:eastAsia="zh-CN"/>
                    </w:rPr>
                    <w:t>粮食局</w:t>
                  </w:r>
                  <w:r>
                    <w:rPr>
                      <w:rFonts w:hint="eastAsia" w:ascii="仿宋" w:hAnsi="仿宋" w:eastAsia="仿宋" w:cs="仿宋"/>
                      <w:b/>
                      <w:sz w:val="44"/>
                    </w:rPr>
                    <w:t>职责</w:t>
                  </w:r>
                </w:p>
                <w:p>
                  <w:pPr>
                    <w:spacing w:line="360" w:lineRule="auto"/>
                    <w:ind w:firstLine="640"/>
                    <w:rPr>
                      <w:rFonts w:ascii="仿宋" w:hAnsi="仿宋" w:eastAsia="仿宋" w:cs="仿宋"/>
                      <w:sz w:val="32"/>
                    </w:rPr>
                  </w:pPr>
                </w:p>
                <w:p>
                  <w:pPr>
                    <w:spacing w:line="360" w:lineRule="auto"/>
                    <w:jc w:val="left"/>
                    <w:rPr>
                      <w:rFonts w:ascii="仿宋" w:hAnsi="仿宋" w:eastAsia="仿宋" w:cs="仿宋"/>
                      <w:b/>
                      <w:sz w:val="32"/>
                    </w:rPr>
                  </w:pPr>
                  <w:r>
                    <w:rPr>
                      <w:rFonts w:hint="eastAsia" w:ascii="仿宋" w:hAnsi="仿宋" w:eastAsia="仿宋" w:cs="仿宋"/>
                      <w:b/>
                      <w:sz w:val="32"/>
                    </w:rPr>
                    <w:t>一、西华县</w:t>
                  </w:r>
                  <w:r>
                    <w:rPr>
                      <w:rFonts w:hint="eastAsia" w:ascii="仿宋" w:hAnsi="仿宋" w:eastAsia="仿宋" w:cs="仿宋"/>
                      <w:b/>
                      <w:sz w:val="32"/>
                      <w:lang w:eastAsia="zh-CN"/>
                    </w:rPr>
                    <w:t>粮食局</w:t>
                  </w:r>
                  <w:r>
                    <w:rPr>
                      <w:rFonts w:hint="eastAsia" w:ascii="仿宋" w:hAnsi="仿宋" w:eastAsia="仿宋" w:cs="仿宋"/>
                      <w:b/>
                      <w:sz w:val="32"/>
                    </w:rPr>
                    <w:t>部门概况和主要职责</w:t>
                  </w:r>
                </w:p>
                <w:p>
                  <w:pPr>
                    <w:spacing w:line="360" w:lineRule="auto"/>
                    <w:jc w:val="left"/>
                    <w:rPr>
                      <w:rFonts w:ascii="仿宋" w:hAnsi="仿宋" w:eastAsia="仿宋" w:cs="仿宋"/>
                      <w:sz w:val="32"/>
                      <w:szCs w:val="32"/>
                    </w:rPr>
                  </w:pPr>
                  <w:r>
                    <w:rPr>
                      <w:rFonts w:hint="eastAsia" w:ascii="仿宋" w:hAnsi="仿宋" w:eastAsia="仿宋" w:cs="仿宋"/>
                      <w:sz w:val="36"/>
                      <w:szCs w:val="36"/>
                    </w:rPr>
                    <w:t>（</w:t>
                  </w:r>
                  <w:r>
                    <w:rPr>
                      <w:rFonts w:hint="eastAsia" w:ascii="仿宋" w:hAnsi="仿宋" w:eastAsia="仿宋" w:cs="仿宋"/>
                      <w:sz w:val="32"/>
                      <w:szCs w:val="32"/>
                    </w:rPr>
                    <w:t>一）概况</w:t>
                  </w:r>
                </w:p>
                <w:p>
                  <w:pPr>
                    <w:shd w:val="clear" w:color="auto" w:fill="FFFFFF"/>
                    <w:spacing w:line="594" w:lineRule="exact"/>
                    <w:ind w:firstLine="480" w:firstLineChars="150"/>
                    <w:jc w:val="left"/>
                    <w:rPr>
                      <w:rFonts w:ascii="仿宋" w:hAnsi="仿宋" w:eastAsia="仿宋" w:cs="宋体"/>
                      <w:color w:val="000000"/>
                      <w:sz w:val="17"/>
                      <w:szCs w:val="17"/>
                    </w:rPr>
                  </w:pPr>
                  <w:r>
                    <w:rPr>
                      <w:rFonts w:hint="eastAsia" w:ascii="仿宋" w:hAnsi="仿宋" w:eastAsia="仿宋" w:cs="宋体"/>
                      <w:color w:val="353535"/>
                      <w:sz w:val="32"/>
                      <w:szCs w:val="32"/>
                    </w:rPr>
                    <w:t>西华县</w:t>
                  </w:r>
                  <w:r>
                    <w:rPr>
                      <w:rFonts w:hint="eastAsia" w:ascii="仿宋" w:hAnsi="仿宋" w:eastAsia="仿宋" w:cs="宋体"/>
                      <w:color w:val="353535"/>
                      <w:sz w:val="32"/>
                      <w:szCs w:val="32"/>
                      <w:lang w:eastAsia="zh-CN"/>
                    </w:rPr>
                    <w:t>粮食局</w:t>
                  </w:r>
                  <w:r>
                    <w:rPr>
                      <w:rFonts w:hint="eastAsia" w:ascii="仿宋" w:hAnsi="仿宋" w:eastAsia="仿宋" w:cs="宋体"/>
                      <w:color w:val="353535"/>
                      <w:sz w:val="32"/>
                      <w:szCs w:val="32"/>
                    </w:rPr>
                    <w:t>为县政府组成部门，局机关共设</w:t>
                  </w:r>
                  <w:r>
                    <w:rPr>
                      <w:rFonts w:hint="eastAsia" w:ascii="仿宋" w:hAnsi="仿宋" w:eastAsia="仿宋" w:cs="宋体"/>
                      <w:color w:val="353535"/>
                      <w:sz w:val="32"/>
                      <w:szCs w:val="32"/>
                      <w:lang w:val="en-US" w:eastAsia="zh-CN"/>
                    </w:rPr>
                    <w:t>5</w:t>
                  </w:r>
                  <w:r>
                    <w:rPr>
                      <w:rFonts w:hint="eastAsia" w:ascii="仿宋" w:hAnsi="仿宋" w:eastAsia="仿宋" w:cs="宋体"/>
                      <w:color w:val="353535"/>
                      <w:sz w:val="32"/>
                      <w:szCs w:val="32"/>
                    </w:rPr>
                    <w:t>个</w:t>
                  </w:r>
                  <w:r>
                    <w:rPr>
                      <w:rFonts w:hint="eastAsia" w:ascii="仿宋" w:hAnsi="仿宋" w:eastAsia="仿宋" w:cs="宋体"/>
                      <w:color w:val="353535"/>
                      <w:sz w:val="32"/>
                      <w:szCs w:val="32"/>
                      <w:lang w:eastAsia="zh-CN"/>
                    </w:rPr>
                    <w:t>股室</w:t>
                  </w:r>
                  <w:r>
                    <w:rPr>
                      <w:rFonts w:hint="eastAsia" w:ascii="仿宋" w:hAnsi="仿宋" w:eastAsia="仿宋" w:cs="宋体"/>
                      <w:color w:val="353535"/>
                      <w:sz w:val="32"/>
                      <w:szCs w:val="32"/>
                    </w:rPr>
                    <w:t>，</w:t>
                  </w:r>
                  <w:r>
                    <w:rPr>
                      <w:rFonts w:hint="eastAsia" w:ascii="仿宋" w:hAnsi="仿宋" w:eastAsia="仿宋" w:cs="宋体"/>
                      <w:color w:val="353535"/>
                      <w:sz w:val="32"/>
                      <w:szCs w:val="32"/>
                      <w:lang w:eastAsia="zh-CN"/>
                    </w:rPr>
                    <w:t>分别是办公室，财务股，人事股，粮食调控股，行政审批股。</w:t>
                  </w:r>
                  <w:r>
                    <w:rPr>
                      <w:rFonts w:hint="eastAsia" w:ascii="仿宋" w:hAnsi="仿宋" w:eastAsia="仿宋" w:cs="宋体"/>
                      <w:color w:val="353535"/>
                      <w:sz w:val="32"/>
                      <w:szCs w:val="32"/>
                    </w:rPr>
                    <w:t>局属二级</w:t>
                  </w:r>
                  <w:r>
                    <w:rPr>
                      <w:rFonts w:hint="eastAsia" w:ascii="仿宋" w:hAnsi="仿宋" w:eastAsia="仿宋" w:cs="宋体"/>
                      <w:color w:val="353535"/>
                      <w:sz w:val="32"/>
                      <w:szCs w:val="32"/>
                      <w:lang w:val="en-US" w:eastAsia="zh-CN"/>
                    </w:rPr>
                    <w:t>机构4</w:t>
                  </w:r>
                  <w:r>
                    <w:rPr>
                      <w:rFonts w:hint="eastAsia" w:ascii="仿宋" w:hAnsi="仿宋" w:eastAsia="仿宋" w:cs="宋体"/>
                      <w:color w:val="353535"/>
                      <w:sz w:val="32"/>
                      <w:szCs w:val="32"/>
                    </w:rPr>
                    <w:t>个</w:t>
                  </w:r>
                  <w:r>
                    <w:rPr>
                      <w:rFonts w:hint="eastAsia" w:ascii="仿宋" w:hAnsi="仿宋" w:eastAsia="仿宋" w:cs="宋体"/>
                      <w:color w:val="353535"/>
                      <w:sz w:val="32"/>
                      <w:szCs w:val="32"/>
                      <w:lang w:eastAsia="zh-CN"/>
                    </w:rPr>
                    <w:t>，分别是粮食培训中心，粮食质量检验检测中心，粮食计划管理站，粮食执法大队（其中，粮食执法大队合并到发改委）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</w:rPr>
                    <w:t>西华县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  <w:lang w:eastAsia="zh-CN"/>
                    </w:rPr>
                    <w:t>粮食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</w:rPr>
                    <w:t>共有编制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  <w:lang w:val="en-US" w:eastAsia="zh-CN"/>
                    </w:rPr>
                    <w:t>36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</w:rPr>
                    <w:t>人，其中：事业编制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  <w:lang w:val="en-US" w:eastAsia="zh-CN"/>
                    </w:rPr>
                    <w:t>36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</w:rPr>
                    <w:t>人。目前，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  <w:lang w:val="en-US" w:eastAsia="zh-CN"/>
                    </w:rPr>
                    <w:t>西华县粮食局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</w:rPr>
                    <w:t>在职人员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  <w:lang w:val="en-US" w:eastAsia="zh-CN"/>
                    </w:rPr>
                    <w:t>36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</w:rPr>
                    <w:t>人。</w:t>
                  </w:r>
                </w:p>
                <w:p>
                  <w:pPr>
                    <w:spacing w:line="360" w:lineRule="auto"/>
                    <w:jc w:val="left"/>
                    <w:rPr>
                      <w:rFonts w:hint="default" w:ascii="仿宋" w:hAnsi="仿宋" w:eastAsia="仿宋" w:cs="仿宋"/>
                      <w:sz w:val="32"/>
                      <w:szCs w:val="32"/>
                      <w:lang w:val="en-US" w:eastAsia="zh-CN"/>
                    </w:rPr>
                  </w:pPr>
                  <w:r>
                    <w:rPr>
                      <w:rFonts w:hint="eastAsia" w:ascii="仿宋" w:hAnsi="仿宋" w:eastAsia="仿宋" w:cs="仿宋"/>
                      <w:sz w:val="32"/>
                      <w:szCs w:val="32"/>
                    </w:rPr>
                    <w:t>（二）主要职责</w:t>
                  </w:r>
                </w:p>
                <w:p>
                  <w:pPr>
                    <w:kinsoku w:val="0"/>
                    <w:spacing w:line="360" w:lineRule="auto"/>
                    <w:ind w:firstLine="640" w:firstLineChars="200"/>
                    <w:jc w:val="left"/>
                    <w:textAlignment w:val="baseline"/>
                    <w:rPr>
                      <w:rFonts w:hint="eastAsia" w:ascii="仿宋" w:hAnsi="仿宋" w:eastAsia="仿宋" w:cs="仿宋"/>
                      <w:color w:val="000000"/>
                      <w:sz w:val="32"/>
                      <w:szCs w:val="32"/>
                      <w:lang w:eastAsia="zh-CN"/>
                    </w:rPr>
                  </w:pPr>
                  <w:r>
                    <w:rPr>
                      <w:rFonts w:ascii="仿宋" w:hAnsi="仿宋" w:eastAsia="仿宋"/>
                      <w:color w:val="000000"/>
                      <w:sz w:val="32"/>
                      <w:szCs w:val="32"/>
                    </w:rPr>
                    <w:t>1.</w:t>
                  </w:r>
                  <w:r>
                    <w:rPr>
                      <w:rFonts w:hint="eastAsia" w:ascii="仿宋" w:hAnsi="仿宋" w:eastAsia="仿宋"/>
                      <w:color w:val="000000"/>
                      <w:sz w:val="32"/>
                      <w:szCs w:val="32"/>
                      <w:lang w:eastAsia="zh-CN"/>
                    </w:rPr>
                    <w:t>贯彻执行国家</w:t>
                  </w:r>
                  <w:r>
                    <w:rPr>
                      <w:rFonts w:hint="eastAsia" w:ascii="仿宋" w:hAnsi="仿宋" w:eastAsia="仿宋" w:cs="仿宋"/>
                      <w:color w:val="000000"/>
                      <w:sz w:val="32"/>
                      <w:szCs w:val="32"/>
                      <w:lang w:eastAsia="zh-CN"/>
                    </w:rPr>
                    <w:t>、省、市关于粮食流通和粮食储备工作的方针政策和法律法规，拟定粮食流通和粮食储备的政策和规范性文件并组织实施。</w:t>
                  </w:r>
                </w:p>
                <w:p>
                  <w:pPr>
                    <w:kinsoku w:val="0"/>
                    <w:spacing w:line="360" w:lineRule="auto"/>
                    <w:ind w:firstLine="640" w:firstLineChars="200"/>
                    <w:jc w:val="left"/>
                    <w:textAlignment w:val="baseline"/>
                    <w:rPr>
                      <w:rFonts w:ascii="仿宋" w:hAnsi="仿宋" w:eastAsia="仿宋"/>
                      <w:color w:val="000000"/>
                      <w:sz w:val="32"/>
                      <w:szCs w:val="32"/>
                    </w:rPr>
                  </w:pPr>
                  <w:r>
                    <w:rPr>
                      <w:rFonts w:ascii="仿宋" w:hAnsi="仿宋" w:eastAsia="仿宋"/>
                      <w:color w:val="000000"/>
                      <w:sz w:val="32"/>
                      <w:szCs w:val="32"/>
                    </w:rPr>
                    <w:t>2.</w:t>
                  </w:r>
                  <w:r>
                    <w:rPr>
                      <w:rFonts w:hint="eastAsia" w:ascii="仿宋" w:hAnsi="仿宋" w:eastAsia="仿宋"/>
                      <w:color w:val="000000"/>
                      <w:sz w:val="32"/>
                      <w:szCs w:val="32"/>
                    </w:rPr>
                    <w:t>拟定</w:t>
                  </w:r>
                  <w:r>
                    <w:rPr>
                      <w:rFonts w:hint="eastAsia" w:ascii="仿宋" w:hAnsi="仿宋" w:eastAsia="仿宋"/>
                      <w:color w:val="000000"/>
                      <w:sz w:val="32"/>
                      <w:szCs w:val="32"/>
                      <w:lang w:eastAsia="zh-CN"/>
                    </w:rPr>
                    <w:t>指导全县粮食宏观调控和总量平衡，研究拟定全县粮食行业储备</w:t>
                  </w:r>
                  <w:r>
                    <w:rPr>
                      <w:rFonts w:hint="eastAsia" w:ascii="仿宋" w:hAnsi="仿宋" w:eastAsia="仿宋" w:cs="仿宋"/>
                      <w:color w:val="000000"/>
                      <w:sz w:val="32"/>
                      <w:szCs w:val="32"/>
                      <w:lang w:eastAsia="zh-CN"/>
                    </w:rPr>
                    <w:t>、</w:t>
                  </w:r>
                  <w:r>
                    <w:rPr>
                      <w:rFonts w:hint="eastAsia" w:ascii="仿宋" w:hAnsi="仿宋" w:eastAsia="仿宋"/>
                      <w:color w:val="000000"/>
                      <w:sz w:val="32"/>
                      <w:szCs w:val="32"/>
                      <w:lang w:eastAsia="zh-CN"/>
                    </w:rPr>
                    <w:t>流通的发展战略</w:t>
                  </w:r>
                  <w:r>
                    <w:rPr>
                      <w:rFonts w:hint="eastAsia" w:ascii="仿宋" w:hAnsi="仿宋" w:eastAsia="仿宋" w:cs="仿宋"/>
                      <w:color w:val="000000"/>
                      <w:sz w:val="32"/>
                      <w:szCs w:val="32"/>
                      <w:lang w:eastAsia="zh-CN"/>
                    </w:rPr>
                    <w:t>、</w:t>
                  </w:r>
                  <w:r>
                    <w:rPr>
                      <w:rFonts w:hint="eastAsia" w:ascii="仿宋" w:hAnsi="仿宋" w:eastAsia="仿宋"/>
                      <w:color w:val="000000"/>
                      <w:sz w:val="32"/>
                      <w:szCs w:val="32"/>
                      <w:lang w:eastAsia="zh-CN"/>
                    </w:rPr>
                    <w:t>中长期规划和年度收支存储计划以及储备粮的收储</w:t>
                  </w:r>
                  <w:r>
                    <w:rPr>
                      <w:rFonts w:hint="eastAsia" w:ascii="仿宋" w:hAnsi="仿宋" w:eastAsia="仿宋" w:cs="仿宋"/>
                      <w:color w:val="000000"/>
                      <w:sz w:val="32"/>
                      <w:szCs w:val="32"/>
                      <w:lang w:eastAsia="zh-CN"/>
                    </w:rPr>
                    <w:t>、动用建议并组织实施</w:t>
                  </w:r>
                  <w:r>
                    <w:rPr>
                      <w:rFonts w:hint="eastAsia" w:ascii="仿宋" w:hAnsi="仿宋" w:eastAsia="仿宋"/>
                      <w:color w:val="000000"/>
                      <w:sz w:val="32"/>
                      <w:szCs w:val="32"/>
                    </w:rPr>
                    <w:t>。</w:t>
                  </w:r>
                  <w:r>
                    <w:rPr>
                      <w:rFonts w:ascii="仿宋" w:hAnsi="仿宋" w:eastAsia="仿宋"/>
                      <w:color w:val="000000"/>
                      <w:sz w:val="32"/>
                      <w:szCs w:val="32"/>
                    </w:rPr>
                    <w:t xml:space="preserve"> </w:t>
                  </w:r>
                </w:p>
                <w:p>
                  <w:pPr>
                    <w:kinsoku w:val="0"/>
                    <w:spacing w:line="360" w:lineRule="auto"/>
                    <w:ind w:firstLine="640" w:firstLineChars="200"/>
                    <w:jc w:val="left"/>
                    <w:textAlignment w:val="baseline"/>
                    <w:rPr>
                      <w:rFonts w:ascii="仿宋" w:hAnsi="仿宋" w:eastAsia="仿宋"/>
                      <w:color w:val="000000"/>
                      <w:sz w:val="32"/>
                      <w:szCs w:val="32"/>
                    </w:rPr>
                  </w:pPr>
                  <w:r>
                    <w:rPr>
                      <w:rFonts w:ascii="仿宋" w:hAnsi="仿宋" w:eastAsia="仿宋"/>
                      <w:color w:val="000000"/>
                      <w:sz w:val="32"/>
                      <w:szCs w:val="32"/>
                    </w:rPr>
                    <w:t>3.</w:t>
                  </w:r>
                  <w:r>
                    <w:rPr>
                      <w:rFonts w:hint="eastAsia" w:ascii="仿宋" w:hAnsi="仿宋" w:eastAsia="仿宋"/>
                      <w:color w:val="000000"/>
                      <w:sz w:val="32"/>
                      <w:szCs w:val="32"/>
                      <w:lang w:eastAsia="zh-CN"/>
                    </w:rPr>
                    <w:t>承担粮食监测预警和应急责任，负责全县粮食流通宏观调控的具体工作；保障城乡居民以及缺粮地区的粮食供应</w:t>
                  </w:r>
                  <w:r>
                    <w:rPr>
                      <w:rFonts w:hint="eastAsia" w:ascii="仿宋" w:hAnsi="仿宋" w:eastAsia="仿宋"/>
                      <w:color w:val="000000"/>
                      <w:sz w:val="32"/>
                      <w:szCs w:val="32"/>
                    </w:rPr>
                    <w:t>。</w:t>
                  </w:r>
                </w:p>
                <w:p>
                  <w:pPr>
                    <w:kinsoku w:val="0"/>
                    <w:spacing w:line="360" w:lineRule="auto"/>
                    <w:ind w:firstLine="640" w:firstLineChars="200"/>
                    <w:jc w:val="left"/>
                    <w:textAlignment w:val="baseline"/>
                    <w:rPr>
                      <w:rFonts w:ascii="仿宋" w:hAnsi="仿宋" w:eastAsia="仿宋"/>
                      <w:color w:val="000000"/>
                      <w:sz w:val="32"/>
                      <w:szCs w:val="32"/>
                    </w:rPr>
                  </w:pPr>
                  <w:r>
                    <w:rPr>
                      <w:rFonts w:ascii="仿宋" w:hAnsi="仿宋" w:eastAsia="仿宋"/>
                      <w:color w:val="000000"/>
                      <w:sz w:val="32"/>
                      <w:szCs w:val="32"/>
                    </w:rPr>
                    <w:t>4.</w:t>
                  </w:r>
                  <w:r>
                    <w:rPr>
                      <w:rFonts w:hint="eastAsia" w:ascii="仿宋" w:hAnsi="仿宋" w:eastAsia="仿宋"/>
                      <w:color w:val="000000"/>
                      <w:sz w:val="32"/>
                      <w:szCs w:val="32"/>
                      <w:lang w:eastAsia="zh-CN"/>
                    </w:rPr>
                    <w:t>指导全县粮食市场建设与管理，协同有关部门共同管好粮食市场，维护正常的粮食流通秩序</w:t>
                  </w:r>
                  <w:r>
                    <w:rPr>
                      <w:rFonts w:hint="eastAsia" w:ascii="仿宋" w:hAnsi="仿宋" w:eastAsia="仿宋"/>
                      <w:color w:val="000000"/>
                      <w:sz w:val="32"/>
                      <w:szCs w:val="32"/>
                    </w:rPr>
                    <w:t>。</w:t>
                  </w:r>
                  <w:r>
                    <w:rPr>
                      <w:rFonts w:ascii="仿宋" w:hAnsi="仿宋" w:eastAsia="仿宋"/>
                      <w:color w:val="000000"/>
                      <w:sz w:val="32"/>
                      <w:szCs w:val="32"/>
                    </w:rPr>
                    <w:t xml:space="preserve"> </w:t>
                  </w:r>
                </w:p>
                <w:p>
                  <w:pPr>
                    <w:kinsoku w:val="0"/>
                    <w:spacing w:line="360" w:lineRule="auto"/>
                    <w:ind w:firstLine="640" w:firstLineChars="200"/>
                    <w:jc w:val="left"/>
                    <w:textAlignment w:val="baseline"/>
                    <w:rPr>
                      <w:rFonts w:hint="eastAsia" w:ascii="仿宋" w:hAnsi="仿宋" w:eastAsia="仿宋"/>
                      <w:color w:val="000000"/>
                      <w:sz w:val="32"/>
                      <w:szCs w:val="32"/>
                    </w:rPr>
                  </w:pPr>
                  <w:r>
                    <w:rPr>
                      <w:rFonts w:ascii="仿宋" w:hAnsi="仿宋" w:eastAsia="仿宋"/>
                      <w:color w:val="000000"/>
                      <w:sz w:val="32"/>
                      <w:szCs w:val="32"/>
                    </w:rPr>
                    <w:t>5.</w:t>
                  </w:r>
                  <w:r>
                    <w:rPr>
                      <w:rFonts w:hint="eastAsia" w:ascii="仿宋" w:hAnsi="仿宋" w:eastAsia="仿宋"/>
                      <w:color w:val="000000"/>
                      <w:sz w:val="32"/>
                      <w:szCs w:val="32"/>
                      <w:lang w:eastAsia="zh-CN"/>
                    </w:rPr>
                    <w:t>负责机关及所属单位的安全生产监管和维护稳定工作</w:t>
                  </w:r>
                  <w:r>
                    <w:rPr>
                      <w:rFonts w:hint="eastAsia" w:ascii="仿宋" w:hAnsi="仿宋" w:eastAsia="仿宋"/>
                      <w:color w:val="000000"/>
                      <w:sz w:val="32"/>
                      <w:szCs w:val="32"/>
                    </w:rPr>
                    <w:t>。</w:t>
                  </w:r>
                </w:p>
                <w:p>
                  <w:pPr>
                    <w:kinsoku w:val="0"/>
                    <w:spacing w:line="360" w:lineRule="auto"/>
                    <w:ind w:firstLine="640" w:firstLineChars="200"/>
                    <w:jc w:val="left"/>
                    <w:textAlignment w:val="baseline"/>
                    <w:rPr>
                      <w:rFonts w:hint="eastAsia" w:ascii="仿宋" w:hAnsi="仿宋" w:eastAsia="仿宋"/>
                      <w:color w:val="000000"/>
                      <w:sz w:val="32"/>
                      <w:szCs w:val="32"/>
                    </w:rPr>
                  </w:pPr>
                  <w:r>
                    <w:rPr>
                      <w:rFonts w:ascii="仿宋" w:hAnsi="仿宋" w:eastAsia="仿宋"/>
                      <w:color w:val="000000"/>
                      <w:sz w:val="32"/>
                      <w:szCs w:val="32"/>
                    </w:rPr>
                    <w:t>6.</w:t>
                  </w:r>
                  <w:r>
                    <w:rPr>
                      <w:rFonts w:hint="eastAsia" w:ascii="仿宋" w:hAnsi="仿宋" w:eastAsia="仿宋"/>
                      <w:color w:val="000000"/>
                      <w:sz w:val="32"/>
                      <w:szCs w:val="32"/>
                    </w:rPr>
                    <w:t>负责行政、事业单位国有资产管理工作。</w:t>
                  </w:r>
                </w:p>
                <w:p>
                  <w:pPr>
                    <w:spacing w:line="360" w:lineRule="auto"/>
                    <w:rPr>
                      <w:rFonts w:hint="eastAsia" w:ascii="仿宋" w:hAnsi="仿宋" w:eastAsia="仿宋"/>
                      <w:color w:val="000000"/>
                      <w:sz w:val="32"/>
                      <w:szCs w:val="32"/>
                    </w:rPr>
                  </w:pPr>
                  <w:r>
                    <w:rPr>
                      <w:rFonts w:hint="eastAsia" w:ascii="仿宋" w:hAnsi="仿宋" w:eastAsia="仿宋"/>
                      <w:color w:val="000000"/>
                      <w:sz w:val="32"/>
                      <w:szCs w:val="32"/>
                      <w:lang w:val="en-US" w:eastAsia="zh-CN"/>
                    </w:rPr>
                    <w:t>7</w:t>
                  </w:r>
                  <w:r>
                    <w:rPr>
                      <w:rFonts w:ascii="仿宋" w:hAnsi="仿宋" w:eastAsia="仿宋"/>
                      <w:color w:val="000000"/>
                      <w:sz w:val="32"/>
                      <w:szCs w:val="32"/>
                    </w:rPr>
                    <w:t>.</w:t>
                  </w:r>
                  <w:r>
                    <w:rPr>
                      <w:rFonts w:hint="eastAsia" w:ascii="仿宋" w:hAnsi="仿宋" w:eastAsia="仿宋"/>
                      <w:color w:val="000000"/>
                      <w:sz w:val="32"/>
                      <w:szCs w:val="32"/>
                    </w:rPr>
                    <w:t>承办县政府交办的其他事项。</w:t>
                  </w:r>
                </w:p>
                <w:p>
                  <w:pPr>
                    <w:spacing w:line="360" w:lineRule="auto"/>
                    <w:rPr>
                      <w:rFonts w:ascii="仿宋" w:hAnsi="仿宋" w:eastAsia="仿宋" w:cs="仿宋"/>
                      <w:b/>
                      <w:sz w:val="32"/>
                      <w:szCs w:val="32"/>
                    </w:rPr>
                  </w:pPr>
                  <w:r>
                    <w:rPr>
                      <w:rFonts w:hint="eastAsia" w:ascii="仿宋" w:hAnsi="仿宋" w:eastAsia="仿宋" w:cs="仿宋"/>
                      <w:b/>
                      <w:sz w:val="32"/>
                      <w:szCs w:val="32"/>
                    </w:rPr>
                    <w:t>二、部门预算单位构成。</w:t>
                  </w:r>
                </w:p>
                <w:p>
                  <w:pPr>
                    <w:pStyle w:val="2"/>
                    <w:numPr>
                      <w:ilvl w:val="0"/>
                      <w:numId w:val="1"/>
                    </w:numPr>
                    <w:kinsoku w:val="0"/>
                    <w:overflowPunct w:val="0"/>
                    <w:autoSpaceDE w:val="0"/>
                    <w:autoSpaceDN w:val="0"/>
                    <w:snapToGrid w:val="0"/>
                    <w:spacing w:line="360" w:lineRule="auto"/>
                    <w:jc w:val="left"/>
                    <w:rPr>
                      <w:rFonts w:ascii="仿宋" w:hAnsi="仿宋" w:eastAsia="仿宋" w:cs="宋体"/>
                      <w:bCs/>
                      <w:color w:val="000000"/>
                      <w:sz w:val="32"/>
                      <w:szCs w:val="32"/>
                    </w:rPr>
                  </w:pPr>
                  <w:r>
                    <w:rPr>
                      <w:rFonts w:hint="eastAsia" w:ascii="仿宋" w:hAnsi="仿宋" w:eastAsia="仿宋" w:cs="宋体"/>
                      <w:color w:val="000000"/>
                      <w:spacing w:val="2"/>
                      <w:sz w:val="32"/>
                      <w:szCs w:val="32"/>
                      <w:lang w:eastAsia="zh-CN"/>
                    </w:rPr>
                    <w:t>西华县粮食局</w:t>
                  </w:r>
                  <w:r>
                    <w:rPr>
                      <w:rFonts w:hint="eastAsia" w:ascii="仿宋" w:hAnsi="仿宋" w:eastAsia="仿宋" w:cs="宋体"/>
                      <w:color w:val="000000"/>
                      <w:spacing w:val="2"/>
                      <w:sz w:val="32"/>
                      <w:szCs w:val="32"/>
                    </w:rPr>
                    <w:t>部门预算</w:t>
                  </w:r>
                  <w:r>
                    <w:rPr>
                      <w:rFonts w:hint="eastAsia" w:ascii="仿宋" w:hAnsi="仿宋" w:eastAsia="仿宋" w:cs="宋体"/>
                      <w:color w:val="000000"/>
                      <w:spacing w:val="2"/>
                      <w:sz w:val="32"/>
                      <w:szCs w:val="32"/>
                      <w:lang w:eastAsia="zh-CN"/>
                    </w:rPr>
                    <w:t>仅有</w:t>
                  </w:r>
                  <w:r>
                    <w:rPr>
                      <w:rFonts w:hint="eastAsia" w:ascii="仿宋" w:hAnsi="仿宋" w:eastAsia="仿宋" w:cs="宋体"/>
                      <w:color w:val="000000"/>
                      <w:spacing w:val="2"/>
                      <w:sz w:val="32"/>
                      <w:szCs w:val="32"/>
                    </w:rPr>
                    <w:t>局机关本级预算</w:t>
                  </w:r>
                  <w:r>
                    <w:rPr>
                      <w:rFonts w:hint="eastAsia" w:ascii="仿宋" w:hAnsi="仿宋" w:eastAsia="仿宋" w:cs="宋体"/>
                      <w:color w:val="000000"/>
                      <w:spacing w:val="-1"/>
                      <w:sz w:val="32"/>
                      <w:szCs w:val="32"/>
                    </w:rPr>
                    <w:t>。</w:t>
                  </w: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 xml:space="preserve"> </w:t>
                  </w:r>
                </w:p>
                <w:p>
                  <w:pPr>
                    <w:widowControl/>
                    <w:spacing w:line="315" w:lineRule="atLeast"/>
                    <w:ind w:firstLine="2831" w:firstLineChars="641"/>
                    <w:rPr>
                      <w:rFonts w:ascii="宋体" w:cs="宋体"/>
                      <w:b/>
                      <w:kern w:val="0"/>
                      <w:sz w:val="44"/>
                      <w:szCs w:val="44"/>
                    </w:rPr>
                  </w:pPr>
                  <w:r>
                    <w:rPr>
                      <w:rFonts w:hint="eastAsia" w:ascii="仿宋" w:hAnsi="宋体" w:eastAsia="仿宋" w:cs="宋体"/>
                      <w:b/>
                      <w:kern w:val="0"/>
                      <w:sz w:val="44"/>
                      <w:szCs w:val="44"/>
                    </w:rPr>
                    <w:t>第二部分</w:t>
                  </w:r>
                </w:p>
                <w:p>
                  <w:pPr>
                    <w:widowControl/>
                    <w:spacing w:line="315" w:lineRule="atLeast"/>
                    <w:jc w:val="center"/>
                    <w:rPr>
                      <w:rFonts w:ascii="仿宋" w:hAnsi="宋体" w:eastAsia="仿宋" w:cs="宋体"/>
                      <w:b/>
                      <w:kern w:val="0"/>
                      <w:sz w:val="44"/>
                      <w:szCs w:val="44"/>
                    </w:rPr>
                  </w:pPr>
                </w:p>
                <w:p>
                  <w:pPr>
                    <w:widowControl/>
                    <w:spacing w:line="315" w:lineRule="atLeast"/>
                    <w:jc w:val="center"/>
                    <w:rPr>
                      <w:rFonts w:ascii="仿宋" w:hAnsi="宋体" w:eastAsia="仿宋" w:cs="宋体"/>
                      <w:b/>
                      <w:kern w:val="0"/>
                      <w:sz w:val="44"/>
                      <w:szCs w:val="44"/>
                    </w:rPr>
                  </w:pPr>
                  <w:r>
                    <w:rPr>
                      <w:rFonts w:hint="eastAsia" w:ascii="仿宋" w:hAnsi="宋体" w:eastAsia="仿宋" w:cs="宋体"/>
                      <w:b/>
                      <w:kern w:val="0"/>
                      <w:sz w:val="44"/>
                      <w:szCs w:val="44"/>
                    </w:rPr>
                    <w:t>西华县</w:t>
                  </w:r>
                  <w:r>
                    <w:rPr>
                      <w:rFonts w:hint="eastAsia" w:ascii="仿宋" w:hAnsi="宋体" w:eastAsia="仿宋" w:cs="宋体"/>
                      <w:b/>
                      <w:kern w:val="0"/>
                      <w:sz w:val="44"/>
                      <w:szCs w:val="44"/>
                      <w:lang w:eastAsia="zh-CN"/>
                    </w:rPr>
                    <w:t>粮食局</w:t>
                  </w:r>
                  <w:r>
                    <w:rPr>
                      <w:rFonts w:ascii="仿宋" w:hAnsi="宋体" w:eastAsia="仿宋" w:cs="宋体"/>
                      <w:b/>
                      <w:kern w:val="0"/>
                      <w:sz w:val="44"/>
                      <w:szCs w:val="44"/>
                    </w:rPr>
                    <w:t>20</w:t>
                  </w:r>
                  <w:r>
                    <w:rPr>
                      <w:rFonts w:hint="eastAsia" w:ascii="仿宋" w:hAnsi="宋体" w:eastAsia="仿宋" w:cs="宋体"/>
                      <w:b/>
                      <w:kern w:val="0"/>
                      <w:sz w:val="44"/>
                      <w:szCs w:val="44"/>
                      <w:lang w:val="en-US" w:eastAsia="zh-CN"/>
                    </w:rPr>
                    <w:t>20</w:t>
                  </w:r>
                  <w:r>
                    <w:rPr>
                      <w:rFonts w:hint="eastAsia" w:ascii="仿宋" w:hAnsi="宋体" w:eastAsia="仿宋" w:cs="宋体"/>
                      <w:b/>
                      <w:kern w:val="0"/>
                      <w:sz w:val="44"/>
                      <w:szCs w:val="44"/>
                    </w:rPr>
                    <w:t>年度部门预算情况</w:t>
                  </w:r>
                </w:p>
                <w:p>
                  <w:pPr>
                    <w:widowControl/>
                    <w:spacing w:line="315" w:lineRule="atLeast"/>
                    <w:jc w:val="center"/>
                    <w:rPr>
                      <w:rFonts w:ascii="宋体" w:cs="宋体"/>
                      <w:b/>
                      <w:kern w:val="0"/>
                      <w:sz w:val="44"/>
                      <w:szCs w:val="44"/>
                    </w:rPr>
                  </w:pPr>
                  <w:r>
                    <w:rPr>
                      <w:rFonts w:hint="eastAsia" w:ascii="仿宋" w:hAnsi="宋体" w:eastAsia="仿宋" w:cs="宋体"/>
                      <w:b/>
                      <w:kern w:val="0"/>
                      <w:sz w:val="44"/>
                      <w:szCs w:val="44"/>
                    </w:rPr>
                    <w:t>说</w:t>
                  </w:r>
                  <w:r>
                    <w:rPr>
                      <w:rFonts w:ascii="仿宋" w:hAnsi="宋体" w:eastAsia="仿宋" w:cs="宋体"/>
                      <w:b/>
                      <w:kern w:val="0"/>
                      <w:sz w:val="44"/>
                      <w:szCs w:val="44"/>
                    </w:rPr>
                    <w:t xml:space="preserve">    </w:t>
                  </w:r>
                  <w:r>
                    <w:rPr>
                      <w:rFonts w:hint="eastAsia" w:ascii="仿宋" w:hAnsi="宋体" w:eastAsia="仿宋" w:cs="宋体"/>
                      <w:b/>
                      <w:kern w:val="0"/>
                      <w:sz w:val="44"/>
                      <w:szCs w:val="44"/>
                    </w:rPr>
                    <w:t>明</w:t>
                  </w:r>
                </w:p>
                <w:p>
                  <w:pPr>
                    <w:widowControl/>
                    <w:spacing w:line="315" w:lineRule="atLeast"/>
                    <w:ind w:firstLine="640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> </w:t>
                  </w:r>
                </w:p>
                <w:p>
                  <w:pPr>
                    <w:widowControl/>
                    <w:spacing w:line="315" w:lineRule="atLeast"/>
                    <w:ind w:firstLine="640"/>
                    <w:jc w:val="left"/>
                    <w:rPr>
                      <w:rFonts w:ascii="宋体" w:cs="宋体"/>
                      <w:b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b/>
                      <w:kern w:val="0"/>
                      <w:sz w:val="32"/>
                      <w:szCs w:val="32"/>
                    </w:rPr>
                    <w:t>一、收入支出预算总体情况说明</w:t>
                  </w:r>
                </w:p>
                <w:p>
                  <w:pPr>
                    <w:widowControl/>
                    <w:spacing w:line="315" w:lineRule="atLeast"/>
                    <w:ind w:firstLine="640"/>
                    <w:jc w:val="left"/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西华县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eastAsia="zh-CN"/>
                    </w:rPr>
                    <w:t>粮食局</w:t>
                  </w: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>20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20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年收入总计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53.32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万元，支出总计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53.32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万元，与</w:t>
                  </w: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>201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9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年相比，收、支总计各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eastAsia="zh-CN"/>
                    </w:rPr>
                    <w:t>减少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124.09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万元，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eastAsia="zh-CN"/>
                    </w:rPr>
                    <w:t>减少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70</w:t>
                  </w: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>%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。其中工资福利支出中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eastAsia="zh-CN"/>
                    </w:rPr>
                    <w:t>减少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93.96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万元，商品服务支出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eastAsia="zh-CN"/>
                    </w:rPr>
                    <w:t>减少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1.2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万元，对个人家庭福利支出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eastAsia="zh-CN"/>
                    </w:rPr>
                    <w:t>减少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6.92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万元，项目支出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eastAsia="zh-CN"/>
                    </w:rPr>
                    <w:t>减少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22.01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万元；收支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eastAsia="zh-CN"/>
                    </w:rPr>
                    <w:t>减少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原因是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eastAsia="zh-CN"/>
                    </w:rPr>
                    <w:t>局机关行政人员以及行政执法大队事业人员全部转入发改委，工资不再由我局做预算。</w:t>
                  </w:r>
                </w:p>
                <w:p>
                  <w:pPr>
                    <w:widowControl/>
                    <w:spacing w:line="315" w:lineRule="atLeast"/>
                    <w:ind w:firstLine="640"/>
                    <w:jc w:val="left"/>
                    <w:rPr>
                      <w:rFonts w:ascii="宋体" w:cs="宋体"/>
                      <w:b/>
                      <w:bCs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b/>
                      <w:bCs/>
                      <w:kern w:val="0"/>
                      <w:sz w:val="32"/>
                      <w:szCs w:val="32"/>
                    </w:rPr>
                    <w:t>二、收入预算总体情况说明</w:t>
                  </w:r>
                </w:p>
                <w:p>
                  <w:pPr>
                    <w:widowControl/>
                    <w:spacing w:line="560" w:lineRule="atLeast"/>
                    <w:ind w:firstLine="640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西华县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eastAsia="zh-CN"/>
                    </w:rPr>
                    <w:t>粮食局</w:t>
                  </w: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>20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20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年收入合计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53.32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万元，其中：一般公共预算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53.32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万元；政府性基金收入</w:t>
                  </w: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>0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万元。</w:t>
                  </w:r>
                </w:p>
                <w:p>
                  <w:pPr>
                    <w:widowControl/>
                    <w:spacing w:line="560" w:lineRule="atLeast"/>
                    <w:ind w:firstLine="640"/>
                    <w:jc w:val="left"/>
                    <w:rPr>
                      <w:rFonts w:ascii="宋体" w:cs="宋体"/>
                      <w:b/>
                      <w:bCs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b/>
                      <w:bCs/>
                      <w:kern w:val="0"/>
                      <w:sz w:val="32"/>
                      <w:szCs w:val="32"/>
                    </w:rPr>
                    <w:t>三、支出预算总体情况说明</w:t>
                  </w:r>
                </w:p>
                <w:p>
                  <w:pPr>
                    <w:jc w:val="left"/>
                    <w:rPr>
                      <w:rFonts w:ascii="仿宋" w:hAnsi="仿宋" w:eastAsia="仿宋" w:cs="宋体"/>
                      <w:color w:val="000000"/>
                      <w:sz w:val="17"/>
                      <w:szCs w:val="17"/>
                    </w:rPr>
                  </w:pP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</w:rPr>
                    <w:t>西华县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  <w:lang w:eastAsia="zh-CN"/>
                    </w:rPr>
                    <w:t>粮食局</w:t>
                  </w:r>
                  <w:r>
                    <w:rPr>
                      <w:rFonts w:ascii="仿宋" w:hAnsi="仿宋" w:eastAsia="仿宋" w:cs="宋体"/>
                      <w:color w:val="000000"/>
                      <w:sz w:val="32"/>
                      <w:szCs w:val="32"/>
                    </w:rPr>
                    <w:t>20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  <w:lang w:val="en-US" w:eastAsia="zh-CN"/>
                    </w:rPr>
                    <w:t>20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</w:rPr>
                    <w:t>年支出预算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  <w:lang w:val="en-US" w:eastAsia="zh-CN"/>
                    </w:rPr>
                    <w:t>53.32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</w:rPr>
                    <w:t>万元，按经济用途划分为：一是基本支出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  <w:lang w:val="en-US" w:eastAsia="zh-CN"/>
                    </w:rPr>
                    <w:t>42.59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</w:rPr>
                    <w:t>万元，占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  <w:lang w:val="en-US" w:eastAsia="zh-CN"/>
                    </w:rPr>
                    <w:t>80</w:t>
                  </w:r>
                  <w:r>
                    <w:rPr>
                      <w:rFonts w:ascii="仿宋" w:hAnsi="仿宋" w:eastAsia="仿宋" w:cs="宋体"/>
                      <w:color w:val="000000"/>
                      <w:sz w:val="32"/>
                      <w:szCs w:val="32"/>
                    </w:rPr>
                    <w:t>%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</w:rPr>
                    <w:t>，其中工资福利支出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  <w:lang w:val="en-US" w:eastAsia="zh-CN"/>
                    </w:rPr>
                    <w:t>42.59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</w:rPr>
                    <w:t>万元，占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  <w:lang w:val="en-US" w:eastAsia="zh-CN"/>
                    </w:rPr>
                    <w:t>80</w:t>
                  </w:r>
                  <w:r>
                    <w:rPr>
                      <w:rFonts w:ascii="仿宋" w:hAnsi="仿宋" w:eastAsia="仿宋" w:cs="宋体"/>
                      <w:color w:val="000000"/>
                      <w:sz w:val="32"/>
                      <w:szCs w:val="32"/>
                    </w:rPr>
                    <w:t>%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</w:rPr>
                    <w:t>；对个人和家庭的补助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  <w:lang w:val="en-US" w:eastAsia="zh-CN"/>
                    </w:rPr>
                    <w:t>为0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</w:rPr>
                    <w:t>；商品服务支出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  <w:lang w:val="en-US" w:eastAsia="zh-CN"/>
                    </w:rPr>
                    <w:t>10.73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</w:rPr>
                    <w:t>万元，占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  <w:lang w:val="en-US" w:eastAsia="zh-CN"/>
                    </w:rPr>
                    <w:t>20</w:t>
                  </w:r>
                  <w:r>
                    <w:rPr>
                      <w:rFonts w:ascii="仿宋" w:hAnsi="仿宋" w:eastAsia="仿宋" w:cs="宋体"/>
                      <w:color w:val="000000"/>
                      <w:sz w:val="32"/>
                      <w:szCs w:val="32"/>
                    </w:rPr>
                    <w:t>%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</w:rPr>
                    <w:t>；二是项目支出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  <w:lang w:val="en-US" w:eastAsia="zh-CN"/>
                    </w:rPr>
                    <w:t>0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</w:rPr>
                    <w:t>万元，占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  <w:lang w:val="en-US" w:eastAsia="zh-CN"/>
                    </w:rPr>
                    <w:t>0</w:t>
                  </w:r>
                  <w:r>
                    <w:rPr>
                      <w:rFonts w:ascii="仿宋" w:hAnsi="仿宋" w:eastAsia="仿宋" w:cs="宋体"/>
                      <w:color w:val="000000"/>
                      <w:sz w:val="32"/>
                      <w:szCs w:val="32"/>
                    </w:rPr>
                    <w:t>%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</w:rPr>
                    <w:t>，其中经常性项目支出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  <w:lang w:val="en-US" w:eastAsia="zh-CN"/>
                    </w:rPr>
                    <w:t>0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</w:rPr>
                    <w:t>万元，占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  <w:lang w:val="en-US" w:eastAsia="zh-CN"/>
                    </w:rPr>
                    <w:t>0</w:t>
                  </w:r>
                  <w:r>
                    <w:rPr>
                      <w:rFonts w:ascii="仿宋" w:hAnsi="仿宋" w:eastAsia="仿宋" w:cs="宋体"/>
                      <w:color w:val="000000"/>
                      <w:sz w:val="32"/>
                      <w:szCs w:val="32"/>
                    </w:rPr>
                    <w:t>%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</w:rPr>
                    <w:t>；重点项目支出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  <w:lang w:val="en-US" w:eastAsia="zh-CN"/>
                    </w:rPr>
                    <w:t>0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</w:rPr>
                    <w:t>万元，占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  <w:lang w:val="en-US" w:eastAsia="zh-CN"/>
                    </w:rPr>
                    <w:t>0</w:t>
                  </w:r>
                  <w:r>
                    <w:rPr>
                      <w:rFonts w:ascii="仿宋" w:hAnsi="仿宋" w:eastAsia="仿宋" w:cs="宋体"/>
                      <w:color w:val="000000"/>
                      <w:sz w:val="32"/>
                      <w:szCs w:val="32"/>
                    </w:rPr>
                    <w:t>%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</w:rPr>
                    <w:t>。</w:t>
                  </w:r>
                  <w:r>
                    <w:rPr>
                      <w:rFonts w:ascii="仿宋" w:hAnsi="宋体" w:eastAsia="仿宋" w:cs="宋体"/>
                      <w:color w:val="000000"/>
                      <w:sz w:val="32"/>
                      <w:szCs w:val="32"/>
                    </w:rPr>
                    <w:t> </w:t>
                  </w:r>
                </w:p>
                <w:p>
                  <w:pPr>
                    <w:widowControl/>
                    <w:spacing w:line="560" w:lineRule="atLeast"/>
                    <w:ind w:firstLine="640"/>
                    <w:jc w:val="left"/>
                    <w:rPr>
                      <w:rFonts w:ascii="宋体" w:cs="宋体"/>
                      <w:b/>
                      <w:bCs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b/>
                      <w:bCs/>
                      <w:kern w:val="0"/>
                      <w:sz w:val="32"/>
                      <w:szCs w:val="32"/>
                    </w:rPr>
                    <w:t>四、财政拨款收入支出预算总体情况说明</w:t>
                  </w:r>
                </w:p>
                <w:p>
                  <w:pPr>
                    <w:widowControl/>
                    <w:spacing w:line="315" w:lineRule="atLeast"/>
                    <w:ind w:firstLine="640"/>
                    <w:jc w:val="left"/>
                    <w:rPr>
                      <w:rFonts w:hint="default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西华县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eastAsia="zh-CN"/>
                    </w:rPr>
                    <w:t>粮食局</w:t>
                  </w: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>20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20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年收入总计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53.32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万元，支出总计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53.32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万元，与</w:t>
                  </w: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>20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19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年相比，收、支总计各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eastAsia="zh-CN"/>
                    </w:rPr>
                    <w:t>减少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124.09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万元，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eastAsia="zh-CN"/>
                    </w:rPr>
                    <w:t>减少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70</w:t>
                  </w: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>%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。其中工资福利支出中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eastAsia="zh-CN"/>
                    </w:rPr>
                    <w:t>减少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93.96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万元，商品服务支出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eastAsia="zh-CN"/>
                    </w:rPr>
                    <w:t>减少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1.2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万元，对个人家庭福利支出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eastAsia="zh-CN"/>
                    </w:rPr>
                    <w:t>减少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6.92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万元，项目支出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eastAsia="zh-CN"/>
                    </w:rPr>
                    <w:t>减少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22.01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万元。收支增加原因是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eastAsia="zh-CN"/>
                    </w:rPr>
                    <w:t>局机关行政人员以及行政执法大队事业人员全部转入发改委，工资不再由我局做预算。</w:t>
                  </w:r>
                </w:p>
                <w:p>
                  <w:pPr>
                    <w:widowControl/>
                    <w:spacing w:line="560" w:lineRule="atLeast"/>
                    <w:ind w:firstLine="640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b/>
                      <w:bCs/>
                      <w:kern w:val="0"/>
                      <w:sz w:val="32"/>
                      <w:szCs w:val="32"/>
                    </w:rPr>
                    <w:t>五、一般公共预算支出预算情况说明</w:t>
                  </w:r>
                </w:p>
                <w:p>
                  <w:pPr>
                    <w:widowControl/>
                    <w:spacing w:line="360" w:lineRule="auto"/>
                    <w:ind w:firstLine="640"/>
                    <w:jc w:val="left"/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西华县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eastAsia="zh-CN"/>
                    </w:rPr>
                    <w:t>粮食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局</w:t>
                  </w: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>20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20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年一般公共预算支出年初预算为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53.32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万元。主要用于以下方面：一般公共服务（类）行政运行支出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0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万元，占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0</w:t>
                  </w: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>%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；财政委托业务支出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0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万元，占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0</w:t>
                  </w: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>%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；事业运行支出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43.47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，占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82.2</w:t>
                  </w: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>%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；其他财政事务支出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0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万元，占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0</w:t>
                  </w: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>%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；社会保障和就业（类）归口管理行政单位离退休支出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0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万元，占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0</w:t>
                  </w: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>%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；机关事业单位基本养老保险缴费支出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5.08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万元，占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9.5</w:t>
                  </w: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>%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；其他社会保障和就业支出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0.29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万元，占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0.5</w:t>
                  </w: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>%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，卫生健康支出（类）行政单位医疗支出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1.94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万元，占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3.6</w:t>
                  </w: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>%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；事业单位医疗支出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0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万元，占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0%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；住房保障支出（类）住房改革支出（款）住房公积金支出（项）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2.54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万元，占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4.7</w:t>
                  </w: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>%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。</w:t>
                  </w:r>
                </w:p>
                <w:p>
                  <w:pPr>
                    <w:widowControl/>
                    <w:spacing w:line="560" w:lineRule="atLeast"/>
                    <w:ind w:firstLine="640"/>
                    <w:jc w:val="left"/>
                    <w:rPr>
                      <w:rFonts w:hint="eastAsia" w:ascii="仿宋" w:hAnsi="宋体" w:eastAsia="仿宋" w:cs="宋体"/>
                      <w:b/>
                      <w:bCs/>
                      <w:kern w:val="0"/>
                      <w:sz w:val="32"/>
                      <w:szCs w:val="32"/>
                    </w:rPr>
                  </w:pPr>
                </w:p>
                <w:p>
                  <w:pPr>
                    <w:widowControl/>
                    <w:spacing w:line="560" w:lineRule="atLeast"/>
                    <w:ind w:firstLine="640"/>
                    <w:jc w:val="left"/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</w:pPr>
                  <w:r>
                    <w:rPr>
                      <w:rFonts w:hint="eastAsia" w:ascii="仿宋" w:hAnsi="宋体" w:eastAsia="仿宋" w:cs="宋体"/>
                      <w:b/>
                      <w:bCs/>
                      <w:kern w:val="0"/>
                      <w:sz w:val="32"/>
                      <w:szCs w:val="32"/>
                    </w:rPr>
                    <w:t>六、一般公共预算基本支出预算情况说明</w:t>
                  </w:r>
                </w:p>
                <w:p>
                  <w:pPr>
                    <w:widowControl/>
                    <w:spacing w:line="560" w:lineRule="atLeast"/>
                    <w:ind w:firstLine="640"/>
                    <w:jc w:val="left"/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西华县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eastAsia="zh-CN"/>
                    </w:rPr>
                    <w:t>粮食局</w:t>
                  </w: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>20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20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年一般公共预算基本支出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53.32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万元，其中：</w:t>
                  </w:r>
                  <w:r>
                    <w:rPr>
                      <w:rFonts w:hint="eastAsia" w:ascii="仿宋" w:hAnsi="宋体" w:eastAsia="仿宋" w:cs="宋体"/>
                      <w:b/>
                      <w:bCs/>
                      <w:spacing w:val="-1"/>
                      <w:kern w:val="0"/>
                      <w:sz w:val="32"/>
                      <w:szCs w:val="32"/>
                    </w:rPr>
                    <w:t>人员经费</w:t>
                  </w:r>
                  <w:r>
                    <w:rPr>
                      <w:rFonts w:hint="eastAsia" w:ascii="仿宋" w:hAnsi="宋体" w:eastAsia="仿宋" w:cs="宋体"/>
                      <w:b/>
                      <w:bCs/>
                      <w:spacing w:val="-1"/>
                      <w:kern w:val="0"/>
                      <w:sz w:val="32"/>
                      <w:szCs w:val="32"/>
                      <w:lang w:val="en-US" w:eastAsia="zh-CN"/>
                    </w:rPr>
                    <w:t>42.59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万元，主要包括：基本工资、津贴补贴、奖金、机关事业单位基本养老保险缴费支出、社会保障缴费、伙食补助费、绩效工资、其他工资福利支出、离休费、退休费、退职（役）费、抚恤金、生活补助、</w:t>
                  </w: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 xml:space="preserve"> 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医疗费、助学金、奖励金、住房公积金、提租补贴、购房补贴、其他对个人和家庭的补助支出；</w:t>
                  </w:r>
                  <w:r>
                    <w:rPr>
                      <w:rFonts w:hint="eastAsia" w:ascii="仿宋" w:hAnsi="宋体" w:eastAsia="仿宋" w:cs="宋体"/>
                      <w:b/>
                      <w:bCs/>
                      <w:spacing w:val="-1"/>
                      <w:kern w:val="0"/>
                      <w:sz w:val="32"/>
                      <w:szCs w:val="32"/>
                    </w:rPr>
                    <w:t>公用经费</w:t>
                  </w:r>
                  <w:r>
                    <w:rPr>
                      <w:rFonts w:hint="eastAsia" w:ascii="仿宋" w:hAnsi="宋体" w:eastAsia="仿宋" w:cs="宋体"/>
                      <w:b/>
                      <w:bCs/>
                      <w:spacing w:val="-1"/>
                      <w:kern w:val="0"/>
                      <w:sz w:val="32"/>
                      <w:szCs w:val="32"/>
                      <w:lang w:val="en-US" w:eastAsia="zh-CN"/>
                    </w:rPr>
                    <w:t>53.32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万元，主要包括：办公费、印刷费、咨询费、手续费、水费、电费、邮电费、取暖费、物业管理费、差旅费、因公出国（境）费、维修（护）费、租赁费、会议费、培训费、公务接待费、专用材料费、劳务费、委托业务费、工会经费、福利费、公务用车运</w:t>
                  </w: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 xml:space="preserve"> 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行维护费、其他交通费用、税金及附加费用、其他商品和服务支出、办公设备购置、专用设备购置、大型修缮、信息网络及软件购置更新、其他资本性支出。</w:t>
                  </w:r>
                </w:p>
                <w:p>
                  <w:pPr>
                    <w:widowControl/>
                    <w:spacing w:line="315" w:lineRule="atLeast"/>
                    <w:jc w:val="left"/>
                    <w:rPr>
                      <w:rFonts w:ascii="仿宋" w:hAnsi="宋体" w:eastAsia="仿宋" w:cs="宋体"/>
                      <w:b/>
                      <w:bCs/>
                      <w:kern w:val="0"/>
                      <w:sz w:val="32"/>
                      <w:szCs w:val="32"/>
                    </w:rPr>
                  </w:pPr>
                  <w:r>
                    <w:rPr>
                      <w:rFonts w:hint="eastAsia" w:ascii="仿宋" w:hAnsi="宋体" w:eastAsia="仿宋" w:cs="宋体"/>
                      <w:b/>
                      <w:bCs/>
                      <w:kern w:val="0"/>
                      <w:sz w:val="32"/>
                      <w:szCs w:val="32"/>
                    </w:rPr>
                    <w:t>七、政府性基金预算支出情况说明</w:t>
                  </w:r>
                </w:p>
                <w:p>
                  <w:pPr>
                    <w:widowControl/>
                    <w:spacing w:line="315" w:lineRule="atLeast"/>
                    <w:jc w:val="left"/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西华县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eastAsia="zh-CN"/>
                    </w:rPr>
                    <w:t>粮食局</w:t>
                  </w: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>20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20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年没有使用政府性基金预算拨款安排的支出。</w:t>
                  </w:r>
                </w:p>
                <w:p>
                  <w:pPr>
                    <w:widowControl/>
                    <w:spacing w:line="560" w:lineRule="atLeast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b/>
                      <w:bCs/>
                      <w:kern w:val="0"/>
                      <w:sz w:val="32"/>
                      <w:szCs w:val="32"/>
                    </w:rPr>
                    <w:t>八、</w:t>
                  </w:r>
                  <w:r>
                    <w:rPr>
                      <w:rFonts w:ascii="仿宋" w:hAnsi="宋体" w:eastAsia="仿宋" w:cs="宋体"/>
                      <w:b/>
                      <w:bCs/>
                      <w:kern w:val="0"/>
                      <w:sz w:val="32"/>
                      <w:szCs w:val="32"/>
                    </w:rPr>
                    <w:t xml:space="preserve"> </w:t>
                  </w:r>
                  <w:r>
                    <w:rPr>
                      <w:rFonts w:hint="eastAsia" w:ascii="仿宋" w:hAnsi="宋体" w:eastAsia="仿宋" w:cs="宋体"/>
                      <w:b/>
                      <w:bCs/>
                      <w:kern w:val="0"/>
                      <w:sz w:val="32"/>
                      <w:szCs w:val="32"/>
                    </w:rPr>
                    <w:t>“三公”经费支出预算情况说明</w:t>
                  </w:r>
                </w:p>
                <w:p>
                  <w:pPr>
                    <w:widowControl/>
                    <w:spacing w:line="560" w:lineRule="atLeast"/>
                    <w:ind w:firstLine="640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西华县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eastAsia="zh-CN"/>
                    </w:rPr>
                    <w:t>粮食局</w:t>
                  </w:r>
                  <w:r>
                    <w:rPr>
                      <w:rFonts w:ascii="仿宋" w:hAnsi="仿宋" w:eastAsia="仿宋" w:cs="仿宋"/>
                      <w:kern w:val="0"/>
                      <w:sz w:val="32"/>
                      <w:szCs w:val="32"/>
                    </w:rPr>
                    <w:t>20</w:t>
                  </w:r>
                  <w:r>
                    <w:rPr>
                      <w:rFonts w:hint="eastAsia" w:ascii="仿宋" w:hAnsi="仿宋" w:eastAsia="仿宋" w:cs="仿宋"/>
                      <w:kern w:val="0"/>
                      <w:sz w:val="32"/>
                      <w:szCs w:val="32"/>
                      <w:lang w:val="en-US" w:eastAsia="zh-CN"/>
                    </w:rPr>
                    <w:t>20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年“三公”经费预算为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1.8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万元。</w:t>
                  </w: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>20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20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年“三公”经费支出预算数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eastAsia="zh-CN"/>
                    </w:rPr>
                    <w:t>比</w:t>
                  </w: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>201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9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年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eastAsia="zh-CN"/>
                    </w:rPr>
                    <w:t>减少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0.2万元，减少10</w:t>
                  </w:r>
                  <w:r>
                    <w:rPr>
                      <w:rFonts w:hint="eastAsia" w:ascii="宋体" w:hAnsi="宋体" w:eastAsia="宋体" w:cs="宋体"/>
                      <w:kern w:val="0"/>
                      <w:sz w:val="32"/>
                      <w:szCs w:val="32"/>
                      <w:lang w:val="en-US" w:eastAsia="zh-CN"/>
                    </w:rPr>
                    <w:t>％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。</w:t>
                  </w:r>
                </w:p>
                <w:p>
                  <w:pPr>
                    <w:widowControl/>
                    <w:spacing w:line="315" w:lineRule="atLeast"/>
                    <w:ind w:firstLine="640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具体支出情况如下：</w:t>
                  </w:r>
                </w:p>
                <w:p>
                  <w:pPr>
                    <w:widowControl/>
                    <w:spacing w:line="315" w:lineRule="atLeast"/>
                    <w:ind w:firstLine="638"/>
                    <w:jc w:val="left"/>
                    <w:rPr>
                      <w:rFonts w:ascii="宋体" w:cs="宋体"/>
                      <w:b w:val="0"/>
                      <w:bCs w:val="0"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b w:val="0"/>
                      <w:bCs w:val="0"/>
                      <w:spacing w:val="-1"/>
                      <w:kern w:val="0"/>
                      <w:sz w:val="32"/>
                      <w:szCs w:val="32"/>
                    </w:rPr>
                    <w:t>（一）因公出国（境）费</w:t>
                  </w:r>
                  <w:r>
                    <w:rPr>
                      <w:rFonts w:hint="eastAsia" w:ascii="仿宋" w:hAnsi="宋体" w:eastAsia="仿宋" w:cs="宋体"/>
                      <w:b w:val="0"/>
                      <w:bCs w:val="0"/>
                      <w:spacing w:val="-1"/>
                      <w:kern w:val="0"/>
                      <w:sz w:val="32"/>
                      <w:szCs w:val="32"/>
                      <w:lang w:val="en-US" w:eastAsia="zh-CN"/>
                    </w:rPr>
                    <w:t>0</w:t>
                  </w:r>
                  <w:r>
                    <w:rPr>
                      <w:rFonts w:hint="eastAsia" w:ascii="仿宋" w:hAnsi="宋体" w:eastAsia="仿宋" w:cs="宋体"/>
                      <w:b w:val="0"/>
                      <w:bCs w:val="0"/>
                      <w:spacing w:val="-1"/>
                      <w:kern w:val="0"/>
                      <w:sz w:val="32"/>
                      <w:szCs w:val="32"/>
                    </w:rPr>
                    <w:t>万元</w:t>
                  </w:r>
                  <w:r>
                    <w:rPr>
                      <w:rFonts w:hint="eastAsia" w:ascii="仿宋" w:hAnsi="宋体" w:eastAsia="仿宋" w:cs="宋体"/>
                      <w:b w:val="0"/>
                      <w:bCs w:val="0"/>
                      <w:kern w:val="0"/>
                      <w:sz w:val="32"/>
                      <w:szCs w:val="32"/>
                    </w:rPr>
                    <w:t>。</w:t>
                  </w:r>
                </w:p>
                <w:p>
                  <w:pPr>
                    <w:widowControl/>
                    <w:spacing w:line="315" w:lineRule="atLeast"/>
                    <w:ind w:firstLine="638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b w:val="0"/>
                      <w:bCs w:val="0"/>
                      <w:spacing w:val="-1"/>
                      <w:kern w:val="0"/>
                      <w:sz w:val="32"/>
                      <w:szCs w:val="32"/>
                    </w:rPr>
                    <w:t>（二）公务用车购置及运行费</w:t>
                  </w:r>
                  <w:r>
                    <w:rPr>
                      <w:rFonts w:hint="eastAsia" w:ascii="仿宋" w:hAnsi="宋体" w:eastAsia="仿宋" w:cs="宋体"/>
                      <w:b w:val="0"/>
                      <w:bCs w:val="0"/>
                      <w:spacing w:val="-1"/>
                      <w:kern w:val="0"/>
                      <w:sz w:val="32"/>
                      <w:szCs w:val="32"/>
                      <w:lang w:val="en-US" w:eastAsia="zh-CN"/>
                    </w:rPr>
                    <w:t>0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万元，其中，公务用车购置费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0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万元；公务用车运行维护费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0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万元，主要用于开展工作所需公务用车的燃料费、维修费、过路过桥费、保险费、安全奖励费用等支出。公务用车运行维护费预算数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相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比</w:t>
                  </w: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>201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9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年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eastAsia="zh-CN"/>
                    </w:rPr>
                    <w:t>持平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。</w:t>
                  </w:r>
                </w:p>
                <w:p>
                  <w:pPr>
                    <w:widowControl/>
                    <w:spacing w:line="315" w:lineRule="atLeast"/>
                    <w:ind w:firstLine="638"/>
                    <w:jc w:val="left"/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</w:pPr>
                  <w:r>
                    <w:rPr>
                      <w:rFonts w:hint="eastAsia" w:ascii="仿宋" w:hAnsi="宋体" w:eastAsia="仿宋" w:cs="宋体"/>
                      <w:b w:val="0"/>
                      <w:bCs w:val="0"/>
                      <w:spacing w:val="-1"/>
                      <w:kern w:val="0"/>
                      <w:sz w:val="32"/>
                      <w:szCs w:val="32"/>
                    </w:rPr>
                    <w:t>（三）公务接待费</w:t>
                  </w:r>
                  <w:r>
                    <w:rPr>
                      <w:rFonts w:hint="eastAsia" w:ascii="仿宋" w:hAnsi="宋体" w:eastAsia="仿宋" w:cs="宋体"/>
                      <w:b w:val="0"/>
                      <w:bCs w:val="0"/>
                      <w:spacing w:val="-1"/>
                      <w:kern w:val="0"/>
                      <w:sz w:val="32"/>
                      <w:szCs w:val="32"/>
                      <w:lang w:val="en-US" w:eastAsia="zh-CN"/>
                    </w:rPr>
                    <w:t>1.8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万元。</w:t>
                  </w:r>
                </w:p>
                <w:p>
                  <w:pPr>
                    <w:widowControl/>
                    <w:spacing w:line="315" w:lineRule="atLeast"/>
                    <w:jc w:val="left"/>
                    <w:rPr>
                      <w:rFonts w:ascii="仿宋" w:hAnsi="宋体" w:eastAsia="仿宋" w:cs="宋体"/>
                      <w:b/>
                      <w:bCs/>
                      <w:kern w:val="0"/>
                      <w:sz w:val="32"/>
                      <w:szCs w:val="32"/>
                    </w:rPr>
                  </w:pPr>
                  <w:r>
                    <w:rPr>
                      <w:rFonts w:hint="eastAsia" w:ascii="仿宋" w:hAnsi="宋体" w:eastAsia="仿宋" w:cs="宋体"/>
                      <w:b/>
                      <w:bCs/>
                      <w:kern w:val="0"/>
                      <w:sz w:val="32"/>
                      <w:szCs w:val="32"/>
                    </w:rPr>
                    <w:t>九、其他重要事项的情况说明</w:t>
                  </w:r>
                </w:p>
                <w:p>
                  <w:pPr>
                    <w:widowControl/>
                    <w:spacing w:line="315" w:lineRule="atLeast"/>
                    <w:jc w:val="left"/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（一）机关运行经费支出情况</w:t>
                  </w:r>
                </w:p>
                <w:p>
                  <w:pPr>
                    <w:widowControl/>
                    <w:spacing w:line="560" w:lineRule="atLeast"/>
                    <w:ind w:firstLine="640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西华县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eastAsia="zh-CN"/>
                    </w:rPr>
                    <w:t>粮食局</w:t>
                  </w:r>
                  <w:r>
                    <w:rPr>
                      <w:rFonts w:ascii="仿宋" w:hAnsi="仿宋" w:eastAsia="仿宋" w:cs="仿宋"/>
                      <w:kern w:val="0"/>
                      <w:sz w:val="32"/>
                      <w:szCs w:val="32"/>
                    </w:rPr>
                    <w:t>20</w:t>
                  </w:r>
                  <w:r>
                    <w:rPr>
                      <w:rFonts w:hint="eastAsia" w:ascii="仿宋" w:hAnsi="仿宋" w:eastAsia="仿宋" w:cs="仿宋"/>
                      <w:kern w:val="0"/>
                      <w:sz w:val="32"/>
                      <w:szCs w:val="32"/>
                      <w:lang w:val="en-US" w:eastAsia="zh-CN"/>
                    </w:rPr>
                    <w:t>20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年一般公共预算基本支出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53.32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元，其中：</w:t>
                  </w:r>
                  <w:r>
                    <w:rPr>
                      <w:rFonts w:hint="eastAsia" w:ascii="仿宋" w:hAnsi="宋体" w:eastAsia="仿宋" w:cs="宋体"/>
                      <w:b/>
                      <w:bCs/>
                      <w:spacing w:val="-1"/>
                      <w:kern w:val="0"/>
                      <w:sz w:val="32"/>
                      <w:szCs w:val="32"/>
                    </w:rPr>
                    <w:t>人员经费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42.59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万元，主要包括：基本工资、津贴补贴、奖金、机关事业单位基本养老保险缴费支出、社会保障缴费、伙食补助费、绩效工资、其他工资福利支出、离休费、退休费、退职（役）费、抚恤金、生活补助、</w:t>
                  </w: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 xml:space="preserve"> 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医疗费、助学金、奖励金、住房公积金、提租补贴、购房补贴、其他对个人和家庭的补助支出；</w:t>
                  </w:r>
                  <w:r>
                    <w:rPr>
                      <w:rFonts w:hint="eastAsia" w:ascii="仿宋" w:hAnsi="宋体" w:eastAsia="仿宋" w:cs="宋体"/>
                      <w:b/>
                      <w:bCs/>
                      <w:spacing w:val="-1"/>
                      <w:kern w:val="0"/>
                      <w:sz w:val="32"/>
                      <w:szCs w:val="32"/>
                    </w:rPr>
                    <w:t>公用经费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53.32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万元，主要包括：办公费、印刷费、咨询费、手续费、水费、电费、邮电费、取暖费、物业管理费、差旅费、因公出国（境）费、维修（护）费、租赁费、会议费、培训费、公务接待费、专用材料费、劳务费、委托业务费、工会经费、福利费、公务用车运</w:t>
                  </w: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 xml:space="preserve"> 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行维护费、其他交通费用、税金及附加费用、其他商品和服务支出、办公设备购置、专用设备购置、大型修缮、信息网络及软件购置更新、其他资本性支出。</w:t>
                  </w:r>
                </w:p>
                <w:p>
                  <w:pPr>
                    <w:spacing w:line="360" w:lineRule="auto"/>
                    <w:rPr>
                      <w:rFonts w:ascii="仿宋" w:hAnsi="仿宋" w:eastAsia="仿宋" w:cs="仿宋"/>
                      <w:sz w:val="32"/>
                    </w:rPr>
                  </w:pPr>
                  <w:r>
                    <w:rPr>
                      <w:rFonts w:hint="eastAsia" w:ascii="仿宋" w:hAnsi="仿宋" w:eastAsia="仿宋" w:cs="仿宋"/>
                      <w:sz w:val="32"/>
                    </w:rPr>
                    <w:t>（二）、政府采购支出情况。</w:t>
                  </w:r>
                </w:p>
                <w:p>
                  <w:pPr>
                    <w:spacing w:line="360" w:lineRule="auto"/>
                    <w:ind w:firstLine="640" w:firstLineChars="200"/>
                    <w:rPr>
                      <w:rFonts w:hint="default" w:ascii="仿宋" w:hAnsi="仿宋" w:eastAsia="仿宋" w:cs="仿宋"/>
                      <w:sz w:val="32"/>
                      <w:lang w:val="en-US" w:eastAsia="zh-CN"/>
                    </w:rPr>
                  </w:pPr>
                  <w:r>
                    <w:rPr>
                      <w:rFonts w:ascii="仿宋" w:hAnsi="仿宋" w:eastAsia="仿宋" w:cs="仿宋"/>
                      <w:kern w:val="0"/>
                      <w:sz w:val="32"/>
                      <w:szCs w:val="32"/>
                    </w:rPr>
                    <w:t>20</w:t>
                  </w:r>
                  <w:r>
                    <w:rPr>
                      <w:rFonts w:hint="eastAsia" w:ascii="仿宋" w:hAnsi="仿宋" w:eastAsia="仿宋" w:cs="仿宋"/>
                      <w:kern w:val="0"/>
                      <w:sz w:val="32"/>
                      <w:szCs w:val="32"/>
                      <w:lang w:val="en-US" w:eastAsia="zh-CN"/>
                    </w:rPr>
                    <w:t>20</w:t>
                  </w:r>
                  <w:r>
                    <w:rPr>
                      <w:rFonts w:hint="eastAsia" w:ascii="仿宋" w:hAnsi="仿宋" w:eastAsia="仿宋" w:cs="仿宋"/>
                      <w:sz w:val="32"/>
                    </w:rPr>
                    <w:t>年政府采购预算安排</w:t>
                  </w:r>
                  <w:r>
                    <w:rPr>
                      <w:rFonts w:hint="eastAsia" w:ascii="仿宋" w:hAnsi="仿宋" w:eastAsia="仿宋" w:cs="仿宋"/>
                      <w:sz w:val="32"/>
                      <w:lang w:val="en-US" w:eastAsia="zh-CN"/>
                    </w:rPr>
                    <w:t>0</w:t>
                  </w:r>
                  <w:r>
                    <w:rPr>
                      <w:rFonts w:hint="eastAsia" w:ascii="仿宋" w:hAnsi="仿宋" w:eastAsia="仿宋" w:cs="仿宋"/>
                      <w:sz w:val="32"/>
                    </w:rPr>
                    <w:t>万元，其中：政府采购货物预算</w:t>
                  </w:r>
                  <w:r>
                    <w:rPr>
                      <w:rFonts w:hint="eastAsia" w:ascii="仿宋" w:hAnsi="仿宋" w:eastAsia="仿宋" w:cs="仿宋"/>
                      <w:sz w:val="32"/>
                      <w:lang w:val="en-US" w:eastAsia="zh-CN"/>
                    </w:rPr>
                    <w:t>0</w:t>
                  </w:r>
                  <w:r>
                    <w:rPr>
                      <w:rFonts w:hint="eastAsia" w:ascii="仿宋" w:hAnsi="仿宋" w:eastAsia="仿宋" w:cs="仿宋"/>
                      <w:sz w:val="32"/>
                    </w:rPr>
                    <w:t>万元、政府采购工程预算</w:t>
                  </w:r>
                  <w:r>
                    <w:rPr>
                      <w:rFonts w:hint="eastAsia" w:ascii="仿宋" w:hAnsi="仿宋" w:eastAsia="仿宋" w:cs="仿宋"/>
                      <w:sz w:val="32"/>
                      <w:lang w:val="en-US" w:eastAsia="zh-CN"/>
                    </w:rPr>
                    <w:t>0</w:t>
                  </w:r>
                  <w:r>
                    <w:rPr>
                      <w:rFonts w:hint="eastAsia" w:ascii="仿宋" w:hAnsi="仿宋" w:eastAsia="仿宋" w:cs="仿宋"/>
                      <w:sz w:val="32"/>
                    </w:rPr>
                    <w:t>万元、政府采购服务预算</w:t>
                  </w:r>
                  <w:r>
                    <w:rPr>
                      <w:rFonts w:hint="eastAsia" w:ascii="仿宋" w:hAnsi="仿宋" w:eastAsia="仿宋" w:cs="仿宋"/>
                      <w:sz w:val="32"/>
                      <w:lang w:val="en-US" w:eastAsia="zh-CN"/>
                    </w:rPr>
                    <w:t>0</w:t>
                  </w:r>
                  <w:r>
                    <w:rPr>
                      <w:rFonts w:hint="eastAsia" w:ascii="仿宋" w:hAnsi="仿宋" w:eastAsia="仿宋" w:cs="仿宋"/>
                      <w:sz w:val="32"/>
                    </w:rPr>
                    <w:t>万元。</w:t>
                  </w:r>
                </w:p>
                <w:p>
                  <w:pPr>
                    <w:spacing w:line="360" w:lineRule="auto"/>
                    <w:rPr>
                      <w:rFonts w:ascii="仿宋" w:hAnsi="仿宋" w:eastAsia="仿宋" w:cs="仿宋"/>
                      <w:sz w:val="32"/>
                    </w:rPr>
                  </w:pPr>
                  <w:r>
                    <w:rPr>
                      <w:rFonts w:hint="eastAsia" w:ascii="仿宋" w:hAnsi="仿宋" w:eastAsia="仿宋" w:cs="仿宋"/>
                      <w:sz w:val="32"/>
                    </w:rPr>
                    <w:t>（三）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、</w:t>
                  </w:r>
                  <w:r>
                    <w:rPr>
                      <w:rFonts w:hint="eastAsia" w:ascii="仿宋" w:hAnsi="仿宋" w:eastAsia="仿宋" w:cs="仿宋"/>
                      <w:sz w:val="32"/>
                    </w:rPr>
                    <w:t>国有资产占用情况表</w:t>
                  </w:r>
                </w:p>
                <w:p>
                  <w:pPr>
                    <w:spacing w:line="360" w:lineRule="auto"/>
                    <w:ind w:firstLine="640"/>
                    <w:rPr>
                      <w:rFonts w:ascii="仿宋" w:hAnsi="仿宋" w:eastAsia="仿宋" w:cs="仿宋"/>
                      <w:sz w:val="32"/>
                    </w:rPr>
                  </w:pPr>
                  <w:r>
                    <w:rPr>
                      <w:rFonts w:ascii="仿宋" w:hAnsi="仿宋" w:eastAsia="仿宋" w:cs="仿宋"/>
                      <w:kern w:val="0"/>
                      <w:sz w:val="32"/>
                      <w:szCs w:val="32"/>
                    </w:rPr>
                    <w:t>20</w:t>
                  </w:r>
                  <w:r>
                    <w:rPr>
                      <w:rFonts w:hint="eastAsia" w:ascii="仿宋" w:hAnsi="仿宋" w:eastAsia="仿宋" w:cs="仿宋"/>
                      <w:kern w:val="0"/>
                      <w:sz w:val="32"/>
                      <w:szCs w:val="32"/>
                      <w:lang w:val="en-US" w:eastAsia="zh-CN"/>
                    </w:rPr>
                    <w:t>20</w:t>
                  </w:r>
                  <w:r>
                    <w:rPr>
                      <w:rFonts w:hint="eastAsia" w:ascii="仿宋" w:hAnsi="仿宋" w:eastAsia="仿宋" w:cs="仿宋"/>
                      <w:sz w:val="32"/>
                    </w:rPr>
                    <w:t>年度，</w:t>
                  </w:r>
                  <w:r>
                    <w:rPr>
                      <w:rFonts w:hint="eastAsia" w:ascii="仿宋" w:hAnsi="仿宋" w:eastAsia="仿宋" w:cs="仿宋"/>
                      <w:sz w:val="32"/>
                      <w:lang w:val="en-US" w:eastAsia="zh-CN"/>
                    </w:rPr>
                    <w:t>西华县粮食局</w:t>
                  </w:r>
                  <w:r>
                    <w:rPr>
                      <w:rFonts w:hint="eastAsia" w:ascii="仿宋" w:hAnsi="仿宋" w:eastAsia="仿宋" w:cs="仿宋"/>
                      <w:sz w:val="32"/>
                    </w:rPr>
                    <w:t>共有车辆</w:t>
                  </w:r>
                  <w:r>
                    <w:rPr>
                      <w:rFonts w:hint="eastAsia" w:ascii="仿宋" w:hAnsi="仿宋" w:eastAsia="仿宋" w:cs="仿宋"/>
                      <w:sz w:val="32"/>
                      <w:lang w:val="en-US" w:eastAsia="zh-CN"/>
                    </w:rPr>
                    <w:t>0</w:t>
                  </w:r>
                  <w:r>
                    <w:rPr>
                      <w:rFonts w:hint="eastAsia" w:ascii="仿宋" w:hAnsi="仿宋" w:eastAsia="仿宋" w:cs="仿宋"/>
                      <w:sz w:val="32"/>
                    </w:rPr>
                    <w:t>辆，为一般公务用车。单位价值</w:t>
                  </w:r>
                  <w:r>
                    <w:rPr>
                      <w:rFonts w:ascii="仿宋" w:hAnsi="仿宋" w:eastAsia="仿宋" w:cs="仿宋"/>
                      <w:sz w:val="32"/>
                    </w:rPr>
                    <w:t>50</w:t>
                  </w:r>
                  <w:r>
                    <w:rPr>
                      <w:rFonts w:hint="eastAsia" w:ascii="仿宋" w:hAnsi="仿宋" w:eastAsia="仿宋" w:cs="仿宋"/>
                      <w:sz w:val="32"/>
                    </w:rPr>
                    <w:t>万元以上通用设备</w:t>
                  </w:r>
                  <w:r>
                    <w:rPr>
                      <w:rFonts w:hint="eastAsia" w:ascii="仿宋" w:hAnsi="仿宋" w:eastAsia="仿宋" w:cs="仿宋"/>
                      <w:sz w:val="32"/>
                      <w:lang w:val="en-US" w:eastAsia="zh-CN"/>
                    </w:rPr>
                    <w:t>0</w:t>
                  </w:r>
                  <w:r>
                    <w:rPr>
                      <w:rFonts w:hint="eastAsia" w:ascii="仿宋" w:hAnsi="仿宋" w:eastAsia="仿宋" w:cs="仿宋"/>
                      <w:sz w:val="32"/>
                    </w:rPr>
                    <w:t>台（套），单位价值</w:t>
                  </w:r>
                  <w:r>
                    <w:rPr>
                      <w:rFonts w:ascii="仿宋" w:hAnsi="仿宋" w:eastAsia="仿宋" w:cs="仿宋"/>
                      <w:sz w:val="32"/>
                    </w:rPr>
                    <w:t>100</w:t>
                  </w:r>
                  <w:r>
                    <w:rPr>
                      <w:rFonts w:hint="eastAsia" w:ascii="仿宋" w:hAnsi="仿宋" w:eastAsia="仿宋" w:cs="仿宋"/>
                      <w:sz w:val="32"/>
                    </w:rPr>
                    <w:t>万元以上专用设备</w:t>
                  </w:r>
                  <w:r>
                    <w:rPr>
                      <w:rFonts w:hint="eastAsia" w:ascii="仿宋" w:hAnsi="仿宋" w:eastAsia="仿宋" w:cs="仿宋"/>
                      <w:sz w:val="32"/>
                      <w:lang w:val="en-US" w:eastAsia="zh-CN"/>
                    </w:rPr>
                    <w:t>0</w:t>
                  </w:r>
                  <w:r>
                    <w:rPr>
                      <w:rFonts w:hint="eastAsia" w:ascii="仿宋" w:hAnsi="仿宋" w:eastAsia="仿宋" w:cs="仿宋"/>
                      <w:sz w:val="32"/>
                    </w:rPr>
                    <w:t>台（套）。</w:t>
                  </w:r>
                </w:p>
                <w:p>
                  <w:pPr>
                    <w:spacing w:line="360" w:lineRule="auto"/>
                    <w:rPr>
                      <w:rFonts w:ascii="仿宋" w:hAnsi="仿宋" w:eastAsia="仿宋" w:cs="仿宋"/>
                      <w:sz w:val="32"/>
                    </w:rPr>
                  </w:pPr>
                  <w:r>
                    <w:rPr>
                      <w:rFonts w:hint="eastAsia" w:ascii="仿宋" w:hAnsi="仿宋" w:eastAsia="仿宋" w:cs="仿宋"/>
                      <w:sz w:val="32"/>
                    </w:rPr>
                    <w:t>（四）、重点绩效评价结果等预算绩效情况说明。</w:t>
                  </w:r>
                </w:p>
                <w:p>
                  <w:pPr>
                    <w:widowControl/>
                    <w:spacing w:line="315" w:lineRule="atLeast"/>
                    <w:ind w:firstLine="320" w:firstLineChars="100"/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</w:pPr>
                  <w:r>
                    <w:rPr>
                      <w:rFonts w:hint="eastAsia" w:ascii="仿宋" w:hAnsi="仿宋" w:eastAsia="仿宋" w:cs="仿宋"/>
                      <w:kern w:val="0"/>
                      <w:sz w:val="32"/>
                      <w:szCs w:val="32"/>
                      <w:lang w:val="en-US" w:eastAsia="zh-CN"/>
                    </w:rPr>
                    <w:t>本单位2020年度未安排重点项目支出资金，所以未开展绩效评价工作。</w:t>
                  </w:r>
                </w:p>
                <w:p>
                  <w:pPr>
                    <w:widowControl/>
                    <w:spacing w:line="315" w:lineRule="atLeast"/>
                    <w:ind w:firstLine="1749" w:firstLineChars="396"/>
                    <w:rPr>
                      <w:rFonts w:hint="eastAsia" w:ascii="仿宋" w:hAnsi="宋体" w:eastAsia="仿宋" w:cs="宋体"/>
                      <w:b/>
                      <w:kern w:val="0"/>
                      <w:sz w:val="44"/>
                      <w:szCs w:val="44"/>
                    </w:rPr>
                  </w:pPr>
                </w:p>
                <w:p>
                  <w:pPr>
                    <w:widowControl/>
                    <w:spacing w:line="315" w:lineRule="atLeast"/>
                    <w:ind w:firstLine="1749" w:firstLineChars="396"/>
                    <w:rPr>
                      <w:rFonts w:hint="eastAsia" w:ascii="仿宋" w:hAnsi="宋体" w:eastAsia="仿宋" w:cs="宋体"/>
                      <w:b/>
                      <w:kern w:val="0"/>
                      <w:sz w:val="44"/>
                      <w:szCs w:val="44"/>
                    </w:rPr>
                  </w:pPr>
                </w:p>
                <w:p>
                  <w:pPr>
                    <w:widowControl/>
                    <w:spacing w:line="315" w:lineRule="atLeast"/>
                    <w:ind w:firstLine="1749" w:firstLineChars="396"/>
                    <w:rPr>
                      <w:rFonts w:hint="eastAsia" w:ascii="仿宋" w:hAnsi="宋体" w:eastAsia="仿宋" w:cs="宋体"/>
                      <w:b/>
                      <w:kern w:val="0"/>
                      <w:sz w:val="44"/>
                      <w:szCs w:val="44"/>
                    </w:rPr>
                  </w:pPr>
                </w:p>
                <w:p>
                  <w:pPr>
                    <w:widowControl/>
                    <w:spacing w:line="315" w:lineRule="atLeast"/>
                    <w:ind w:firstLine="1749" w:firstLineChars="396"/>
                    <w:rPr>
                      <w:rFonts w:hint="eastAsia" w:ascii="仿宋" w:hAnsi="宋体" w:eastAsia="仿宋" w:cs="宋体"/>
                      <w:b/>
                      <w:kern w:val="0"/>
                      <w:sz w:val="44"/>
                      <w:szCs w:val="44"/>
                    </w:rPr>
                  </w:pPr>
                </w:p>
                <w:p>
                  <w:pPr>
                    <w:widowControl/>
                    <w:spacing w:line="315" w:lineRule="atLeast"/>
                    <w:ind w:firstLine="1749" w:firstLineChars="396"/>
                    <w:rPr>
                      <w:rFonts w:ascii="宋体" w:cs="宋体"/>
                      <w:b/>
                      <w:kern w:val="0"/>
                      <w:sz w:val="44"/>
                      <w:szCs w:val="44"/>
                    </w:rPr>
                  </w:pPr>
                  <w:r>
                    <w:rPr>
                      <w:rFonts w:hint="eastAsia" w:ascii="仿宋" w:hAnsi="宋体" w:eastAsia="仿宋" w:cs="宋体"/>
                      <w:b/>
                      <w:kern w:val="0"/>
                      <w:sz w:val="44"/>
                      <w:szCs w:val="44"/>
                    </w:rPr>
                    <w:t>第三部分名词解释</w:t>
                  </w:r>
                </w:p>
                <w:p>
                  <w:pPr>
                    <w:widowControl/>
                    <w:spacing w:line="315" w:lineRule="atLeast"/>
                    <w:ind w:firstLine="640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一、财政拨款收入：是指县级财政当年拨付的资金。</w:t>
                  </w:r>
                </w:p>
                <w:p>
                  <w:pPr>
                    <w:widowControl/>
                    <w:spacing w:line="315" w:lineRule="atLeast"/>
                    <w:ind w:firstLine="640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二、事业收入：是指事业单位开展专业活动及辅助活动所取</w:t>
                  </w: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 xml:space="preserve"> 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得的收入。</w:t>
                  </w:r>
                </w:p>
                <w:p>
                  <w:pPr>
                    <w:widowControl/>
                    <w:spacing w:line="315" w:lineRule="atLeast"/>
                    <w:ind w:firstLine="640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三、其他收入：是指部门取得的除“财政拨款”、“事业收入”、“事业单位经营收入”等以外的收入。</w:t>
                  </w:r>
                </w:p>
                <w:p>
                  <w:pPr>
                    <w:widowControl/>
                    <w:spacing w:line="315" w:lineRule="atLeast"/>
                    <w:ind w:firstLine="640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四、用事业基金弥补收支差额：是指事业单位在当年的“财政拨款收入”、“事业收入”、“经营收入”和“其他收入”不足以安排当年支出的情况下，使用以前年度积累的事业基金（即事业单位以前各年度收支相抵后，按国家规定提取、用于弥补以后年度收支差额的基金）弥补当年收支缺口的资金。</w:t>
                  </w:r>
                </w:p>
                <w:p>
                  <w:pPr>
                    <w:widowControl/>
                    <w:spacing w:line="315" w:lineRule="atLeast"/>
                    <w:ind w:firstLine="640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五、基本支出：是指为保障机构正常运转、完成日常工作任务所必需的开支，其内容包括人员经费和日常公用经费两部分。</w:t>
                  </w:r>
                </w:p>
                <w:p>
                  <w:pPr>
                    <w:widowControl/>
                    <w:spacing w:line="315" w:lineRule="atLeast"/>
                    <w:ind w:firstLine="640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六、项目支出：是指在基本支出之外，为完成特定的行政工作任务或事业发展目标所发生的支出。</w:t>
                  </w:r>
                </w:p>
                <w:p>
                  <w:pPr>
                    <w:widowControl/>
                    <w:spacing w:line="315" w:lineRule="atLeast"/>
                    <w:ind w:firstLine="640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七、“三公”经费：是指纳入县级财政预算管理，部门使用财政拨款安排的因公出国（境）费、公务用车购置及运行费和公务接待费。其中，因公出国（境）费反映单位公务出国（境）的住宿费、旅费、伙食补助费、杂费、培训费等支出；公务用车购置及运行费反映单位公务用车购置费及租用费、燃料费、维修费、过路过桥费、保险费、安全奖励费用等支出；公务接待费反映单位按规定开支的各类公务接待（含外宾接待）支出。</w:t>
                  </w:r>
                </w:p>
                <w:p>
                  <w:pPr>
                    <w:widowControl/>
                    <w:spacing w:line="315" w:lineRule="atLeast"/>
                    <w:ind w:firstLine="640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八、机关运行经费：是指为保障行政单位（含参照公务员法管理的事业单位）运行用于购买货物和服务的各项资金，包括办公及印刷费、邮电费、差旅费、会议费、福利费、日常维修费及一般设备购置费、办公用房水电费、办公用房取暖费、办公用房物业管理费、公务用车运行维护费以及其他费用。</w:t>
                  </w:r>
                </w:p>
                <w:p>
                  <w:pPr>
                    <w:widowControl/>
                    <w:spacing w:line="315" w:lineRule="atLeast"/>
                    <w:jc w:val="left"/>
                    <w:rPr>
                      <w:rFonts w:hint="eastAsia" w:ascii="宋体" w:eastAsia="仿宋" w:cs="宋体"/>
                      <w:kern w:val="0"/>
                      <w:sz w:val="24"/>
                      <w:lang w:eastAsia="zh-CN"/>
                    </w:rPr>
                  </w:pP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> </w:t>
                  </w: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object>
                      <v:shape id="_x0000_i1025" o:spt="75" type="#_x0000_t75" style="height:66pt;width:72.75pt;" o:ole="t" filled="f" o:preferrelative="t" stroked="f" coordsize="21600,21600">
                        <v:fill on="f" focussize="0,0"/>
                        <v:stroke on="f"/>
                        <v:imagedata r:id="rId5" o:title=""/>
                        <o:lock v:ext="edit" aspectratio="t"/>
                        <w10:wrap type="none"/>
                        <w10:anchorlock/>
                      </v:shape>
                      <o:OLEObject Type="Embed" ProgID="Excel.Sheet.12" ShapeID="_x0000_i1025" DrawAspect="Icon" ObjectID="_1468075725" r:id="rId4">
                        <o:LockedField>false</o:LockedField>
                      </o:OLEObject>
                    </w:object>
                  </w:r>
                  <w:bookmarkStart w:id="0" w:name="_GoBack"/>
                  <w:bookmarkEnd w:id="0"/>
                </w:p>
                <w:p>
                  <w:pPr>
                    <w:widowControl/>
                    <w:spacing w:line="315" w:lineRule="atLeast"/>
                    <w:jc w:val="center"/>
                    <w:rPr>
                      <w:rFonts w:ascii="宋体" w:cs="宋体"/>
                      <w:kern w:val="0"/>
                      <w:sz w:val="32"/>
                      <w:szCs w:val="32"/>
                    </w:rPr>
                  </w:pPr>
                </w:p>
                <w:p>
                  <w:pPr>
                    <w:widowControl/>
                    <w:spacing w:line="315" w:lineRule="atLeast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</w:p>
              </w:tc>
            </w:tr>
          </w:tbl>
          <w:p>
            <w:pPr>
              <w:widowControl/>
              <w:jc w:val="center"/>
              <w:rPr>
                <w:rFonts w:ascii="宋体" w:cs="宋体"/>
                <w:kern w:val="0"/>
                <w:sz w:val="18"/>
                <w:szCs w:val="18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470" w:hRule="atLeast"/>
          <w:tblCellSpacing w:w="0" w:type="dxa"/>
        </w:trPr>
        <w:tc>
          <w:tcPr>
            <w:tcW w:w="8306" w:type="dxa"/>
            <w:vAlign w:val="center"/>
          </w:tcPr>
          <w:p>
            <w:pPr>
              <w:widowControl/>
              <w:spacing w:line="360" w:lineRule="atLeast"/>
              <w:rPr>
                <w:rFonts w:ascii="宋体" w:cs="宋体"/>
                <w:color w:val="113F95"/>
                <w:kern w:val="0"/>
                <w:sz w:val="18"/>
                <w:szCs w:val="18"/>
              </w:rPr>
            </w:pPr>
          </w:p>
        </w:tc>
      </w:tr>
    </w:tbl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Segoe UI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仿宋_GB2312">
    <w:altName w:val="仿宋"/>
    <w:panose1 w:val="00000000000000000000"/>
    <w:charset w:val="86"/>
    <w:family w:val="auto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88F78B4"/>
    <w:multiLevelType w:val="multilevel"/>
    <w:tmpl w:val="688F78B4"/>
    <w:lvl w:ilvl="0" w:tentative="0">
      <w:start w:val="1"/>
      <w:numFmt w:val="decimal"/>
      <w:lvlText w:val="%1、"/>
      <w:lvlJc w:val="left"/>
      <w:pPr>
        <w:ind w:left="504" w:hanging="504"/>
      </w:pPr>
      <w:rPr>
        <w:rFonts w:hint="default" w:cs="Times New Roman"/>
      </w:rPr>
    </w:lvl>
    <w:lvl w:ilvl="1" w:tentative="0">
      <w:start w:val="1"/>
      <w:numFmt w:val="lowerLetter"/>
      <w:lvlText w:val="%2)"/>
      <w:lvlJc w:val="left"/>
      <w:pPr>
        <w:ind w:left="840" w:hanging="420"/>
      </w:pPr>
      <w:rPr>
        <w:rFonts w:cs="Times New Roman"/>
      </w:rPr>
    </w:lvl>
    <w:lvl w:ilvl="2" w:tentative="0">
      <w:start w:val="1"/>
      <w:numFmt w:val="lowerRoman"/>
      <w:lvlText w:val="%3."/>
      <w:lvlJc w:val="right"/>
      <w:pPr>
        <w:ind w:left="1260" w:hanging="420"/>
      </w:pPr>
      <w:rPr>
        <w:rFonts w:cs="Times New Roman"/>
      </w:rPr>
    </w:lvl>
    <w:lvl w:ilvl="3" w:tentative="0">
      <w:start w:val="1"/>
      <w:numFmt w:val="decimal"/>
      <w:lvlText w:val="%4."/>
      <w:lvlJc w:val="left"/>
      <w:pPr>
        <w:ind w:left="1680" w:hanging="420"/>
      </w:pPr>
      <w:rPr>
        <w:rFonts w:cs="Times New Roman"/>
      </w:rPr>
    </w:lvl>
    <w:lvl w:ilvl="4" w:tentative="0">
      <w:start w:val="1"/>
      <w:numFmt w:val="lowerLetter"/>
      <w:lvlText w:val="%5)"/>
      <w:lvlJc w:val="left"/>
      <w:pPr>
        <w:ind w:left="2100" w:hanging="420"/>
      </w:pPr>
      <w:rPr>
        <w:rFonts w:cs="Times New Roman"/>
      </w:rPr>
    </w:lvl>
    <w:lvl w:ilvl="5" w:tentative="0">
      <w:start w:val="1"/>
      <w:numFmt w:val="lowerRoman"/>
      <w:lvlText w:val="%6."/>
      <w:lvlJc w:val="right"/>
      <w:pPr>
        <w:ind w:left="2520" w:hanging="420"/>
      </w:pPr>
      <w:rPr>
        <w:rFonts w:cs="Times New Roman"/>
      </w:rPr>
    </w:lvl>
    <w:lvl w:ilvl="6" w:tentative="0">
      <w:start w:val="1"/>
      <w:numFmt w:val="decimal"/>
      <w:lvlText w:val="%7."/>
      <w:lvlJc w:val="left"/>
      <w:pPr>
        <w:ind w:left="2940" w:hanging="420"/>
      </w:pPr>
      <w:rPr>
        <w:rFonts w:cs="Times New Roman"/>
      </w:rPr>
    </w:lvl>
    <w:lvl w:ilvl="7" w:tentative="0">
      <w:start w:val="1"/>
      <w:numFmt w:val="lowerLetter"/>
      <w:lvlText w:val="%8)"/>
      <w:lvlJc w:val="left"/>
      <w:pPr>
        <w:ind w:left="3360" w:hanging="420"/>
      </w:pPr>
      <w:rPr>
        <w:rFonts w:cs="Times New Roman"/>
      </w:rPr>
    </w:lvl>
    <w:lvl w:ilvl="8" w:tentative="0">
      <w:start w:val="1"/>
      <w:numFmt w:val="lowerRoman"/>
      <w:lvlText w:val="%9."/>
      <w:lvlJc w:val="right"/>
      <w:pPr>
        <w:ind w:left="3780" w:hanging="420"/>
      </w:pPr>
      <w:rPr>
        <w:rFonts w:cs="Times New Roman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compat>
    <w:spaceForUL/>
    <w:balanceSingleByteDoubleByteWidth/>
    <w:doNotLeaveBackslashAlone/>
    <w:ulTrailSpace/>
    <w:doNotExpandShiftReturn/>
    <w:adjustLineHeightInTable/>
    <w:useFELayout/>
    <w:underlineTabInNumLis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05B32"/>
    <w:rsid w:val="000509EE"/>
    <w:rsid w:val="00097292"/>
    <w:rsid w:val="000B07B0"/>
    <w:rsid w:val="000B457D"/>
    <w:rsid w:val="000D5B00"/>
    <w:rsid w:val="00103BDA"/>
    <w:rsid w:val="00104EA6"/>
    <w:rsid w:val="0011522E"/>
    <w:rsid w:val="00124075"/>
    <w:rsid w:val="0016038A"/>
    <w:rsid w:val="001E02B5"/>
    <w:rsid w:val="001F41BB"/>
    <w:rsid w:val="00204691"/>
    <w:rsid w:val="00214A3E"/>
    <w:rsid w:val="00292606"/>
    <w:rsid w:val="00332A05"/>
    <w:rsid w:val="00344DBB"/>
    <w:rsid w:val="003F3A7E"/>
    <w:rsid w:val="00460799"/>
    <w:rsid w:val="00463EE4"/>
    <w:rsid w:val="00494708"/>
    <w:rsid w:val="004B0DFE"/>
    <w:rsid w:val="004E2EF8"/>
    <w:rsid w:val="00513F0B"/>
    <w:rsid w:val="00523C9F"/>
    <w:rsid w:val="005242B8"/>
    <w:rsid w:val="005316F4"/>
    <w:rsid w:val="00570C75"/>
    <w:rsid w:val="005B212E"/>
    <w:rsid w:val="005B6137"/>
    <w:rsid w:val="005C366B"/>
    <w:rsid w:val="006058CC"/>
    <w:rsid w:val="00693BCC"/>
    <w:rsid w:val="006E552F"/>
    <w:rsid w:val="006F0A98"/>
    <w:rsid w:val="00727034"/>
    <w:rsid w:val="00755367"/>
    <w:rsid w:val="00821342"/>
    <w:rsid w:val="0084717D"/>
    <w:rsid w:val="008605B3"/>
    <w:rsid w:val="0086639E"/>
    <w:rsid w:val="008765DB"/>
    <w:rsid w:val="008A7E83"/>
    <w:rsid w:val="008B7163"/>
    <w:rsid w:val="00910D73"/>
    <w:rsid w:val="00A00397"/>
    <w:rsid w:val="00A67757"/>
    <w:rsid w:val="00AA20FA"/>
    <w:rsid w:val="00AD40D2"/>
    <w:rsid w:val="00AD552D"/>
    <w:rsid w:val="00B209DA"/>
    <w:rsid w:val="00B663E1"/>
    <w:rsid w:val="00C05B32"/>
    <w:rsid w:val="00C23A11"/>
    <w:rsid w:val="00C77FC8"/>
    <w:rsid w:val="00CA3C36"/>
    <w:rsid w:val="00CD621B"/>
    <w:rsid w:val="00CE0EF9"/>
    <w:rsid w:val="00D25EA5"/>
    <w:rsid w:val="00D86A69"/>
    <w:rsid w:val="00DA447D"/>
    <w:rsid w:val="00DB7CA9"/>
    <w:rsid w:val="00E50D81"/>
    <w:rsid w:val="00E715E9"/>
    <w:rsid w:val="00E94AFB"/>
    <w:rsid w:val="00F13DF9"/>
    <w:rsid w:val="00F177E9"/>
    <w:rsid w:val="00F36CC3"/>
    <w:rsid w:val="00FA0145"/>
    <w:rsid w:val="00FC4C8B"/>
    <w:rsid w:val="00FF533A"/>
    <w:rsid w:val="00FF76B3"/>
    <w:rsid w:val="011B40B3"/>
    <w:rsid w:val="094949A6"/>
    <w:rsid w:val="0FE13C3C"/>
    <w:rsid w:val="126166B3"/>
    <w:rsid w:val="150378CE"/>
    <w:rsid w:val="164D2E6A"/>
    <w:rsid w:val="188C2EC6"/>
    <w:rsid w:val="1B5A08D2"/>
    <w:rsid w:val="1E260365"/>
    <w:rsid w:val="2182185C"/>
    <w:rsid w:val="286B2865"/>
    <w:rsid w:val="288808FC"/>
    <w:rsid w:val="2A0D4EAE"/>
    <w:rsid w:val="2C08722C"/>
    <w:rsid w:val="2D3A0218"/>
    <w:rsid w:val="315C77A5"/>
    <w:rsid w:val="35410C4E"/>
    <w:rsid w:val="365D094D"/>
    <w:rsid w:val="3C2E5C16"/>
    <w:rsid w:val="3F4F31C0"/>
    <w:rsid w:val="41221875"/>
    <w:rsid w:val="414D6DC2"/>
    <w:rsid w:val="41FA132C"/>
    <w:rsid w:val="42706261"/>
    <w:rsid w:val="48A165C1"/>
    <w:rsid w:val="4E115458"/>
    <w:rsid w:val="50FE3C17"/>
    <w:rsid w:val="51940FB7"/>
    <w:rsid w:val="52FD3D49"/>
    <w:rsid w:val="561B3465"/>
    <w:rsid w:val="59ED2499"/>
    <w:rsid w:val="5AA07DB1"/>
    <w:rsid w:val="5ACD7399"/>
    <w:rsid w:val="5C4F637B"/>
    <w:rsid w:val="5E53502F"/>
    <w:rsid w:val="5EEE7A77"/>
    <w:rsid w:val="60485843"/>
    <w:rsid w:val="662962A3"/>
    <w:rsid w:val="69631BD3"/>
    <w:rsid w:val="6A1B71A9"/>
    <w:rsid w:val="736C5164"/>
    <w:rsid w:val="7538437F"/>
    <w:rsid w:val="7C3942FB"/>
    <w:rsid w:val="7D0A6673"/>
    <w:rsid w:val="7D69780E"/>
    <w:rsid w:val="7E0F3F78"/>
    <w:rsid w:val="7ED2074A"/>
    <w:rsid w:val="7EEB3F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 w:locked="1"/>
    <w:lsdException w:qFormat="1" w:uiPriority="9" w:name="heading 2" w:locked="1"/>
    <w:lsdException w:qFormat="1" w:uiPriority="9" w:name="heading 3" w:locked="1"/>
    <w:lsdException w:qFormat="1" w:uiPriority="9" w:name="heading 4" w:locked="1"/>
    <w:lsdException w:qFormat="1" w:uiPriority="9" w:name="heading 5" w:locked="1"/>
    <w:lsdException w:qFormat="1" w:uiPriority="9" w:name="heading 6" w:locked="1"/>
    <w:lsdException w:qFormat="1" w:uiPriority="9" w:name="heading 7" w:locked="1"/>
    <w:lsdException w:qFormat="1" w:uiPriority="9" w:name="heading 8" w:locked="1"/>
    <w:lsdException w:qFormat="1" w:uiPriority="9" w:name="heading 9" w:locked="1"/>
    <w:lsdException w:uiPriority="99" w:name="index 1" w:locked="1"/>
    <w:lsdException w:uiPriority="99" w:name="index 2" w:locked="1"/>
    <w:lsdException w:uiPriority="99" w:name="index 3" w:locked="1"/>
    <w:lsdException w:uiPriority="99" w:name="index 4" w:locked="1"/>
    <w:lsdException w:uiPriority="99" w:name="index 5" w:locked="1"/>
    <w:lsdException w:uiPriority="99" w:name="index 6" w:locked="1"/>
    <w:lsdException w:uiPriority="99" w:name="index 7" w:locked="1"/>
    <w:lsdException w:uiPriority="99" w:name="index 8" w:locked="1"/>
    <w:lsdException w:uiPriority="99" w:name="index 9" w:locked="1"/>
    <w:lsdException w:uiPriority="39" w:name="toc 1" w:locked="1"/>
    <w:lsdException w:uiPriority="39" w:name="toc 2" w:locked="1"/>
    <w:lsdException w:uiPriority="39" w:name="toc 3" w:locked="1"/>
    <w:lsdException w:uiPriority="39" w:name="toc 4" w:locked="1"/>
    <w:lsdException w:uiPriority="39" w:name="toc 5" w:locked="1"/>
    <w:lsdException w:uiPriority="39" w:name="toc 6" w:locked="1"/>
    <w:lsdException w:uiPriority="39" w:name="toc 7" w:locked="1"/>
    <w:lsdException w:uiPriority="39" w:name="toc 8" w:locked="1"/>
    <w:lsdException w:uiPriority="39" w:name="toc 9" w:locked="1"/>
    <w:lsdException w:uiPriority="99" w:name="Normal Indent" w:locked="1"/>
    <w:lsdException w:uiPriority="99" w:name="footnote text" w:locked="1"/>
    <w:lsdException w:uiPriority="99" w:name="annotation text" w:locked="1"/>
    <w:lsdException w:qFormat="1" w:unhideWhenUsed="0" w:uiPriority="99" w:semiHidden="0" w:name="header"/>
    <w:lsdException w:qFormat="1" w:unhideWhenUsed="0" w:uiPriority="99" w:semiHidden="0" w:name="footer"/>
    <w:lsdException w:uiPriority="99" w:name="index heading" w:locked="1"/>
    <w:lsdException w:qFormat="1" w:uiPriority="35" w:name="caption" w:locked="1"/>
    <w:lsdException w:uiPriority="99" w:name="table of figures" w:locked="1"/>
    <w:lsdException w:uiPriority="99" w:name="envelope address" w:locked="1"/>
    <w:lsdException w:uiPriority="99" w:name="envelope return" w:locked="1"/>
    <w:lsdException w:uiPriority="99" w:name="footnote reference" w:locked="1"/>
    <w:lsdException w:uiPriority="99" w:name="annotation reference" w:locked="1"/>
    <w:lsdException w:uiPriority="99" w:name="line number" w:locked="1"/>
    <w:lsdException w:uiPriority="99" w:name="page number" w:locked="1"/>
    <w:lsdException w:uiPriority="99" w:name="endnote reference" w:locked="1"/>
    <w:lsdException w:uiPriority="99" w:name="endnote text" w:locked="1"/>
    <w:lsdException w:uiPriority="99" w:name="table of authorities" w:locked="1"/>
    <w:lsdException w:uiPriority="99" w:name="macro" w:locked="1"/>
    <w:lsdException w:uiPriority="99" w:name="toa heading" w:locked="1"/>
    <w:lsdException w:uiPriority="99" w:name="List" w:locked="1"/>
    <w:lsdException w:uiPriority="99" w:name="List Bullet" w:locked="1"/>
    <w:lsdException w:uiPriority="99" w:name="List Number" w:locked="1"/>
    <w:lsdException w:uiPriority="99" w:name="List 2" w:locked="1"/>
    <w:lsdException w:uiPriority="99" w:name="List 3" w:locked="1"/>
    <w:lsdException w:uiPriority="99" w:name="List 4" w:locked="1"/>
    <w:lsdException w:uiPriority="99" w:name="List 5" w:locked="1"/>
    <w:lsdException w:uiPriority="99" w:name="List Bullet 2" w:locked="1"/>
    <w:lsdException w:uiPriority="99" w:name="List Bullet 3" w:locked="1"/>
    <w:lsdException w:uiPriority="99" w:name="List Bullet 4" w:locked="1"/>
    <w:lsdException w:uiPriority="99" w:name="List Bullet 5" w:locked="1"/>
    <w:lsdException w:uiPriority="99" w:name="List Number 2" w:locked="1"/>
    <w:lsdException w:uiPriority="99" w:name="List Number 3" w:locked="1"/>
    <w:lsdException w:uiPriority="99" w:name="List Number 4" w:locked="1"/>
    <w:lsdException w:uiPriority="99" w:name="List Number 5" w:locked="1"/>
    <w:lsdException w:qFormat="1" w:unhideWhenUsed="0" w:uiPriority="10" w:semiHidden="0" w:name="Title" w:locked="1"/>
    <w:lsdException w:uiPriority="99" w:name="Closing" w:locked="1"/>
    <w:lsdException w:uiPriority="99" w:name="Signature" w:locked="1"/>
    <w:lsdException w:unhideWhenUsed="0" w:uiPriority="99" w:name="Default Paragraph Font"/>
    <w:lsdException w:unhideWhenUsed="0" w:uiPriority="99" w:semiHidden="0" w:name="Body Text"/>
    <w:lsdException w:uiPriority="99" w:name="Body Text Indent" w:locked="1"/>
    <w:lsdException w:uiPriority="99" w:name="List Continue" w:locked="1"/>
    <w:lsdException w:uiPriority="99" w:name="List Continue 2" w:locked="1"/>
    <w:lsdException w:uiPriority="99" w:name="List Continue 3" w:locked="1"/>
    <w:lsdException w:uiPriority="99" w:name="List Continue 4" w:locked="1"/>
    <w:lsdException w:uiPriority="99" w:name="List Continue 5" w:locked="1"/>
    <w:lsdException w:uiPriority="99" w:name="Message Header" w:locked="1"/>
    <w:lsdException w:qFormat="1" w:unhideWhenUsed="0" w:uiPriority="11" w:semiHidden="0" w:name="Subtitle" w:locked="1"/>
    <w:lsdException w:uiPriority="99" w:name="Salutation" w:locked="1"/>
    <w:lsdException w:uiPriority="99" w:name="Date" w:locked="1"/>
    <w:lsdException w:uiPriority="99" w:name="Body Text First Indent" w:locked="1"/>
    <w:lsdException w:uiPriority="99" w:name="Body Text First Indent 2" w:locked="1"/>
    <w:lsdException w:uiPriority="99" w:name="Note Heading" w:locked="1"/>
    <w:lsdException w:uiPriority="99" w:name="Body Text 2" w:locked="1"/>
    <w:lsdException w:uiPriority="99" w:name="Body Text 3" w:locked="1"/>
    <w:lsdException w:uiPriority="99" w:name="Body Text Indent 2" w:locked="1"/>
    <w:lsdException w:uiPriority="99" w:name="Body Text Indent 3" w:locked="1"/>
    <w:lsdException w:uiPriority="99" w:name="Block Text" w:locked="1"/>
    <w:lsdException w:uiPriority="99" w:name="Hyperlink" w:locked="1"/>
    <w:lsdException w:uiPriority="99" w:name="FollowedHyperlink" w:locked="1"/>
    <w:lsdException w:qFormat="1" w:unhideWhenUsed="0" w:uiPriority="22" w:semiHidden="0" w:name="Strong" w:locked="1"/>
    <w:lsdException w:qFormat="1" w:unhideWhenUsed="0" w:uiPriority="20" w:semiHidden="0" w:name="Emphasis" w:locked="1"/>
    <w:lsdException w:uiPriority="99" w:name="Document Map" w:locked="1"/>
    <w:lsdException w:uiPriority="99" w:name="Plain Text" w:locked="1"/>
    <w:lsdException w:uiPriority="99" w:name="E-mail Signature" w:locked="1"/>
    <w:lsdException w:uiPriority="99" w:name="Normal (Web)" w:locked="1"/>
    <w:lsdException w:uiPriority="99" w:name="HTML Acronym" w:locked="1"/>
    <w:lsdException w:uiPriority="99" w:name="HTML Address" w:locked="1"/>
    <w:lsdException w:uiPriority="99" w:name="HTML Cite" w:locked="1"/>
    <w:lsdException w:uiPriority="99" w:name="HTML Code" w:locked="1"/>
    <w:lsdException w:uiPriority="99" w:name="HTML Definition" w:locked="1"/>
    <w:lsdException w:uiPriority="99" w:name="HTML Keyboard" w:locked="1"/>
    <w:lsdException w:uiPriority="99" w:name="HTML Preformatted" w:locked="1"/>
    <w:lsdException w:uiPriority="99" w:name="HTML Sample" w:locked="1"/>
    <w:lsdException w:uiPriority="99" w:name="HTML Typewriter" w:locked="1"/>
    <w:lsdException w:uiPriority="99" w:name="HTML Variable" w:locked="1"/>
    <w:lsdException w:qFormat="1" w:uiPriority="99" w:name="Normal Table"/>
    <w:lsdException w:uiPriority="99" w:name="annotation subject" w:locked="1"/>
    <w:lsdException w:uiPriority="99" w:name="Table Simple 1" w:locked="1"/>
    <w:lsdException w:uiPriority="99" w:name="Table Simple 2" w:locked="1"/>
    <w:lsdException w:uiPriority="99" w:name="Table Simple 3" w:locked="1"/>
    <w:lsdException w:uiPriority="99" w:name="Table Classic 1" w:locked="1"/>
    <w:lsdException w:uiPriority="99" w:name="Table Classic 2" w:locked="1"/>
    <w:lsdException w:uiPriority="99" w:name="Table Classic 3" w:locked="1"/>
    <w:lsdException w:uiPriority="99" w:name="Table Classic 4" w:locked="1"/>
    <w:lsdException w:uiPriority="99" w:name="Table Colorful 1" w:locked="1"/>
    <w:lsdException w:uiPriority="99" w:name="Table Colorful 2" w:locked="1"/>
    <w:lsdException w:uiPriority="99" w:name="Table Colorful 3" w:locked="1"/>
    <w:lsdException w:uiPriority="99" w:name="Table Columns 1" w:locked="1"/>
    <w:lsdException w:uiPriority="99" w:name="Table Columns 2" w:locked="1"/>
    <w:lsdException w:uiPriority="99" w:name="Table Columns 3" w:locked="1"/>
    <w:lsdException w:uiPriority="99" w:name="Table Columns 4" w:locked="1"/>
    <w:lsdException w:uiPriority="99" w:name="Table Columns 5" w:locked="1"/>
    <w:lsdException w:uiPriority="99" w:name="Table Grid 1" w:locked="1"/>
    <w:lsdException w:uiPriority="99" w:name="Table Grid 2" w:locked="1"/>
    <w:lsdException w:uiPriority="99" w:name="Table Grid 3" w:locked="1"/>
    <w:lsdException w:uiPriority="99" w:name="Table Grid 4" w:locked="1"/>
    <w:lsdException w:uiPriority="99" w:name="Table Grid 5" w:locked="1"/>
    <w:lsdException w:uiPriority="99" w:name="Table Grid 6" w:locked="1"/>
    <w:lsdException w:uiPriority="99" w:name="Table Grid 7" w:locked="1"/>
    <w:lsdException w:uiPriority="99" w:name="Table Grid 8" w:locked="1"/>
    <w:lsdException w:uiPriority="99" w:name="Table List 1" w:locked="1"/>
    <w:lsdException w:uiPriority="99" w:name="Table List 2" w:locked="1"/>
    <w:lsdException w:uiPriority="99" w:name="Table List 3" w:locked="1"/>
    <w:lsdException w:uiPriority="99" w:name="Table List 4" w:locked="1"/>
    <w:lsdException w:uiPriority="99" w:name="Table List 5" w:locked="1"/>
    <w:lsdException w:uiPriority="99" w:name="Table List 6" w:locked="1"/>
    <w:lsdException w:uiPriority="99" w:name="Table List 7" w:locked="1"/>
    <w:lsdException w:uiPriority="99" w:name="Table List 8" w:locked="1"/>
    <w:lsdException w:uiPriority="99" w:name="Table 3D effects 1" w:locked="1"/>
    <w:lsdException w:uiPriority="99" w:name="Table 3D effects 2" w:locked="1"/>
    <w:lsdException w:uiPriority="99" w:name="Table 3D effects 3" w:locked="1"/>
    <w:lsdException w:uiPriority="99" w:name="Table Contemporary" w:locked="1"/>
    <w:lsdException w:uiPriority="99" w:name="Table Elegant" w:locked="1"/>
    <w:lsdException w:uiPriority="99" w:name="Table Professional" w:locked="1"/>
    <w:lsdException w:uiPriority="99" w:name="Table Subtle 1" w:locked="1"/>
    <w:lsdException w:uiPriority="99" w:name="Table Subtle 2" w:locked="1"/>
    <w:lsdException w:uiPriority="99" w:name="Table Web 1" w:locked="1"/>
    <w:lsdException w:uiPriority="99" w:name="Table Web 2" w:locked="1"/>
    <w:lsdException w:uiPriority="99" w:name="Table Web 3" w:locked="1"/>
    <w:lsdException w:qFormat="1" w:unhideWhenUsed="0" w:uiPriority="99" w:semiHidden="0" w:name="Balloon Text"/>
    <w:lsdException w:unhideWhenUsed="0" w:uiPriority="59" w:semiHidden="0" w:name="Table Grid" w:locked="1"/>
    <w:lsdException w:uiPriority="99" w:name="Table Theme" w:locked="1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7">
    <w:name w:val="Default Paragraph Font"/>
    <w:semiHidden/>
    <w:uiPriority w:val="99"/>
  </w:style>
  <w:style w:type="table" w:default="1" w:styleId="6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link w:val="11"/>
    <w:uiPriority w:val="99"/>
    <w:rPr>
      <w:rFonts w:eastAsia="仿宋_GB2312"/>
      <w:sz w:val="28"/>
    </w:rPr>
  </w:style>
  <w:style w:type="paragraph" w:styleId="3">
    <w:name w:val="Balloon Text"/>
    <w:basedOn w:val="1"/>
    <w:link w:val="8"/>
    <w:qFormat/>
    <w:uiPriority w:val="99"/>
    <w:rPr>
      <w:sz w:val="18"/>
      <w:szCs w:val="18"/>
    </w:rPr>
  </w:style>
  <w:style w:type="paragraph" w:styleId="4">
    <w:name w:val="footer"/>
    <w:basedOn w:val="1"/>
    <w:link w:val="9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link w:val="10"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8">
    <w:name w:val="Balloon Text Char"/>
    <w:basedOn w:val="7"/>
    <w:link w:val="3"/>
    <w:qFormat/>
    <w:locked/>
    <w:uiPriority w:val="99"/>
    <w:rPr>
      <w:rFonts w:cs="Times New Roman"/>
      <w:kern w:val="2"/>
      <w:sz w:val="18"/>
      <w:szCs w:val="18"/>
    </w:rPr>
  </w:style>
  <w:style w:type="character" w:customStyle="1" w:styleId="9">
    <w:name w:val="Footer Char"/>
    <w:basedOn w:val="7"/>
    <w:link w:val="4"/>
    <w:qFormat/>
    <w:locked/>
    <w:uiPriority w:val="99"/>
    <w:rPr>
      <w:rFonts w:cs="Times New Roman"/>
      <w:kern w:val="2"/>
      <w:sz w:val="18"/>
      <w:szCs w:val="18"/>
    </w:rPr>
  </w:style>
  <w:style w:type="character" w:customStyle="1" w:styleId="10">
    <w:name w:val="Header Char"/>
    <w:basedOn w:val="7"/>
    <w:link w:val="5"/>
    <w:qFormat/>
    <w:locked/>
    <w:uiPriority w:val="99"/>
    <w:rPr>
      <w:rFonts w:cs="Times New Roman"/>
      <w:kern w:val="2"/>
      <w:sz w:val="18"/>
      <w:szCs w:val="18"/>
    </w:rPr>
  </w:style>
  <w:style w:type="character" w:customStyle="1" w:styleId="11">
    <w:name w:val="Body Text Char"/>
    <w:basedOn w:val="7"/>
    <w:link w:val="2"/>
    <w:semiHidden/>
    <w:qFormat/>
    <w:locked/>
    <w:uiPriority w:val="99"/>
    <w:rPr>
      <w:rFonts w:cs="Times New Roman"/>
      <w:sz w:val="24"/>
      <w:szCs w:val="24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numbering" Target="numbering.xml"/><Relationship Id="rId6" Type="http://schemas.openxmlformats.org/officeDocument/2006/relationships/customXml" Target="../customXml/item1.xml"/><Relationship Id="rId5" Type="http://schemas.openxmlformats.org/officeDocument/2006/relationships/image" Target="media/image1.emf"/><Relationship Id="rId4" Type="http://schemas.openxmlformats.org/officeDocument/2006/relationships/oleObject" Target="embeddings/oleObject1.bin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Company>微软中国</Company>
  <Pages>13</Pages>
  <Words>815</Words>
  <Characters>4646</Characters>
  <Lines>0</Lines>
  <Paragraphs>0</Paragraphs>
  <TotalTime>15</TotalTime>
  <ScaleCrop>false</ScaleCrop>
  <LinksUpToDate>false</LinksUpToDate>
  <CharactersWithSpaces>0</CharactersWithSpaces>
  <Application>WPS Office_11.1.0.9748_F1E327BC-269C-435d-A152-05C5408002CA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2017-07-05T00:41:00Z</dcterms:created>
  <dc:creator>微软用户</dc:creator>
  <cp:lastModifiedBy>戏谑</cp:lastModifiedBy>
  <cp:lastPrinted>2017-07-07T02:35:00Z</cp:lastPrinted>
  <dcterms:modified xsi:type="dcterms:W3CDTF">2020-06-17T02:19:39Z</dcterms:modified>
  <cp:revision>34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2052-11.1.0.9748</vt:lpwstr>
  </property>
</Properties>
</file>