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房地产开发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企业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资质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延续企业名单</w:t>
      </w:r>
    </w:p>
    <w:tbl>
      <w:tblPr>
        <w:tblStyle w:val="4"/>
        <w:tblpPr w:leftFromText="180" w:rightFromText="180" w:vertAnchor="text" w:horzAnchor="page" w:tblpXSpec="center" w:tblpY="229"/>
        <w:tblW w:w="8392" w:type="dxa"/>
        <w:jc w:val="center"/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77"/>
        <w:gridCol w:w="4057"/>
        <w:gridCol w:w="1665"/>
        <w:gridCol w:w="1893"/>
      </w:tblGrid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8" w:hRule="atLeast"/>
          <w:jc w:val="center"/>
        </w:trPr>
        <w:tc>
          <w:tcPr>
            <w:tcW w:w="7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  <w:t>序号</w:t>
            </w:r>
          </w:p>
        </w:tc>
        <w:tc>
          <w:tcPr>
            <w:tcW w:w="405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  <w:t>企业名称</w:t>
            </w:r>
          </w:p>
        </w:tc>
        <w:tc>
          <w:tcPr>
            <w:tcW w:w="166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  <w:t>资质等级</w:t>
            </w:r>
          </w:p>
        </w:tc>
        <w:tc>
          <w:tcPr>
            <w:tcW w:w="189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cs="宋体"/>
                <w:color w:val="000000"/>
                <w:sz w:val="32"/>
                <w:szCs w:val="32"/>
                <w:lang w:eastAsia="zh-CN"/>
              </w:rPr>
              <w:t>申请事项</w:t>
            </w: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6" w:hRule="atLeast"/>
          <w:jc w:val="center"/>
        </w:trPr>
        <w:tc>
          <w:tcPr>
            <w:tcW w:w="7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5" w:beforeAutospacing="0" w:after="225" w:afterAutospacing="0" w:line="44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Times New Roman" w:eastAsia="仿宋_GB2312" w:cs="Times New Roman"/>
                <w:b w:val="0"/>
                <w:bCs w:val="0"/>
                <w:color w:val="00000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b w:val="0"/>
                <w:bCs w:val="0"/>
                <w:color w:val="000000"/>
                <w:kern w:val="2"/>
                <w:sz w:val="32"/>
                <w:szCs w:val="32"/>
                <w:lang w:val="en-US" w:eastAsia="zh-CN" w:bidi="ar-SA"/>
              </w:rPr>
              <w:t>1</w:t>
            </w:r>
          </w:p>
        </w:tc>
        <w:tc>
          <w:tcPr>
            <w:tcW w:w="405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河南海逸置业有限公司</w:t>
            </w:r>
          </w:p>
        </w:tc>
        <w:tc>
          <w:tcPr>
            <w:tcW w:w="166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b w:val="0"/>
                <w:bCs w:val="0"/>
                <w:color w:val="00000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color w:val="000000"/>
                <w:kern w:val="2"/>
                <w:sz w:val="32"/>
                <w:szCs w:val="32"/>
                <w:lang w:val="en-US" w:eastAsia="zh-CN" w:bidi="ar-SA"/>
              </w:rPr>
              <w:t>二级</w:t>
            </w:r>
          </w:p>
        </w:tc>
        <w:tc>
          <w:tcPr>
            <w:tcW w:w="189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color w:val="00000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color w:val="000000"/>
                <w:kern w:val="2"/>
                <w:sz w:val="32"/>
                <w:szCs w:val="32"/>
                <w:lang w:val="en-US" w:eastAsia="zh-CN" w:bidi="ar-SA"/>
              </w:rPr>
              <w:t>资质延续</w:t>
            </w: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6" w:hRule="atLeast"/>
          <w:jc w:val="center"/>
        </w:trPr>
        <w:tc>
          <w:tcPr>
            <w:tcW w:w="7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/>
              <w:suppressLineNumbers w:val="0"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5" w:beforeAutospacing="0" w:after="225" w:afterAutospacing="0" w:line="440" w:lineRule="exact"/>
              <w:ind w:left="0" w:leftChars="0" w:right="0" w:rightChars="0"/>
              <w:jc w:val="center"/>
              <w:textAlignment w:val="auto"/>
              <w:rPr>
                <w:rFonts w:hint="default" w:ascii="仿宋_GB2312" w:hAnsi="Times New Roman" w:eastAsia="仿宋_GB2312" w:cs="Times New Roman"/>
                <w:b w:val="0"/>
                <w:bCs w:val="0"/>
                <w:color w:val="00000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b w:val="0"/>
                <w:bCs w:val="0"/>
                <w:color w:val="000000"/>
                <w:kern w:val="2"/>
                <w:sz w:val="32"/>
                <w:szCs w:val="32"/>
                <w:lang w:val="en-US" w:eastAsia="zh-CN" w:bidi="ar-SA"/>
              </w:rPr>
              <w:t>2</w:t>
            </w:r>
          </w:p>
        </w:tc>
        <w:tc>
          <w:tcPr>
            <w:tcW w:w="405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西华县中南海通房地产开发有限公司</w:t>
            </w:r>
          </w:p>
        </w:tc>
        <w:tc>
          <w:tcPr>
            <w:tcW w:w="166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32"/>
                <w:szCs w:val="32"/>
                <w:shd w:val="clear" w:color="auto" w:fill="FFFFFF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color w:val="000000"/>
                <w:kern w:val="2"/>
                <w:sz w:val="32"/>
                <w:szCs w:val="32"/>
                <w:lang w:val="en-US" w:eastAsia="zh-CN" w:bidi="ar-SA"/>
              </w:rPr>
              <w:t>二级</w:t>
            </w:r>
          </w:p>
        </w:tc>
        <w:tc>
          <w:tcPr>
            <w:tcW w:w="189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b w:val="0"/>
                <w:bCs w:val="0"/>
                <w:color w:val="00000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color w:val="000000"/>
                <w:kern w:val="2"/>
                <w:sz w:val="32"/>
                <w:szCs w:val="32"/>
                <w:lang w:val="en-US" w:eastAsia="zh-CN" w:bidi="ar-SA"/>
              </w:rPr>
              <w:t>资质延续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3ZWNkOGZlZmY3Mzg2MWIwMDc1Y2NjMWMwM2I5OWYifQ=="/>
  </w:docVars>
  <w:rsids>
    <w:rsidRoot w:val="00000000"/>
    <w:rsid w:val="7BC516C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iPriority w:val="0"/>
    <w:rPr>
      <w:rFonts w:hint="eastAsia"/>
      <w:sz w:val="28"/>
    </w:rPr>
  </w:style>
  <w:style w:type="paragraph" w:styleId="3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2022-11-01T08:22:53Z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F55777AF54C144A8875B4D853BA7570D</vt:lpwstr>
  </property>
</Properties>
</file>