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2"/>
        <w:rPr>
          <w:rFonts w:ascii="Times New Roman" w:cs="Times New Roman"/>
          <w:sz w:val="20"/>
          <w:szCs w:val="20"/>
        </w:rPr>
      </w:pPr>
    </w:p>
    <w:p>
      <w:pPr>
        <w:pStyle w:val="14"/>
        <w:ind w:left="-708" w:leftChars="-322" w:right="-63"/>
        <w:rPr>
          <w:rFonts w:cs="Times New Roman"/>
        </w:rPr>
      </w:pPr>
      <w:r>
        <w:rPr>
          <w:rFonts w:hint="eastAsia"/>
        </w:rPr>
        <w:t>西华县发展和改革委员会</w:t>
      </w:r>
    </w:p>
    <w:p>
      <w:pPr>
        <w:spacing w:before="285"/>
        <w:ind w:left="2273" w:right="-63"/>
        <w:rPr>
          <w:rFonts w:ascii="黑体" w:eastAsia="黑体" w:cs="Times New Roman"/>
          <w:sz w:val="52"/>
          <w:szCs w:val="52"/>
        </w:rPr>
      </w:pPr>
      <w:r>
        <w:rPr>
          <w:rFonts w:ascii="黑体" w:eastAsia="黑体" w:cs="黑体"/>
          <w:sz w:val="52"/>
          <w:szCs w:val="52"/>
        </w:rPr>
        <w:t>2017</w:t>
      </w:r>
      <w:r>
        <w:rPr>
          <w:rFonts w:hint="eastAsia" w:ascii="黑体" w:eastAsia="黑体" w:cs="黑体"/>
          <w:sz w:val="52"/>
          <w:szCs w:val="52"/>
        </w:rPr>
        <w:t>年度部门决算</w:t>
      </w:r>
    </w:p>
    <w:p>
      <w:pPr>
        <w:pStyle w:val="2"/>
        <w:jc w:val="center"/>
        <w:rPr>
          <w:rFonts w:ascii="黑体" w:cs="Times New Roman"/>
          <w:sz w:val="52"/>
          <w:szCs w:val="52"/>
        </w:rPr>
      </w:pPr>
    </w:p>
    <w:p>
      <w:pPr>
        <w:pStyle w:val="2"/>
        <w:rPr>
          <w:rFonts w:ascii="黑体" w:cs="Times New Roman"/>
          <w:sz w:val="52"/>
          <w:szCs w:val="52"/>
        </w:rPr>
      </w:pPr>
    </w:p>
    <w:p>
      <w:pPr>
        <w:pStyle w:val="2"/>
        <w:rPr>
          <w:rFonts w:ascii="黑体" w:cs="Times New Roman"/>
          <w:sz w:val="52"/>
          <w:szCs w:val="52"/>
        </w:rPr>
      </w:pPr>
    </w:p>
    <w:p>
      <w:pPr>
        <w:pStyle w:val="2"/>
        <w:rPr>
          <w:rFonts w:ascii="黑体" w:cs="Times New Roman"/>
          <w:sz w:val="52"/>
          <w:szCs w:val="52"/>
        </w:rPr>
      </w:pPr>
    </w:p>
    <w:p>
      <w:pPr>
        <w:pStyle w:val="2"/>
        <w:rPr>
          <w:rFonts w:ascii="黑体" w:cs="Times New Roman"/>
          <w:sz w:val="52"/>
          <w:szCs w:val="52"/>
        </w:rPr>
      </w:pPr>
    </w:p>
    <w:p>
      <w:pPr>
        <w:pStyle w:val="2"/>
        <w:rPr>
          <w:rFonts w:ascii="黑体" w:cs="Times New Roman"/>
          <w:sz w:val="52"/>
          <w:szCs w:val="52"/>
        </w:rPr>
      </w:pPr>
    </w:p>
    <w:p>
      <w:pPr>
        <w:pStyle w:val="2"/>
        <w:rPr>
          <w:rFonts w:ascii="黑体" w:cs="Times New Roman"/>
          <w:sz w:val="52"/>
          <w:szCs w:val="52"/>
        </w:rPr>
      </w:pPr>
    </w:p>
    <w:p>
      <w:pPr>
        <w:pStyle w:val="2"/>
        <w:rPr>
          <w:rFonts w:ascii="黑体" w:cs="Times New Roman"/>
          <w:sz w:val="52"/>
          <w:szCs w:val="52"/>
        </w:rPr>
      </w:pPr>
    </w:p>
    <w:p>
      <w:pPr>
        <w:pStyle w:val="2"/>
        <w:spacing w:before="2"/>
        <w:rPr>
          <w:rFonts w:ascii="黑体" w:cs="Times New Roman"/>
          <w:sz w:val="49"/>
          <w:szCs w:val="49"/>
        </w:rPr>
      </w:pPr>
    </w:p>
    <w:p>
      <w:pPr>
        <w:pStyle w:val="2"/>
        <w:ind w:left="2273" w:right="2175"/>
        <w:jc w:val="center"/>
        <w:rPr>
          <w:rFonts w:ascii="黑体" w:eastAsia="黑体" w:cs="Times New Roman"/>
        </w:rPr>
      </w:pPr>
      <w:r>
        <w:rPr>
          <w:rFonts w:hint="eastAsia" w:ascii="黑体" w:eastAsia="黑体" w:cs="黑体"/>
        </w:rPr>
        <w:t>二〇一八年</w:t>
      </w:r>
      <w:r>
        <w:rPr>
          <w:rFonts w:hint="eastAsia" w:ascii="黑体" w:eastAsia="黑体" w:cs="黑体"/>
          <w:lang w:val="en-US"/>
        </w:rPr>
        <w:t>八</w:t>
      </w:r>
      <w:r>
        <w:rPr>
          <w:rFonts w:hint="eastAsia" w:ascii="黑体" w:eastAsia="黑体" w:cs="黑体"/>
        </w:rPr>
        <w:t>月</w:t>
      </w:r>
    </w:p>
    <w:p>
      <w:pPr>
        <w:jc w:val="center"/>
        <w:rPr>
          <w:rFonts w:cs="Times New Roman"/>
        </w:rPr>
        <w:sectPr>
          <w:footerReference r:id="rId3" w:type="default"/>
          <w:type w:val="continuous"/>
          <w:pgSz w:w="11910" w:h="16840"/>
          <w:pgMar w:top="1600" w:right="570" w:bottom="1180" w:left="1480" w:header="720" w:footer="999" w:gutter="0"/>
          <w:pgNumType w:start="1"/>
          <w:cols w:space="720" w:num="1"/>
        </w:sectPr>
      </w:pPr>
    </w:p>
    <w:p>
      <w:pPr>
        <w:tabs>
          <w:tab w:val="left" w:pos="3420"/>
        </w:tabs>
        <w:spacing w:before="26"/>
        <w:jc w:val="center"/>
        <w:rPr>
          <w:rFonts w:ascii="黑体" w:eastAsia="黑体" w:cs="Times New Roman"/>
          <w:sz w:val="36"/>
          <w:szCs w:val="36"/>
        </w:rPr>
      </w:pPr>
      <w:r>
        <w:rPr>
          <w:rFonts w:hint="eastAsia" w:ascii="黑体" w:eastAsia="黑体" w:cs="黑体"/>
          <w:sz w:val="36"/>
          <w:szCs w:val="36"/>
        </w:rPr>
        <w:t>目录</w:t>
      </w:r>
    </w:p>
    <w:p>
      <w:pPr>
        <w:pStyle w:val="2"/>
        <w:tabs>
          <w:tab w:val="left" w:pos="2027"/>
        </w:tabs>
        <w:spacing w:before="198"/>
        <w:ind w:left="108" w:leftChars="49" w:firstLine="640" w:firstLineChars="200"/>
        <w:rPr>
          <w:rFonts w:ascii="黑体" w:eastAsia="黑体" w:cs="Times New Roman"/>
        </w:rPr>
      </w:pPr>
      <w:r>
        <w:rPr>
          <w:rFonts w:hint="eastAsia" w:ascii="黑体" w:eastAsia="黑体" w:cs="黑体"/>
        </w:rPr>
        <w:t>第一部分西华县发展和改革委员会概况</w:t>
      </w:r>
    </w:p>
    <w:p>
      <w:pPr>
        <w:pStyle w:val="2"/>
        <w:spacing w:before="225" w:line="640" w:lineRule="exact"/>
        <w:ind w:left="747" w:right="6233"/>
        <w:rPr>
          <w:rFonts w:ascii="宋体" w:eastAsia="宋体" w:cs="Times New Roman"/>
        </w:rPr>
      </w:pPr>
      <w:r>
        <w:rPr>
          <w:rFonts w:hint="eastAsia" w:ascii="宋体" w:eastAsia="宋体" w:cs="宋体"/>
        </w:rPr>
        <w:t>一、部门职责二、机构设置</w:t>
      </w:r>
    </w:p>
    <w:p>
      <w:pPr>
        <w:pStyle w:val="2"/>
        <w:tabs>
          <w:tab w:val="left" w:pos="2026"/>
        </w:tabs>
        <w:spacing w:line="640" w:lineRule="exact"/>
        <w:ind w:left="108" w:leftChars="49" w:firstLine="640" w:firstLineChars="200"/>
        <w:rPr>
          <w:rFonts w:ascii="黑体" w:eastAsia="黑体" w:cs="Times New Roman"/>
        </w:rPr>
      </w:pPr>
      <w:r>
        <w:rPr>
          <w:rFonts w:hint="eastAsia" w:ascii="黑体" w:eastAsia="黑体" w:cs="黑体"/>
        </w:rPr>
        <w:t>第</w:t>
      </w:r>
      <w:r>
        <w:rPr>
          <w:rFonts w:hint="eastAsia" w:ascii="黑体" w:eastAsia="黑体" w:cs="黑体"/>
          <w:lang w:val="en-US"/>
        </w:rPr>
        <w:t>二</w:t>
      </w:r>
      <w:r>
        <w:rPr>
          <w:rFonts w:hint="eastAsia" w:ascii="黑体" w:eastAsia="黑体" w:cs="黑体"/>
        </w:rPr>
        <w:t>部分</w:t>
      </w:r>
      <w:r>
        <w:rPr>
          <w:rFonts w:ascii="黑体" w:eastAsia="黑体" w:cs="Times New Roman"/>
        </w:rPr>
        <w:tab/>
      </w:r>
      <w:r>
        <w:rPr>
          <w:rFonts w:ascii="黑体" w:eastAsia="黑体" w:cs="黑体"/>
        </w:rPr>
        <w:t>2017</w:t>
      </w:r>
      <w:r>
        <w:rPr>
          <w:rFonts w:hint="eastAsia" w:ascii="黑体" w:eastAsia="黑体" w:cs="黑体"/>
        </w:rPr>
        <w:t>年度部门决算情况说明</w:t>
      </w:r>
    </w:p>
    <w:p>
      <w:pPr>
        <w:pStyle w:val="2"/>
        <w:spacing w:before="225" w:line="640" w:lineRule="exact"/>
        <w:ind w:left="747" w:right="3675"/>
        <w:rPr>
          <w:rFonts w:ascii="宋体" w:eastAsia="宋体" w:cs="Times New Roman"/>
        </w:rPr>
      </w:pPr>
      <w:r>
        <w:rPr>
          <w:rFonts w:hint="eastAsia" w:ascii="宋体" w:eastAsia="宋体" w:cs="宋体"/>
          <w:spacing w:val="-1"/>
        </w:rPr>
        <w:t>一、收入支出决算总体情况说明二、收入决算情况说明</w:t>
      </w:r>
    </w:p>
    <w:p>
      <w:pPr>
        <w:pStyle w:val="2"/>
        <w:spacing w:line="640" w:lineRule="exact"/>
        <w:ind w:left="747"/>
        <w:rPr>
          <w:rFonts w:ascii="宋体" w:eastAsia="宋体" w:cs="Times New Roman"/>
        </w:rPr>
      </w:pPr>
      <w:r>
        <w:rPr>
          <w:rFonts w:hint="eastAsia" w:ascii="宋体" w:eastAsia="宋体" w:cs="宋体"/>
          <w:spacing w:val="-1"/>
        </w:rPr>
        <w:t>三、支出决算情况说明</w:t>
      </w:r>
    </w:p>
    <w:p>
      <w:pPr>
        <w:pStyle w:val="2"/>
        <w:spacing w:before="225" w:line="640" w:lineRule="exact"/>
        <w:ind w:left="747"/>
        <w:rPr>
          <w:rFonts w:ascii="宋体" w:eastAsia="宋体" w:cs="Times New Roman"/>
        </w:rPr>
      </w:pPr>
      <w:r>
        <w:rPr>
          <w:rFonts w:hint="eastAsia" w:ascii="宋体" w:eastAsia="宋体" w:cs="宋体"/>
        </w:rPr>
        <w:t>四、财政拨款收入支出决算总体情况说明</w:t>
      </w:r>
    </w:p>
    <w:p>
      <w:pPr>
        <w:pStyle w:val="2"/>
        <w:spacing w:before="224" w:line="640" w:lineRule="exact"/>
        <w:ind w:left="747"/>
        <w:rPr>
          <w:rFonts w:ascii="宋体" w:eastAsia="宋体" w:cs="Times New Roman"/>
        </w:rPr>
      </w:pPr>
      <w:r>
        <w:rPr>
          <w:rFonts w:hint="eastAsia" w:ascii="宋体" w:eastAsia="宋体" w:cs="宋体"/>
        </w:rPr>
        <w:t>五、一般公共预算财政拨款支出决算情况说明</w:t>
      </w:r>
    </w:p>
    <w:p>
      <w:pPr>
        <w:pStyle w:val="2"/>
        <w:spacing w:before="223" w:line="640" w:lineRule="exact"/>
        <w:ind w:left="747"/>
        <w:rPr>
          <w:rFonts w:ascii="宋体" w:eastAsia="宋体" w:cs="Times New Roman"/>
        </w:rPr>
      </w:pPr>
      <w:r>
        <w:rPr>
          <w:rFonts w:hint="eastAsia" w:ascii="宋体" w:eastAsia="宋体" w:cs="宋体"/>
        </w:rPr>
        <w:t>六、一般公共预算财政拨款基本支出决算情况说明</w:t>
      </w:r>
    </w:p>
    <w:p>
      <w:pPr>
        <w:pStyle w:val="2"/>
        <w:spacing w:before="225" w:line="640" w:lineRule="exact"/>
        <w:ind w:left="747"/>
        <w:rPr>
          <w:rFonts w:ascii="宋体" w:hAnsi="宋体" w:eastAsia="宋体" w:cs="Times New Roman"/>
          <w:spacing w:val="-20"/>
          <w:lang w:val="en-US"/>
        </w:rPr>
      </w:pPr>
      <w:r>
        <w:rPr>
          <w:rFonts w:hint="eastAsia" w:ascii="宋体" w:hAnsi="宋体" w:eastAsia="宋体" w:cs="宋体"/>
          <w:spacing w:val="-20"/>
        </w:rPr>
        <w:t>七、一般公共预算财政拨款“三公”经费支出决算情况说</w:t>
      </w:r>
      <w:r>
        <w:rPr>
          <w:rFonts w:hint="eastAsia" w:ascii="宋体" w:hAnsi="宋体" w:eastAsia="宋体" w:cs="宋体"/>
          <w:spacing w:val="-20"/>
          <w:lang w:val="en-US"/>
        </w:rPr>
        <w:t>明</w:t>
      </w:r>
    </w:p>
    <w:p>
      <w:pPr>
        <w:pStyle w:val="2"/>
        <w:spacing w:before="2" w:line="640" w:lineRule="exact"/>
        <w:ind w:right="270" w:firstLine="720" w:firstLineChars="225"/>
        <w:jc w:val="both"/>
        <w:rPr>
          <w:rFonts w:ascii="宋体" w:hAnsi="黑体" w:eastAsia="宋体" w:cs="Times New Roman"/>
          <w:lang w:val="en-US"/>
        </w:rPr>
      </w:pPr>
      <w:r>
        <w:rPr>
          <w:rFonts w:hint="eastAsia" w:ascii="宋体" w:hAnsi="黑体" w:eastAsia="宋体" w:cs="宋体"/>
          <w:lang w:val="en-US"/>
        </w:rPr>
        <w:t>八、重点绩效评价结果等预算绩效情况说明</w:t>
      </w:r>
    </w:p>
    <w:p>
      <w:pPr>
        <w:pStyle w:val="2"/>
        <w:spacing w:before="225" w:line="640" w:lineRule="exact"/>
        <w:ind w:left="747"/>
        <w:rPr>
          <w:rFonts w:ascii="宋体" w:eastAsia="宋体" w:cs="Times New Roman"/>
        </w:rPr>
      </w:pPr>
      <w:r>
        <w:rPr>
          <w:rFonts w:hint="eastAsia" w:ascii="宋体" w:eastAsia="宋体" w:cs="宋体"/>
          <w:lang w:val="en-US"/>
        </w:rPr>
        <w:t>九</w:t>
      </w:r>
      <w:r>
        <w:rPr>
          <w:rFonts w:hint="eastAsia" w:ascii="宋体" w:eastAsia="宋体" w:cs="宋体"/>
        </w:rPr>
        <w:t>、</w:t>
      </w:r>
      <w:r>
        <w:rPr>
          <w:rFonts w:hint="eastAsia" w:ascii="宋体" w:hAnsi="宋体" w:eastAsia="宋体" w:cs="宋体"/>
        </w:rPr>
        <w:t>政府性基金预算财政拨款支出决算情况说明</w:t>
      </w:r>
    </w:p>
    <w:p>
      <w:pPr>
        <w:pStyle w:val="2"/>
        <w:spacing w:before="225" w:line="640" w:lineRule="exact"/>
        <w:ind w:left="747"/>
        <w:rPr>
          <w:rFonts w:ascii="宋体" w:eastAsia="宋体" w:cs="Times New Roman"/>
        </w:rPr>
      </w:pPr>
      <w:r>
        <w:rPr>
          <w:rFonts w:hint="eastAsia" w:ascii="宋体" w:eastAsia="宋体" w:cs="宋体"/>
        </w:rPr>
        <w:t>十、机关运行经费支出情况</w:t>
      </w:r>
      <w:r>
        <w:rPr>
          <w:rFonts w:hint="eastAsia" w:ascii="宋体" w:hAnsi="宋体" w:eastAsia="宋体" w:cs="宋体"/>
          <w:spacing w:val="-20"/>
        </w:rPr>
        <w:t>说</w:t>
      </w:r>
      <w:r>
        <w:rPr>
          <w:rFonts w:hint="eastAsia" w:ascii="宋体" w:hAnsi="宋体" w:eastAsia="宋体" w:cs="宋体"/>
          <w:spacing w:val="-20"/>
          <w:lang w:val="en-US"/>
        </w:rPr>
        <w:t>明</w:t>
      </w:r>
    </w:p>
    <w:p>
      <w:pPr>
        <w:pStyle w:val="2"/>
        <w:spacing w:before="223" w:line="640" w:lineRule="exact"/>
        <w:ind w:left="747" w:right="1434"/>
        <w:rPr>
          <w:rFonts w:ascii="宋体" w:eastAsia="宋体" w:cs="Times New Roman"/>
        </w:rPr>
      </w:pPr>
      <w:r>
        <w:rPr>
          <w:rFonts w:hint="eastAsia" w:ascii="宋体" w:eastAsia="宋体" w:cs="宋体"/>
        </w:rPr>
        <w:t>十一、政府采购支出情况说明</w:t>
      </w:r>
    </w:p>
    <w:p>
      <w:pPr>
        <w:pStyle w:val="2"/>
        <w:spacing w:before="223" w:line="640" w:lineRule="exact"/>
        <w:ind w:left="747" w:right="1434"/>
        <w:rPr>
          <w:rFonts w:ascii="宋体" w:hAnsi="宋体" w:eastAsia="宋体" w:cs="Times New Roman"/>
          <w:spacing w:val="-20"/>
          <w:lang w:val="en-US"/>
        </w:rPr>
        <w:sectPr>
          <w:pgSz w:w="11910" w:h="16840"/>
          <w:pgMar w:top="1500" w:right="1520" w:bottom="1180" w:left="1480" w:header="0" w:footer="999" w:gutter="0"/>
          <w:cols w:space="720" w:num="1"/>
        </w:sectPr>
      </w:pPr>
      <w:r>
        <w:rPr>
          <w:rFonts w:hint="eastAsia" w:ascii="宋体" w:eastAsia="宋体" w:cs="宋体"/>
        </w:rPr>
        <w:t>十二、国有资产占用情况说明</w:t>
      </w:r>
    </w:p>
    <w:p>
      <w:pPr>
        <w:pStyle w:val="2"/>
        <w:tabs>
          <w:tab w:val="left" w:pos="2027"/>
        </w:tabs>
        <w:spacing w:line="407" w:lineRule="exact"/>
        <w:ind w:left="108" w:leftChars="49" w:firstLine="640" w:firstLineChars="200"/>
        <w:rPr>
          <w:rFonts w:ascii="黑体" w:eastAsia="黑体" w:cs="Times New Roman"/>
        </w:rPr>
      </w:pPr>
      <w:r>
        <w:rPr>
          <w:rFonts w:hint="eastAsia" w:ascii="黑体" w:eastAsia="黑体" w:cs="黑体"/>
        </w:rPr>
        <w:t>第</w:t>
      </w:r>
      <w:r>
        <w:rPr>
          <w:rFonts w:hint="eastAsia" w:ascii="黑体" w:eastAsia="黑体" w:cs="黑体"/>
          <w:lang w:val="en-US"/>
        </w:rPr>
        <w:t>三</w:t>
      </w:r>
      <w:r>
        <w:rPr>
          <w:rFonts w:hint="eastAsia" w:ascii="黑体" w:eastAsia="黑体" w:cs="黑体"/>
        </w:rPr>
        <w:t>部分</w:t>
      </w:r>
      <w:r>
        <w:rPr>
          <w:rFonts w:ascii="黑体" w:eastAsia="黑体" w:cs="Times New Roman"/>
        </w:rPr>
        <w:tab/>
      </w:r>
      <w:r>
        <w:rPr>
          <w:rFonts w:hint="eastAsia" w:ascii="黑体" w:eastAsia="黑体" w:cs="黑体"/>
        </w:rPr>
        <w:t>名词解释</w:t>
      </w:r>
    </w:p>
    <w:p>
      <w:pPr>
        <w:pStyle w:val="2"/>
        <w:tabs>
          <w:tab w:val="left" w:pos="2027"/>
        </w:tabs>
        <w:spacing w:line="406" w:lineRule="exact"/>
        <w:ind w:left="108" w:leftChars="49" w:firstLine="640" w:firstLineChars="200"/>
        <w:rPr>
          <w:rFonts w:eastAsia="黑体" w:cs="Times New Roman"/>
          <w:lang w:val="en-US"/>
        </w:rPr>
      </w:pPr>
    </w:p>
    <w:p>
      <w:pPr>
        <w:pStyle w:val="2"/>
        <w:tabs>
          <w:tab w:val="left" w:pos="2027"/>
        </w:tabs>
        <w:spacing w:line="406" w:lineRule="exact"/>
        <w:ind w:left="108" w:leftChars="49" w:firstLine="640" w:firstLineChars="200"/>
        <w:rPr>
          <w:rFonts w:ascii="黑体" w:eastAsia="黑体" w:cs="Times New Roman"/>
        </w:rPr>
      </w:pPr>
      <w:r>
        <w:rPr>
          <w:rFonts w:hint="eastAsia" w:eastAsia="黑体" w:cs="黑体"/>
          <w:lang w:val="en-US"/>
        </w:rPr>
        <w:t>附件：</w:t>
      </w:r>
      <w:r>
        <w:rPr>
          <w:rFonts w:ascii="黑体" w:eastAsia="黑体" w:cs="黑体"/>
        </w:rPr>
        <w:t>2017</w:t>
      </w:r>
      <w:r>
        <w:rPr>
          <w:rFonts w:hint="eastAsia" w:ascii="黑体" w:eastAsia="黑体" w:cs="黑体"/>
        </w:rPr>
        <w:t>年度部门决算表</w:t>
      </w:r>
    </w:p>
    <w:p>
      <w:pPr>
        <w:pStyle w:val="2"/>
        <w:spacing w:before="225" w:line="372" w:lineRule="auto"/>
        <w:ind w:left="747" w:right="4954"/>
        <w:rPr>
          <w:rFonts w:ascii="宋体" w:eastAsia="宋体" w:cs="Times New Roman"/>
        </w:rPr>
      </w:pPr>
      <w:r>
        <w:rPr>
          <w:rFonts w:hint="eastAsia" w:ascii="宋体" w:eastAsia="宋体" w:cs="宋体"/>
          <w:spacing w:val="-2"/>
        </w:rPr>
        <w:t>一、收入支出决算总表</w:t>
      </w:r>
      <w:r>
        <w:rPr>
          <w:rFonts w:hint="eastAsia" w:ascii="宋体" w:eastAsia="宋体" w:cs="宋体"/>
        </w:rPr>
        <w:t>二、收入决算表</w:t>
      </w:r>
    </w:p>
    <w:p>
      <w:pPr>
        <w:pStyle w:val="2"/>
        <w:spacing w:line="406" w:lineRule="exact"/>
        <w:ind w:left="747"/>
        <w:rPr>
          <w:rFonts w:ascii="宋体" w:eastAsia="宋体" w:cs="Times New Roman"/>
        </w:rPr>
      </w:pPr>
      <w:r>
        <w:rPr>
          <w:rFonts w:hint="eastAsia" w:ascii="宋体" w:eastAsia="宋体" w:cs="宋体"/>
          <w:spacing w:val="-1"/>
        </w:rPr>
        <w:t>三、支出决算表</w:t>
      </w:r>
    </w:p>
    <w:p>
      <w:pPr>
        <w:pStyle w:val="2"/>
        <w:spacing w:before="224"/>
        <w:ind w:left="747"/>
        <w:rPr>
          <w:rFonts w:ascii="宋体" w:eastAsia="宋体" w:cs="Times New Roman"/>
        </w:rPr>
      </w:pPr>
      <w:r>
        <w:rPr>
          <w:rFonts w:hint="eastAsia" w:ascii="宋体" w:eastAsia="宋体" w:cs="宋体"/>
        </w:rPr>
        <w:t>四、财政拨款收入支出决算总表</w:t>
      </w:r>
    </w:p>
    <w:p>
      <w:pPr>
        <w:pStyle w:val="2"/>
        <w:spacing w:before="224"/>
        <w:ind w:left="747"/>
        <w:rPr>
          <w:rFonts w:ascii="宋体" w:eastAsia="宋体" w:cs="Times New Roman"/>
        </w:rPr>
      </w:pPr>
      <w:r>
        <w:rPr>
          <w:rFonts w:hint="eastAsia" w:ascii="宋体" w:eastAsia="宋体" w:cs="宋体"/>
        </w:rPr>
        <w:t>五、一般公共预算财政拨款支出决算表</w:t>
      </w:r>
    </w:p>
    <w:p>
      <w:pPr>
        <w:pStyle w:val="2"/>
        <w:spacing w:before="224"/>
        <w:ind w:left="747"/>
        <w:rPr>
          <w:rFonts w:ascii="宋体" w:eastAsia="宋体" w:cs="Times New Roman"/>
        </w:rPr>
      </w:pPr>
      <w:r>
        <w:rPr>
          <w:rFonts w:hint="eastAsia" w:ascii="宋体" w:eastAsia="宋体" w:cs="宋体"/>
        </w:rPr>
        <w:t>六、一般公共预算财政拨款基本支出决算表</w:t>
      </w:r>
    </w:p>
    <w:p>
      <w:pPr>
        <w:pStyle w:val="2"/>
        <w:spacing w:before="224" w:line="372" w:lineRule="auto"/>
        <w:ind w:left="747" w:right="795"/>
        <w:rPr>
          <w:rFonts w:ascii="宋体" w:hAnsi="宋体" w:eastAsia="宋体" w:cs="Times New Roman"/>
        </w:rPr>
      </w:pPr>
      <w:r>
        <w:rPr>
          <w:rFonts w:hint="eastAsia" w:ascii="宋体" w:hAnsi="宋体" w:eastAsia="宋体" w:cs="宋体"/>
        </w:rPr>
        <w:t>七、一般公共预算财政拨款“三公”经费支出决算表八、政府性基金预算财政拨款收入支出决算表</w:t>
      </w:r>
    </w:p>
    <w:p>
      <w:pPr>
        <w:spacing w:line="407" w:lineRule="exact"/>
        <w:rPr>
          <w:rFonts w:cs="Times New Roman"/>
        </w:rPr>
        <w:sectPr>
          <w:pgSz w:w="11910" w:h="16840"/>
          <w:pgMar w:top="1520" w:right="1520" w:bottom="1180" w:left="1480" w:header="0" w:footer="999" w:gutter="0"/>
          <w:cols w:space="720" w:num="1"/>
        </w:sect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rPr>
          <w:rFonts w:ascii="黑体" w:cs="Times New Roman"/>
          <w:sz w:val="20"/>
          <w:szCs w:val="20"/>
        </w:rPr>
      </w:pPr>
    </w:p>
    <w:p>
      <w:pPr>
        <w:pStyle w:val="2"/>
        <w:spacing w:before="2"/>
        <w:rPr>
          <w:rFonts w:ascii="黑体" w:cs="Times New Roman"/>
          <w:sz w:val="26"/>
          <w:szCs w:val="26"/>
        </w:rPr>
      </w:pPr>
    </w:p>
    <w:p>
      <w:pPr>
        <w:tabs>
          <w:tab w:val="left" w:pos="3993"/>
        </w:tabs>
        <w:spacing w:before="32"/>
        <w:jc w:val="center"/>
        <w:rPr>
          <w:rFonts w:ascii="黑体" w:eastAsia="黑体" w:cs="Times New Roman"/>
          <w:sz w:val="48"/>
          <w:szCs w:val="48"/>
        </w:rPr>
      </w:pPr>
      <w:r>
        <w:rPr>
          <w:rFonts w:hint="eastAsia" w:ascii="黑体" w:eastAsia="黑体" w:cs="黑体"/>
          <w:sz w:val="48"/>
          <w:szCs w:val="48"/>
        </w:rPr>
        <w:t>第一部分</w:t>
      </w:r>
    </w:p>
    <w:p>
      <w:pPr>
        <w:tabs>
          <w:tab w:val="left" w:pos="3993"/>
        </w:tabs>
        <w:spacing w:before="32"/>
        <w:jc w:val="center"/>
        <w:rPr>
          <w:rFonts w:ascii="黑体" w:eastAsia="黑体" w:cs="Times New Roman"/>
          <w:sz w:val="48"/>
          <w:szCs w:val="48"/>
        </w:rPr>
      </w:pPr>
      <w:r>
        <w:rPr>
          <w:rFonts w:hint="eastAsia" w:ascii="黑体" w:eastAsia="黑体" w:cs="黑体"/>
          <w:sz w:val="48"/>
          <w:szCs w:val="48"/>
        </w:rPr>
        <w:t>西华县发展和改革委员会概况</w:t>
      </w:r>
    </w:p>
    <w:p>
      <w:pPr>
        <w:rPr>
          <w:rFonts w:cs="Times New Roman"/>
        </w:rPr>
        <w:sectPr>
          <w:footerReference r:id="rId4" w:type="default"/>
          <w:pgSz w:w="11910" w:h="16840"/>
          <w:pgMar w:top="1600" w:right="1520" w:bottom="920" w:left="1480" w:header="0" w:footer="726" w:gutter="0"/>
          <w:pgNumType w:start="1"/>
          <w:cols w:space="720" w:num="1"/>
        </w:sectPr>
      </w:pPr>
    </w:p>
    <w:p>
      <w:pPr>
        <w:pStyle w:val="2"/>
        <w:spacing w:before="26" w:line="560" w:lineRule="exact"/>
        <w:ind w:firstLine="640" w:firstLineChars="200"/>
        <w:rPr>
          <w:rFonts w:ascii="黑体" w:eastAsia="黑体" w:cs="Times New Roman"/>
        </w:rPr>
      </w:pPr>
      <w:r>
        <w:rPr>
          <w:rFonts w:hint="eastAsia" w:ascii="黑体" w:eastAsia="黑体" w:cs="黑体"/>
        </w:rPr>
        <w:t>一、部门职责</w:t>
      </w:r>
    </w:p>
    <w:p>
      <w:pPr>
        <w:pStyle w:val="2"/>
        <w:spacing w:before="2" w:line="560" w:lineRule="exact"/>
        <w:ind w:right="270" w:firstLine="640" w:firstLineChars="200"/>
        <w:jc w:val="both"/>
        <w:rPr>
          <w:rFonts w:cs="Times New Roman"/>
        </w:rPr>
      </w:pPr>
      <w:r>
        <w:rPr>
          <w:rFonts w:hint="eastAsia"/>
        </w:rPr>
        <w:t>拟订并组织实施全县国民经济和社会发展战略、中长期规划和年度计划，统筹协调经济社会发展，负责监测宏观经济和社会发展态势，参与分析研究全县财政、金融运行情况，承担指导推进和综合协调全县经济体制改革的责任，承担规划重大建设项目和生产力布局的责任，推进经济结构战略性调整。承担组织编制全县主体功能区规划并协调实施和进行监测评估的责任，承担重要商品总量平衡和宏观调控的责任，负责社会发展与国民经济发展的政策衔接，推进可持续发展战略，负责节能减排的综合协调工作，贯彻执行国家能源法律、法规和发展战略、规划及产业政策，承担全县重点项目建设管理和重大建设项目稽察的责任，负责贯彻落实国家和省以工代赈政策、编制本县中长期规划，起草全县国民经济和社会发展、经济体制改革和对外开放的地方性文件、规章草案。组织编制全县国民经济动员规划、计划，研究国民经济动员与国民经济、国防建设的关系，协调相关重大问题，组织开展国民经济动员有关工作，研究拟定人口发展战略、规划及人口政策，承办县政府交办的其他事项。</w:t>
      </w:r>
    </w:p>
    <w:p>
      <w:pPr>
        <w:pStyle w:val="2"/>
        <w:spacing w:before="2" w:line="560" w:lineRule="exact"/>
        <w:ind w:right="270" w:firstLine="640" w:firstLineChars="200"/>
        <w:jc w:val="both"/>
        <w:rPr>
          <w:rFonts w:ascii="黑体" w:hAnsi="黑体" w:eastAsia="黑体" w:cs="Times New Roman"/>
        </w:rPr>
      </w:pPr>
      <w:r>
        <w:rPr>
          <w:rFonts w:hint="eastAsia" w:ascii="黑体" w:hAnsi="黑体" w:eastAsia="黑体" w:cs="黑体"/>
        </w:rPr>
        <w:t>二、机构设置</w:t>
      </w:r>
    </w:p>
    <w:p>
      <w:pPr>
        <w:pStyle w:val="2"/>
        <w:spacing w:before="2" w:line="560" w:lineRule="exact"/>
        <w:ind w:right="270" w:firstLine="640" w:firstLineChars="200"/>
        <w:jc w:val="both"/>
        <w:rPr>
          <w:rFonts w:cs="Times New Roman"/>
        </w:rPr>
      </w:pPr>
      <w:r>
        <w:rPr>
          <w:rFonts w:hint="eastAsia"/>
        </w:rPr>
        <w:t>根据发展和改革委员会的主要职责，西华县发展和改革委员会设</w:t>
      </w:r>
      <w:r>
        <w:t>24</w:t>
      </w:r>
      <w:r>
        <w:rPr>
          <w:rFonts w:hint="eastAsia"/>
        </w:rPr>
        <w:t>个内设机构：国民经济和社会发展综合股、固定资产投资和地区经济股、经济体制改革和农村经济股、工业发展和基础产业股、高技术产业和经济贸易股、价格调控和管理股、收费管理股、行政审批服务股、县政府重点项目建设领导小组办公室、县能源规划建设办公室、以工代赈办公室、价格成本监审股、对外经济股、人口和计划生育办公室、财务股、办公室、人事股、全国新增</w:t>
      </w:r>
      <w:r>
        <w:t>1</w:t>
      </w:r>
      <w:r>
        <w:rPr>
          <w:rFonts w:hint="eastAsia"/>
        </w:rPr>
        <w:t>千亿斤粮食生产能力规划办公室、物价检查所、认证中心、信息中心、举报中心、政府价格调节基金办公室、价格事务所。</w:t>
      </w:r>
    </w:p>
    <w:p>
      <w:pPr>
        <w:pStyle w:val="2"/>
        <w:spacing w:before="2" w:line="560" w:lineRule="exact"/>
        <w:ind w:right="270" w:firstLine="640" w:firstLineChars="200"/>
        <w:jc w:val="both"/>
        <w:rPr>
          <w:rFonts w:cs="Times New Roman"/>
        </w:rPr>
      </w:pPr>
      <w:bookmarkStart w:id="0" w:name="_GoBack"/>
      <w:bookmarkEnd w:id="0"/>
      <w:r>
        <w:rPr>
          <w:rFonts w:hint="eastAsia"/>
        </w:rPr>
        <w:t>发改委部门决算包括委机关本级决算和委属事业单位决算。</w:t>
      </w:r>
    </w:p>
    <w:p>
      <w:pPr>
        <w:pStyle w:val="2"/>
        <w:numPr>
          <w:ilvl w:val="0"/>
          <w:numId w:val="1"/>
        </w:numPr>
        <w:spacing w:before="2" w:line="560" w:lineRule="exact"/>
        <w:ind w:right="270"/>
        <w:jc w:val="both"/>
        <w:rPr>
          <w:rFonts w:cs="Times New Roman"/>
        </w:rPr>
      </w:pPr>
      <w:r>
        <w:rPr>
          <w:rFonts w:hint="eastAsia"/>
        </w:rPr>
        <w:t>发改委本级</w:t>
      </w:r>
    </w:p>
    <w:p>
      <w:pPr>
        <w:pStyle w:val="2"/>
        <w:spacing w:before="2" w:line="560" w:lineRule="exact"/>
        <w:ind w:right="270"/>
        <w:jc w:val="both"/>
        <w:rPr>
          <w:rFonts w:cs="Times New Roman"/>
        </w:rPr>
      </w:pPr>
      <w:r>
        <w:t>2</w:t>
      </w:r>
      <w:r>
        <w:rPr>
          <w:rFonts w:hint="eastAsia"/>
        </w:rPr>
        <w:t>、检查所</w:t>
      </w:r>
    </w:p>
    <w:p>
      <w:pPr>
        <w:pStyle w:val="2"/>
        <w:spacing w:before="2" w:line="560" w:lineRule="exact"/>
        <w:ind w:right="270"/>
        <w:jc w:val="both"/>
        <w:rPr>
          <w:rFonts w:cs="Times New Roman"/>
        </w:rPr>
      </w:pPr>
      <w:r>
        <w:t>3</w:t>
      </w:r>
      <w:r>
        <w:rPr>
          <w:rFonts w:hint="eastAsia"/>
        </w:rPr>
        <w:t>、重点项目办</w:t>
      </w:r>
    </w:p>
    <w:p>
      <w:pPr>
        <w:pStyle w:val="2"/>
        <w:spacing w:before="2" w:line="560" w:lineRule="exact"/>
        <w:ind w:right="270"/>
        <w:jc w:val="both"/>
        <w:rPr>
          <w:rFonts w:cs="Times New Roman"/>
        </w:rPr>
      </w:pPr>
      <w:r>
        <w:t>4</w:t>
      </w:r>
      <w:r>
        <w:rPr>
          <w:rFonts w:hint="eastAsia"/>
        </w:rPr>
        <w:t>、认证中心</w:t>
      </w:r>
    </w:p>
    <w:p>
      <w:pPr>
        <w:pStyle w:val="2"/>
        <w:spacing w:before="2" w:line="560" w:lineRule="exact"/>
        <w:ind w:right="270"/>
        <w:jc w:val="both"/>
        <w:rPr>
          <w:rFonts w:cs="Times New Roman"/>
        </w:rPr>
      </w:pPr>
      <w:r>
        <w:t>5</w:t>
      </w:r>
      <w:r>
        <w:rPr>
          <w:rFonts w:hint="eastAsia"/>
        </w:rPr>
        <w:t>、事物所</w:t>
      </w:r>
    </w:p>
    <w:p>
      <w:pPr>
        <w:pStyle w:val="2"/>
        <w:spacing w:before="2" w:line="560" w:lineRule="exact"/>
        <w:ind w:right="270"/>
        <w:jc w:val="both"/>
        <w:rPr>
          <w:rFonts w:cs="Times New Roman"/>
        </w:rPr>
      </w:pPr>
      <w:r>
        <w:t>6</w:t>
      </w:r>
      <w:r>
        <w:rPr>
          <w:rFonts w:hint="eastAsia"/>
        </w:rPr>
        <w:t>、信息中心</w:t>
      </w:r>
    </w:p>
    <w:p>
      <w:pPr>
        <w:pStyle w:val="2"/>
        <w:spacing w:before="2" w:line="560" w:lineRule="exact"/>
        <w:ind w:right="270"/>
        <w:jc w:val="both"/>
        <w:rPr>
          <w:rFonts w:cs="Times New Roman"/>
        </w:rPr>
      </w:pPr>
      <w:r>
        <w:t>7</w:t>
      </w:r>
      <w:r>
        <w:rPr>
          <w:rFonts w:hint="eastAsia"/>
        </w:rPr>
        <w:t>、价调办</w:t>
      </w:r>
    </w:p>
    <w:p>
      <w:pPr>
        <w:pStyle w:val="2"/>
        <w:spacing w:before="2" w:line="560" w:lineRule="exact"/>
        <w:ind w:right="270"/>
        <w:jc w:val="both"/>
        <w:rPr>
          <w:rFonts w:cs="Times New Roman"/>
        </w:rPr>
      </w:pPr>
    </w:p>
    <w:p>
      <w:pPr>
        <w:pStyle w:val="2"/>
        <w:spacing w:before="2" w:line="560" w:lineRule="exact"/>
        <w:ind w:right="270"/>
        <w:jc w:val="both"/>
        <w:rPr>
          <w:rFonts w:cs="Times New Roman"/>
        </w:rPr>
      </w:pPr>
    </w:p>
    <w:p>
      <w:pPr>
        <w:pStyle w:val="2"/>
        <w:spacing w:before="2" w:line="560" w:lineRule="exact"/>
        <w:ind w:right="270"/>
        <w:jc w:val="both"/>
        <w:rPr>
          <w:rFonts w:cs="Times New Roman"/>
        </w:rPr>
      </w:pPr>
    </w:p>
    <w:p>
      <w:pPr>
        <w:pStyle w:val="2"/>
        <w:spacing w:before="2" w:line="560" w:lineRule="exact"/>
        <w:ind w:right="270"/>
        <w:jc w:val="both"/>
        <w:rPr>
          <w:rFonts w:cs="Times New Roman"/>
        </w:rPr>
      </w:pPr>
    </w:p>
    <w:p>
      <w:pPr>
        <w:pStyle w:val="2"/>
        <w:spacing w:before="2" w:line="560" w:lineRule="exact"/>
        <w:ind w:right="270"/>
        <w:jc w:val="both"/>
        <w:rPr>
          <w:rFonts w:cs="Times New Roman"/>
        </w:rPr>
      </w:pPr>
    </w:p>
    <w:p>
      <w:pPr>
        <w:pStyle w:val="2"/>
        <w:spacing w:before="2" w:line="560" w:lineRule="exact"/>
        <w:ind w:right="270"/>
        <w:jc w:val="both"/>
        <w:rPr>
          <w:rFonts w:cs="Times New Roman"/>
          <w:lang w:val="en-US"/>
        </w:rPr>
      </w:pPr>
    </w:p>
    <w:p>
      <w:pPr>
        <w:pStyle w:val="2"/>
        <w:spacing w:before="2" w:line="560" w:lineRule="exact"/>
        <w:ind w:right="270"/>
        <w:jc w:val="both"/>
        <w:rPr>
          <w:rFonts w:cs="Times New Roman"/>
          <w:lang w:val="en-US"/>
        </w:rPr>
      </w:pPr>
    </w:p>
    <w:p>
      <w:pPr>
        <w:pStyle w:val="2"/>
        <w:spacing w:before="2" w:line="560" w:lineRule="exact"/>
        <w:ind w:right="270"/>
        <w:jc w:val="both"/>
        <w:rPr>
          <w:rFonts w:cs="Times New Roman"/>
          <w:lang w:val="en-US"/>
        </w:rPr>
      </w:pPr>
    </w:p>
    <w:p>
      <w:pPr>
        <w:pStyle w:val="2"/>
        <w:spacing w:before="2" w:line="560" w:lineRule="exact"/>
        <w:ind w:right="270"/>
        <w:jc w:val="both"/>
        <w:rPr>
          <w:rFonts w:cs="Times New Roman"/>
          <w:lang w:val="en-US"/>
        </w:rPr>
      </w:pPr>
    </w:p>
    <w:p>
      <w:pPr>
        <w:pStyle w:val="2"/>
        <w:spacing w:before="2" w:line="560" w:lineRule="exact"/>
        <w:ind w:right="270"/>
        <w:jc w:val="both"/>
        <w:rPr>
          <w:rFonts w:cs="Times New Roman"/>
          <w:lang w:val="en-US"/>
        </w:rPr>
      </w:pPr>
    </w:p>
    <w:p>
      <w:pPr>
        <w:pStyle w:val="2"/>
        <w:spacing w:before="2" w:line="560" w:lineRule="exact"/>
        <w:ind w:right="270"/>
        <w:jc w:val="both"/>
        <w:rPr>
          <w:rFonts w:cs="Times New Roman"/>
          <w:lang w:val="en-US"/>
        </w:rPr>
      </w:pPr>
    </w:p>
    <w:p>
      <w:pPr>
        <w:pStyle w:val="2"/>
        <w:spacing w:before="2" w:line="560" w:lineRule="exact"/>
        <w:ind w:right="270"/>
        <w:jc w:val="both"/>
        <w:rPr>
          <w:rFonts w:cs="Times New Roman"/>
          <w:lang w:val="en-US"/>
        </w:rPr>
      </w:pPr>
    </w:p>
    <w:p>
      <w:pPr>
        <w:pStyle w:val="2"/>
        <w:spacing w:before="2" w:line="560" w:lineRule="exact"/>
        <w:ind w:left="317" w:right="270" w:firstLine="468"/>
        <w:jc w:val="both"/>
        <w:rPr>
          <w:rFonts w:cs="Times New Roman"/>
          <w:lang w:val="en-US"/>
        </w:rPr>
      </w:pPr>
    </w:p>
    <w:p>
      <w:pPr>
        <w:pStyle w:val="2"/>
        <w:spacing w:before="2" w:line="560" w:lineRule="exact"/>
        <w:ind w:left="317" w:right="270" w:firstLine="468"/>
        <w:jc w:val="both"/>
        <w:rPr>
          <w:rFonts w:cs="Times New Roman"/>
          <w:lang w:val="en-US"/>
        </w:rPr>
      </w:pPr>
    </w:p>
    <w:p>
      <w:pPr>
        <w:tabs>
          <w:tab w:val="left" w:pos="3993"/>
        </w:tabs>
        <w:spacing w:before="32" w:line="560" w:lineRule="exact"/>
        <w:jc w:val="center"/>
        <w:rPr>
          <w:rFonts w:ascii="黑体" w:eastAsia="黑体" w:cs="Times New Roman"/>
          <w:sz w:val="48"/>
          <w:szCs w:val="48"/>
        </w:rPr>
      </w:pPr>
      <w:r>
        <w:rPr>
          <w:rFonts w:hint="eastAsia" w:ascii="黑体" w:eastAsia="黑体" w:cs="黑体"/>
          <w:sz w:val="48"/>
          <w:szCs w:val="48"/>
        </w:rPr>
        <w:t>第</w:t>
      </w:r>
      <w:r>
        <w:rPr>
          <w:rFonts w:hint="eastAsia" w:ascii="黑体" w:eastAsia="黑体" w:cs="黑体"/>
          <w:sz w:val="48"/>
          <w:szCs w:val="48"/>
          <w:lang w:val="en-US"/>
        </w:rPr>
        <w:t>二</w:t>
      </w:r>
      <w:r>
        <w:rPr>
          <w:rFonts w:hint="eastAsia" w:ascii="黑体" w:eastAsia="黑体" w:cs="黑体"/>
          <w:sz w:val="48"/>
          <w:szCs w:val="48"/>
        </w:rPr>
        <w:t>部分</w:t>
      </w:r>
    </w:p>
    <w:p>
      <w:pPr>
        <w:tabs>
          <w:tab w:val="left" w:pos="3993"/>
        </w:tabs>
        <w:spacing w:before="32" w:line="560" w:lineRule="exact"/>
        <w:jc w:val="center"/>
        <w:rPr>
          <w:rFonts w:cs="Times New Roman"/>
          <w:spacing w:val="-6"/>
        </w:rPr>
      </w:pPr>
      <w:r>
        <w:rPr>
          <w:rFonts w:ascii="黑体" w:eastAsia="黑体" w:cs="黑体"/>
          <w:sz w:val="48"/>
          <w:szCs w:val="48"/>
        </w:rPr>
        <w:t>2017</w:t>
      </w:r>
      <w:r>
        <w:rPr>
          <w:rFonts w:hint="eastAsia" w:ascii="黑体" w:eastAsia="黑体" w:cs="黑体"/>
          <w:sz w:val="48"/>
          <w:szCs w:val="48"/>
        </w:rPr>
        <w:t>年度部门决算情况说明</w:t>
      </w:r>
    </w:p>
    <w:p>
      <w:pPr>
        <w:pStyle w:val="2"/>
        <w:spacing w:before="214" w:line="560" w:lineRule="exact"/>
        <w:ind w:right="112" w:firstLine="693" w:firstLineChars="225"/>
        <w:rPr>
          <w:rFonts w:ascii="黑体" w:hAnsi="黑体" w:eastAsia="黑体" w:cs="Times New Roman"/>
          <w:spacing w:val="-6"/>
        </w:rPr>
      </w:pPr>
      <w:r>
        <w:rPr>
          <w:rFonts w:hint="eastAsia" w:ascii="黑体" w:hAnsi="黑体" w:eastAsia="黑体" w:cs="黑体"/>
          <w:spacing w:val="-6"/>
        </w:rPr>
        <w:t>一、收入支出决算总体情况说明</w:t>
      </w:r>
    </w:p>
    <w:p>
      <w:pPr>
        <w:pStyle w:val="2"/>
        <w:spacing w:before="214" w:line="560" w:lineRule="exact"/>
        <w:ind w:right="113" w:firstLine="616" w:firstLineChars="200"/>
        <w:jc w:val="both"/>
        <w:rPr>
          <w:rFonts w:cs="Times New Roman"/>
          <w:spacing w:val="-6"/>
        </w:rPr>
      </w:pPr>
      <w:r>
        <w:rPr>
          <w:spacing w:val="-6"/>
        </w:rPr>
        <w:t>2017</w:t>
      </w:r>
      <w:r>
        <w:rPr>
          <w:rFonts w:hint="eastAsia"/>
          <w:spacing w:val="-6"/>
        </w:rPr>
        <w:t>年度收、支总计均为</w:t>
      </w:r>
      <w:r>
        <w:rPr>
          <w:spacing w:val="-6"/>
        </w:rPr>
        <w:t>1106.52</w:t>
      </w:r>
      <w:r>
        <w:rPr>
          <w:rFonts w:hint="eastAsia"/>
          <w:spacing w:val="-6"/>
        </w:rPr>
        <w:t>万元。与</w:t>
      </w:r>
      <w:r>
        <w:rPr>
          <w:spacing w:val="-6"/>
        </w:rPr>
        <w:t>2016</w:t>
      </w:r>
      <w:r>
        <w:rPr>
          <w:rFonts w:hint="eastAsia"/>
          <w:spacing w:val="-6"/>
        </w:rPr>
        <w:t>年相比，收、支总计各减少</w:t>
      </w:r>
      <w:r>
        <w:rPr>
          <w:rFonts w:ascii="仿宋" w:hAnsi="仿宋" w:eastAsia="仿宋" w:cs="仿宋"/>
          <w:lang w:val="en-US"/>
        </w:rPr>
        <w:t>43.17</w:t>
      </w:r>
      <w:r>
        <w:rPr>
          <w:rFonts w:hint="eastAsia"/>
          <w:spacing w:val="-6"/>
        </w:rPr>
        <w:t>万元，下降</w:t>
      </w:r>
      <w:r>
        <w:rPr>
          <w:rFonts w:ascii="仿宋" w:hAnsi="仿宋" w:eastAsia="仿宋" w:cs="仿宋"/>
          <w:lang w:val="en-US"/>
        </w:rPr>
        <w:t>3.76</w:t>
      </w:r>
      <w:r>
        <w:rPr>
          <w:spacing w:val="-6"/>
        </w:rPr>
        <w:t>%</w:t>
      </w:r>
      <w:r>
        <w:rPr>
          <w:rFonts w:hint="eastAsia"/>
          <w:spacing w:val="-6"/>
        </w:rPr>
        <w:t>。主要原因：在职人员退休减少，人员经费减少。</w:t>
      </w:r>
    </w:p>
    <w:p>
      <w:pPr>
        <w:pStyle w:val="2"/>
        <w:spacing w:before="2" w:line="560" w:lineRule="exact"/>
        <w:ind w:right="270" w:firstLine="720" w:firstLineChars="225"/>
        <w:jc w:val="both"/>
        <w:rPr>
          <w:rFonts w:ascii="黑体" w:hAnsi="黑体" w:eastAsia="黑体" w:cs="Times New Roman"/>
          <w:lang w:val="en-US"/>
        </w:rPr>
      </w:pPr>
      <w:r>
        <w:rPr>
          <w:rFonts w:hint="eastAsia" w:ascii="黑体" w:hAnsi="黑体" w:eastAsia="黑体" w:cs="黑体"/>
          <w:lang w:val="en-US"/>
        </w:rPr>
        <w:t>二、收入决算情况说明</w:t>
      </w:r>
    </w:p>
    <w:p>
      <w:pPr>
        <w:pStyle w:val="2"/>
        <w:spacing w:before="2" w:line="560" w:lineRule="exact"/>
        <w:ind w:right="270" w:firstLine="693" w:firstLineChars="225"/>
        <w:jc w:val="both"/>
        <w:rPr>
          <w:rFonts w:cs="Times New Roman"/>
          <w:spacing w:val="-6"/>
        </w:rPr>
      </w:pPr>
      <w:r>
        <w:rPr>
          <w:spacing w:val="-6"/>
        </w:rPr>
        <w:t>2017</w:t>
      </w:r>
      <w:r>
        <w:rPr>
          <w:rFonts w:hint="eastAsia"/>
          <w:spacing w:val="-6"/>
        </w:rPr>
        <w:t>年度收入合计</w:t>
      </w:r>
      <w:r>
        <w:rPr>
          <w:spacing w:val="-6"/>
        </w:rPr>
        <w:t>1106.52</w:t>
      </w:r>
      <w:r>
        <w:rPr>
          <w:rFonts w:hint="eastAsia"/>
          <w:spacing w:val="-6"/>
        </w:rPr>
        <w:t>万元，其中：财政拨款收入</w:t>
      </w:r>
      <w:r>
        <w:rPr>
          <w:spacing w:val="-6"/>
        </w:rPr>
        <w:t>1106.52</w:t>
      </w:r>
      <w:r>
        <w:rPr>
          <w:rFonts w:hint="eastAsia"/>
          <w:spacing w:val="-6"/>
        </w:rPr>
        <w:t>万元，占</w:t>
      </w:r>
      <w:r>
        <w:rPr>
          <w:spacing w:val="-6"/>
          <w:lang w:val="en-US"/>
        </w:rPr>
        <w:t>100</w:t>
      </w:r>
      <w:r>
        <w:rPr>
          <w:spacing w:val="-6"/>
        </w:rPr>
        <w:t>%</w:t>
      </w:r>
      <w:r>
        <w:rPr>
          <w:rFonts w:hint="eastAsia"/>
          <w:spacing w:val="-6"/>
        </w:rPr>
        <w:t>；事业收入</w:t>
      </w:r>
      <w:r>
        <w:rPr>
          <w:spacing w:val="-6"/>
          <w:lang w:val="en-US"/>
        </w:rPr>
        <w:t>0</w:t>
      </w:r>
      <w:r>
        <w:rPr>
          <w:rFonts w:hint="eastAsia"/>
          <w:spacing w:val="-6"/>
        </w:rPr>
        <w:t>万元；其他收入</w:t>
      </w:r>
      <w:r>
        <w:rPr>
          <w:spacing w:val="-6"/>
          <w:lang w:val="en-US"/>
        </w:rPr>
        <w:t>0</w:t>
      </w:r>
      <w:r>
        <w:rPr>
          <w:rFonts w:hint="eastAsia"/>
          <w:spacing w:val="-6"/>
        </w:rPr>
        <w:t>万元。</w:t>
      </w:r>
    </w:p>
    <w:p>
      <w:pPr>
        <w:pStyle w:val="2"/>
        <w:spacing w:before="2" w:line="560" w:lineRule="exact"/>
        <w:ind w:right="270" w:firstLine="720" w:firstLineChars="225"/>
        <w:jc w:val="both"/>
        <w:rPr>
          <w:rFonts w:ascii="黑体" w:hAnsi="黑体" w:eastAsia="黑体" w:cs="Times New Roman"/>
          <w:lang w:val="en-US"/>
        </w:rPr>
      </w:pPr>
      <w:r>
        <w:rPr>
          <w:rFonts w:hint="eastAsia" w:ascii="黑体" w:hAnsi="黑体" w:eastAsia="黑体" w:cs="黑体"/>
          <w:lang w:val="en-US"/>
        </w:rPr>
        <w:t>三、支出决算情况说明</w:t>
      </w:r>
    </w:p>
    <w:p>
      <w:pPr>
        <w:pStyle w:val="2"/>
        <w:spacing w:before="2" w:line="560" w:lineRule="exact"/>
        <w:ind w:right="270" w:firstLine="693" w:firstLineChars="225"/>
        <w:jc w:val="both"/>
        <w:rPr>
          <w:rFonts w:cs="Times New Roman"/>
          <w:spacing w:val="-6"/>
        </w:rPr>
      </w:pPr>
      <w:r>
        <w:rPr>
          <w:spacing w:val="-6"/>
        </w:rPr>
        <w:t>2017</w:t>
      </w:r>
      <w:r>
        <w:rPr>
          <w:rFonts w:hint="eastAsia"/>
          <w:spacing w:val="-6"/>
        </w:rPr>
        <w:t>年度支出合计</w:t>
      </w:r>
      <w:r>
        <w:rPr>
          <w:spacing w:val="-6"/>
        </w:rPr>
        <w:t>1106.52</w:t>
      </w:r>
      <w:r>
        <w:rPr>
          <w:rFonts w:hint="eastAsia"/>
          <w:spacing w:val="-6"/>
        </w:rPr>
        <w:t>万元，其中：基本支出</w:t>
      </w:r>
      <w:r>
        <w:rPr>
          <w:spacing w:val="-6"/>
        </w:rPr>
        <w:t>871.52</w:t>
      </w:r>
      <w:r>
        <w:rPr>
          <w:rFonts w:hint="eastAsia"/>
          <w:spacing w:val="-6"/>
        </w:rPr>
        <w:t>万元，占</w:t>
      </w:r>
      <w:r>
        <w:rPr>
          <w:spacing w:val="-6"/>
        </w:rPr>
        <w:t>78.76%</w:t>
      </w:r>
      <w:r>
        <w:rPr>
          <w:rFonts w:hint="eastAsia"/>
          <w:spacing w:val="-6"/>
        </w:rPr>
        <w:t>；项目支出</w:t>
      </w:r>
      <w:r>
        <w:rPr>
          <w:spacing w:val="-6"/>
        </w:rPr>
        <w:t>14565.64</w:t>
      </w:r>
      <w:r>
        <w:rPr>
          <w:rFonts w:hint="eastAsia"/>
          <w:spacing w:val="-6"/>
        </w:rPr>
        <w:t>万元，占</w:t>
      </w:r>
      <w:r>
        <w:rPr>
          <w:spacing w:val="-6"/>
        </w:rPr>
        <w:t>76.87%</w:t>
      </w:r>
      <w:r>
        <w:rPr>
          <w:rFonts w:hint="eastAsia"/>
          <w:spacing w:val="-6"/>
        </w:rPr>
        <w:t>，比</w:t>
      </w:r>
      <w:r>
        <w:rPr>
          <w:spacing w:val="-6"/>
        </w:rPr>
        <w:t>2016</w:t>
      </w:r>
      <w:r>
        <w:rPr>
          <w:rFonts w:hint="eastAsia"/>
          <w:spacing w:val="-6"/>
        </w:rPr>
        <w:t>年减少支出</w:t>
      </w:r>
      <w:r>
        <w:rPr>
          <w:spacing w:val="-6"/>
        </w:rPr>
        <w:t>76.97</w:t>
      </w:r>
      <w:r>
        <w:rPr>
          <w:rFonts w:hint="eastAsia"/>
          <w:spacing w:val="-6"/>
        </w:rPr>
        <w:t>万元，下降</w:t>
      </w:r>
      <w:r>
        <w:rPr>
          <w:spacing w:val="-6"/>
        </w:rPr>
        <w:t>8.12%</w:t>
      </w:r>
      <w:r>
        <w:rPr>
          <w:rFonts w:hint="eastAsia"/>
          <w:spacing w:val="-6"/>
        </w:rPr>
        <w:t>；项目支出</w:t>
      </w:r>
      <w:r>
        <w:rPr>
          <w:spacing w:val="-6"/>
        </w:rPr>
        <w:t>235</w:t>
      </w:r>
      <w:r>
        <w:rPr>
          <w:rFonts w:hint="eastAsia"/>
          <w:spacing w:val="-6"/>
        </w:rPr>
        <w:t>万元，占总支出的</w:t>
      </w:r>
      <w:r>
        <w:rPr>
          <w:spacing w:val="-6"/>
        </w:rPr>
        <w:t>21.24%</w:t>
      </w:r>
      <w:r>
        <w:rPr>
          <w:rFonts w:hint="eastAsia"/>
          <w:spacing w:val="-6"/>
        </w:rPr>
        <w:t>，比</w:t>
      </w:r>
      <w:r>
        <w:rPr>
          <w:spacing w:val="-6"/>
        </w:rPr>
        <w:t>2016</w:t>
      </w:r>
      <w:r>
        <w:rPr>
          <w:rFonts w:hint="eastAsia"/>
          <w:spacing w:val="-6"/>
        </w:rPr>
        <w:t>年增加支出</w:t>
      </w:r>
      <w:r>
        <w:rPr>
          <w:spacing w:val="-6"/>
        </w:rPr>
        <w:t>33.8</w:t>
      </w:r>
      <w:r>
        <w:rPr>
          <w:rFonts w:hint="eastAsia"/>
          <w:spacing w:val="-6"/>
        </w:rPr>
        <w:t>万元，增加</w:t>
      </w:r>
      <w:r>
        <w:rPr>
          <w:spacing w:val="-6"/>
        </w:rPr>
        <w:t>16.8%</w:t>
      </w:r>
      <w:r>
        <w:rPr>
          <w:rFonts w:hint="eastAsia"/>
          <w:spacing w:val="-6"/>
        </w:rPr>
        <w:t>。</w:t>
      </w:r>
    </w:p>
    <w:p>
      <w:pPr>
        <w:pStyle w:val="2"/>
        <w:spacing w:before="2" w:line="560" w:lineRule="exact"/>
        <w:ind w:right="270" w:firstLine="720" w:firstLineChars="225"/>
        <w:jc w:val="both"/>
        <w:rPr>
          <w:rFonts w:ascii="黑体" w:hAnsi="黑体" w:eastAsia="黑体" w:cs="Times New Roman"/>
          <w:lang w:val="en-US"/>
        </w:rPr>
      </w:pPr>
      <w:r>
        <w:rPr>
          <w:rFonts w:hint="eastAsia" w:ascii="黑体" w:hAnsi="黑体" w:eastAsia="黑体" w:cs="黑体"/>
          <w:lang w:val="en-US"/>
        </w:rPr>
        <w:t>四、财政拨款收入支出决算总体情况说明</w:t>
      </w:r>
    </w:p>
    <w:p>
      <w:pPr>
        <w:pStyle w:val="2"/>
        <w:spacing w:before="214" w:line="560" w:lineRule="exact"/>
        <w:ind w:right="113" w:firstLine="616" w:firstLineChars="200"/>
        <w:jc w:val="both"/>
        <w:rPr>
          <w:rFonts w:cs="Times New Roman"/>
          <w:spacing w:val="-6"/>
        </w:rPr>
      </w:pPr>
      <w:r>
        <w:rPr>
          <w:spacing w:val="-6"/>
        </w:rPr>
        <w:t>2017</w:t>
      </w:r>
      <w:r>
        <w:rPr>
          <w:rFonts w:hint="eastAsia"/>
          <w:spacing w:val="-6"/>
        </w:rPr>
        <w:t>年财政拨款收入为</w:t>
      </w:r>
      <w:r>
        <w:rPr>
          <w:spacing w:val="-6"/>
        </w:rPr>
        <w:t>1106.52</w:t>
      </w:r>
      <w:r>
        <w:rPr>
          <w:rFonts w:hint="eastAsia"/>
          <w:spacing w:val="-6"/>
        </w:rPr>
        <w:t>万元。与</w:t>
      </w:r>
      <w:r>
        <w:rPr>
          <w:spacing w:val="-6"/>
        </w:rPr>
        <w:t>2016</w:t>
      </w:r>
      <w:r>
        <w:rPr>
          <w:rFonts w:hint="eastAsia"/>
          <w:spacing w:val="-6"/>
        </w:rPr>
        <w:t>年相比，财政拨款收入减少</w:t>
      </w:r>
      <w:r>
        <w:rPr>
          <w:rFonts w:ascii="仿宋" w:hAnsi="仿宋" w:eastAsia="仿宋" w:cs="仿宋"/>
          <w:lang w:val="en-US"/>
        </w:rPr>
        <w:t>43.17</w:t>
      </w:r>
      <w:r>
        <w:rPr>
          <w:rFonts w:hint="eastAsia"/>
          <w:spacing w:val="-6"/>
        </w:rPr>
        <w:t>万元，减少</w:t>
      </w:r>
      <w:r>
        <w:rPr>
          <w:rFonts w:ascii="仿宋" w:hAnsi="仿宋" w:eastAsia="仿宋" w:cs="仿宋"/>
          <w:lang w:val="en-US"/>
        </w:rPr>
        <w:t>3.76</w:t>
      </w:r>
      <w:r>
        <w:rPr>
          <w:spacing w:val="-6"/>
        </w:rPr>
        <w:t>%</w:t>
      </w:r>
      <w:r>
        <w:rPr>
          <w:rFonts w:hint="eastAsia"/>
          <w:spacing w:val="-6"/>
        </w:rPr>
        <w:t>。</w:t>
      </w:r>
      <w:r>
        <w:rPr>
          <w:spacing w:val="-6"/>
        </w:rPr>
        <w:t>2017</w:t>
      </w:r>
      <w:r>
        <w:rPr>
          <w:rFonts w:hint="eastAsia"/>
          <w:spacing w:val="-6"/>
        </w:rPr>
        <w:t>年财政拨款支出为</w:t>
      </w:r>
      <w:r>
        <w:rPr>
          <w:spacing w:val="-6"/>
        </w:rPr>
        <w:t>1106.52</w:t>
      </w:r>
      <w:r>
        <w:rPr>
          <w:rFonts w:hint="eastAsia"/>
          <w:spacing w:val="-6"/>
        </w:rPr>
        <w:t>万元。与</w:t>
      </w:r>
      <w:r>
        <w:rPr>
          <w:spacing w:val="-6"/>
        </w:rPr>
        <w:t>2016</w:t>
      </w:r>
      <w:r>
        <w:rPr>
          <w:rFonts w:hint="eastAsia"/>
          <w:spacing w:val="-6"/>
        </w:rPr>
        <w:t>年相比，财政拨款支出减少</w:t>
      </w:r>
      <w:r>
        <w:rPr>
          <w:rFonts w:ascii="仿宋" w:hAnsi="仿宋" w:eastAsia="仿宋" w:cs="仿宋"/>
          <w:lang w:val="en-US"/>
        </w:rPr>
        <w:t>43.17</w:t>
      </w:r>
      <w:r>
        <w:rPr>
          <w:rFonts w:hint="eastAsia"/>
          <w:spacing w:val="-6"/>
        </w:rPr>
        <w:t>万元，下降</w:t>
      </w:r>
      <w:r>
        <w:rPr>
          <w:rFonts w:ascii="仿宋" w:hAnsi="仿宋" w:eastAsia="仿宋" w:cs="仿宋"/>
          <w:lang w:val="en-US"/>
        </w:rPr>
        <w:t>3.76</w:t>
      </w:r>
      <w:r>
        <w:rPr>
          <w:spacing w:val="-6"/>
        </w:rPr>
        <w:t>%</w:t>
      </w:r>
      <w:r>
        <w:rPr>
          <w:rFonts w:hint="eastAsia"/>
          <w:spacing w:val="-6"/>
        </w:rPr>
        <w:t>。主要原因：在职人员退休减少，人员经费减少。</w:t>
      </w:r>
    </w:p>
    <w:p>
      <w:pPr>
        <w:pStyle w:val="2"/>
        <w:spacing w:before="2" w:line="560" w:lineRule="exact"/>
        <w:ind w:right="270" w:firstLine="720" w:firstLineChars="225"/>
        <w:jc w:val="both"/>
        <w:rPr>
          <w:rFonts w:ascii="黑体" w:hAnsi="黑体" w:eastAsia="黑体" w:cs="Times New Roman"/>
          <w:lang w:val="en-US"/>
        </w:rPr>
      </w:pPr>
      <w:r>
        <w:rPr>
          <w:rFonts w:hint="eastAsia" w:ascii="黑体" w:hAnsi="黑体" w:eastAsia="黑体" w:cs="黑体"/>
          <w:lang w:val="en-US"/>
        </w:rPr>
        <w:t>五、一般公共预算财政拨款支出决算情况说明</w:t>
      </w:r>
    </w:p>
    <w:p>
      <w:pPr>
        <w:pStyle w:val="2"/>
        <w:spacing w:before="2" w:line="560" w:lineRule="exact"/>
        <w:ind w:right="270" w:firstLine="695" w:firstLineChars="225"/>
        <w:jc w:val="both"/>
        <w:rPr>
          <w:rFonts w:cs="Times New Roman"/>
          <w:b/>
          <w:bCs/>
          <w:spacing w:val="-6"/>
        </w:rPr>
      </w:pPr>
      <w:r>
        <w:rPr>
          <w:rFonts w:hint="eastAsia"/>
          <w:b/>
          <w:bCs/>
          <w:spacing w:val="-6"/>
        </w:rPr>
        <w:t>（一）总体情况</w:t>
      </w:r>
    </w:p>
    <w:p>
      <w:pPr>
        <w:pStyle w:val="2"/>
        <w:spacing w:before="2" w:line="560" w:lineRule="exact"/>
        <w:ind w:right="270" w:firstLine="693" w:firstLineChars="225"/>
        <w:jc w:val="both"/>
        <w:rPr>
          <w:rFonts w:cs="Times New Roman"/>
          <w:spacing w:val="-6"/>
        </w:rPr>
      </w:pPr>
      <w:r>
        <w:rPr>
          <w:spacing w:val="-6"/>
        </w:rPr>
        <w:t>2017</w:t>
      </w:r>
      <w:r>
        <w:rPr>
          <w:rFonts w:hint="eastAsia"/>
          <w:spacing w:val="-6"/>
        </w:rPr>
        <w:t>年一般公共预算财政拨款支出</w:t>
      </w:r>
      <w:r>
        <w:rPr>
          <w:spacing w:val="-6"/>
        </w:rPr>
        <w:t>1106.52</w:t>
      </w:r>
      <w:r>
        <w:rPr>
          <w:rFonts w:hint="eastAsia"/>
          <w:spacing w:val="-6"/>
        </w:rPr>
        <w:t>万元，占支出合计的</w:t>
      </w:r>
      <w:r>
        <w:rPr>
          <w:spacing w:val="-6"/>
          <w:lang w:val="en-US"/>
        </w:rPr>
        <w:t>100</w:t>
      </w:r>
      <w:r>
        <w:rPr>
          <w:spacing w:val="-6"/>
        </w:rPr>
        <w:t>%</w:t>
      </w:r>
      <w:r>
        <w:rPr>
          <w:rFonts w:hint="eastAsia"/>
          <w:spacing w:val="-6"/>
        </w:rPr>
        <w:t>。与</w:t>
      </w:r>
      <w:r>
        <w:rPr>
          <w:spacing w:val="-6"/>
        </w:rPr>
        <w:t>2016</w:t>
      </w:r>
      <w:r>
        <w:rPr>
          <w:rFonts w:hint="eastAsia"/>
          <w:spacing w:val="-6"/>
        </w:rPr>
        <w:t>年相比，一般公共预算财政拨款支出减少</w:t>
      </w:r>
      <w:r>
        <w:rPr>
          <w:rFonts w:ascii="仿宋" w:hAnsi="仿宋" w:eastAsia="仿宋" w:cs="仿宋"/>
          <w:lang w:val="en-US"/>
        </w:rPr>
        <w:t>43.17</w:t>
      </w:r>
      <w:r>
        <w:rPr>
          <w:rFonts w:hint="eastAsia"/>
          <w:spacing w:val="-6"/>
        </w:rPr>
        <w:t>万元，下降</w:t>
      </w:r>
      <w:r>
        <w:rPr>
          <w:rFonts w:ascii="仿宋" w:hAnsi="仿宋" w:eastAsia="仿宋" w:cs="仿宋"/>
          <w:lang w:val="en-US"/>
        </w:rPr>
        <w:t>3.76</w:t>
      </w:r>
      <w:r>
        <w:rPr>
          <w:spacing w:val="-6"/>
        </w:rPr>
        <w:t>%</w:t>
      </w:r>
      <w:r>
        <w:rPr>
          <w:rFonts w:hint="eastAsia"/>
          <w:spacing w:val="-6"/>
        </w:rPr>
        <w:t>。主要原因：在职人员退休减少，人员经费减少。</w:t>
      </w:r>
    </w:p>
    <w:p>
      <w:pPr>
        <w:pStyle w:val="2"/>
        <w:spacing w:before="2" w:line="560" w:lineRule="exact"/>
        <w:ind w:right="270" w:firstLine="695" w:firstLineChars="225"/>
        <w:jc w:val="both"/>
        <w:rPr>
          <w:rFonts w:cs="Times New Roman"/>
          <w:b/>
          <w:bCs/>
          <w:spacing w:val="-6"/>
        </w:rPr>
      </w:pPr>
      <w:r>
        <w:rPr>
          <w:rFonts w:hint="eastAsia"/>
          <w:b/>
          <w:bCs/>
          <w:spacing w:val="-6"/>
        </w:rPr>
        <w:t>（二）结构情况</w:t>
      </w:r>
    </w:p>
    <w:p>
      <w:pPr>
        <w:pStyle w:val="2"/>
        <w:spacing w:before="2" w:line="560" w:lineRule="exact"/>
        <w:ind w:right="270" w:firstLine="693" w:firstLineChars="225"/>
        <w:jc w:val="both"/>
        <w:rPr>
          <w:rFonts w:cs="Times New Roman"/>
          <w:spacing w:val="-6"/>
        </w:rPr>
      </w:pPr>
      <w:r>
        <w:rPr>
          <w:spacing w:val="-6"/>
        </w:rPr>
        <w:t>2017</w:t>
      </w:r>
      <w:r>
        <w:rPr>
          <w:rFonts w:hint="eastAsia"/>
          <w:spacing w:val="-6"/>
        </w:rPr>
        <w:t>年度一般公共预算财政拨款支出</w:t>
      </w:r>
      <w:r>
        <w:rPr>
          <w:spacing w:val="-6"/>
        </w:rPr>
        <w:t>1106.52</w:t>
      </w:r>
      <w:r>
        <w:rPr>
          <w:rFonts w:hint="eastAsia"/>
          <w:spacing w:val="-6"/>
        </w:rPr>
        <w:t>万元，主要用于以下方面：一般公共服务（类）支出</w:t>
      </w:r>
      <w:r>
        <w:rPr>
          <w:spacing w:val="-6"/>
        </w:rPr>
        <w:t>882.87</w:t>
      </w:r>
      <w:r>
        <w:rPr>
          <w:rFonts w:hint="eastAsia"/>
          <w:spacing w:val="-6"/>
        </w:rPr>
        <w:t>万元，占</w:t>
      </w:r>
      <w:r>
        <w:rPr>
          <w:spacing w:val="-6"/>
        </w:rPr>
        <w:t>79.79%</w:t>
      </w:r>
      <w:r>
        <w:rPr>
          <w:rFonts w:hint="eastAsia"/>
          <w:spacing w:val="-6"/>
        </w:rPr>
        <w:t>；社会保障和就业支出</w:t>
      </w:r>
      <w:r>
        <w:rPr>
          <w:spacing w:val="-6"/>
        </w:rPr>
        <w:t>176.10</w:t>
      </w:r>
      <w:r>
        <w:rPr>
          <w:rFonts w:hint="eastAsia"/>
          <w:spacing w:val="-6"/>
        </w:rPr>
        <w:t>万元，占</w:t>
      </w:r>
      <w:r>
        <w:rPr>
          <w:rFonts w:ascii="仿宋" w:hAnsi="仿宋" w:eastAsia="仿宋" w:cs="仿宋"/>
          <w:lang w:val="en-US"/>
        </w:rPr>
        <w:t>20.21</w:t>
      </w:r>
      <w:r>
        <w:rPr>
          <w:spacing w:val="-6"/>
        </w:rPr>
        <w:t>%</w:t>
      </w:r>
      <w:r>
        <w:rPr>
          <w:rFonts w:hint="eastAsia"/>
          <w:spacing w:val="-6"/>
        </w:rPr>
        <w:t>。</w:t>
      </w:r>
    </w:p>
    <w:p>
      <w:pPr>
        <w:pStyle w:val="2"/>
        <w:spacing w:before="2" w:line="560" w:lineRule="exact"/>
        <w:ind w:right="270" w:firstLine="695" w:firstLineChars="225"/>
        <w:jc w:val="both"/>
        <w:rPr>
          <w:rFonts w:cs="Times New Roman"/>
          <w:b/>
          <w:bCs/>
          <w:spacing w:val="-6"/>
        </w:rPr>
      </w:pPr>
      <w:r>
        <w:rPr>
          <w:rFonts w:hint="eastAsia"/>
          <w:b/>
          <w:bCs/>
          <w:spacing w:val="-6"/>
        </w:rPr>
        <w:t>（三）具体情况</w:t>
      </w:r>
    </w:p>
    <w:p>
      <w:pPr>
        <w:pStyle w:val="2"/>
        <w:spacing w:before="2" w:line="560" w:lineRule="exact"/>
        <w:ind w:right="270" w:firstLine="693" w:firstLineChars="225"/>
        <w:jc w:val="both"/>
        <w:rPr>
          <w:rFonts w:cs="Times New Roman"/>
          <w:spacing w:val="-6"/>
        </w:rPr>
      </w:pPr>
      <w:r>
        <w:rPr>
          <w:spacing w:val="-6"/>
        </w:rPr>
        <w:t>2017</w:t>
      </w:r>
      <w:r>
        <w:rPr>
          <w:rFonts w:hint="eastAsia"/>
          <w:spacing w:val="-6"/>
        </w:rPr>
        <w:t>年度一般公共预算财政拨款支出年初预算为</w:t>
      </w:r>
      <w:r>
        <w:rPr>
          <w:spacing w:val="-6"/>
        </w:rPr>
        <w:t>1106.52</w:t>
      </w:r>
      <w:r>
        <w:rPr>
          <w:rFonts w:hint="eastAsia"/>
          <w:spacing w:val="-6"/>
        </w:rPr>
        <w:t>万元，支出决算为</w:t>
      </w:r>
      <w:r>
        <w:rPr>
          <w:spacing w:val="-6"/>
        </w:rPr>
        <w:t>1106.52</w:t>
      </w:r>
      <w:r>
        <w:rPr>
          <w:rFonts w:hint="eastAsia"/>
          <w:spacing w:val="-6"/>
        </w:rPr>
        <w:t>万元，完成年初预算的</w:t>
      </w:r>
      <w:r>
        <w:rPr>
          <w:spacing w:val="-6"/>
          <w:lang w:val="en-US"/>
        </w:rPr>
        <w:t>100</w:t>
      </w:r>
      <w:r>
        <w:rPr>
          <w:spacing w:val="-6"/>
        </w:rPr>
        <w:t>%</w:t>
      </w:r>
      <w:r>
        <w:rPr>
          <w:rFonts w:hint="eastAsia"/>
          <w:spacing w:val="-6"/>
        </w:rPr>
        <w:t>。</w:t>
      </w:r>
    </w:p>
    <w:p>
      <w:pPr>
        <w:pStyle w:val="2"/>
        <w:spacing w:before="2" w:line="560" w:lineRule="exact"/>
        <w:ind w:right="270" w:firstLine="693" w:firstLineChars="225"/>
        <w:jc w:val="both"/>
        <w:rPr>
          <w:rFonts w:cs="Times New Roman"/>
          <w:spacing w:val="-6"/>
        </w:rPr>
      </w:pPr>
      <w:r>
        <w:rPr>
          <w:rFonts w:hint="eastAsia"/>
          <w:spacing w:val="-6"/>
        </w:rPr>
        <w:t>西华县发展和改革委员会</w:t>
      </w:r>
      <w:r>
        <w:rPr>
          <w:spacing w:val="-6"/>
        </w:rPr>
        <w:t>2017</w:t>
      </w:r>
      <w:r>
        <w:rPr>
          <w:rFonts w:hint="eastAsia"/>
          <w:spacing w:val="-6"/>
        </w:rPr>
        <w:t>年一般公共预算财政拨款基本支出</w:t>
      </w:r>
      <w:r>
        <w:rPr>
          <w:spacing w:val="-6"/>
        </w:rPr>
        <w:t>871.52</w:t>
      </w:r>
      <w:r>
        <w:rPr>
          <w:rFonts w:hint="eastAsia"/>
          <w:spacing w:val="-6"/>
        </w:rPr>
        <w:t>万元，同比减少支出</w:t>
      </w:r>
      <w:r>
        <w:rPr>
          <w:spacing w:val="-6"/>
        </w:rPr>
        <w:t>76.97</w:t>
      </w:r>
      <w:r>
        <w:rPr>
          <w:rFonts w:hint="eastAsia"/>
          <w:spacing w:val="-6"/>
        </w:rPr>
        <w:t>万元，下降</w:t>
      </w:r>
      <w:r>
        <w:rPr>
          <w:spacing w:val="-6"/>
        </w:rPr>
        <w:t>8.12%</w:t>
      </w:r>
      <w:r>
        <w:rPr>
          <w:rFonts w:hint="eastAsia"/>
          <w:spacing w:val="-6"/>
        </w:rPr>
        <w:t>。其中：人员经费</w:t>
      </w:r>
      <w:r>
        <w:rPr>
          <w:spacing w:val="-6"/>
        </w:rPr>
        <w:t>752.72</w:t>
      </w:r>
      <w:r>
        <w:rPr>
          <w:rFonts w:hint="eastAsia"/>
          <w:spacing w:val="-6"/>
        </w:rPr>
        <w:t>万元，同比减少支出</w:t>
      </w:r>
      <w:r>
        <w:rPr>
          <w:spacing w:val="-6"/>
        </w:rPr>
        <w:t>78.63</w:t>
      </w:r>
      <w:r>
        <w:rPr>
          <w:rFonts w:hint="eastAsia"/>
          <w:spacing w:val="-6"/>
        </w:rPr>
        <w:t>万元，下降</w:t>
      </w:r>
      <w:r>
        <w:rPr>
          <w:spacing w:val="-6"/>
        </w:rPr>
        <w:t>9.46%</w:t>
      </w:r>
      <w:r>
        <w:rPr>
          <w:rFonts w:hint="eastAsia"/>
          <w:spacing w:val="-6"/>
        </w:rPr>
        <w:t>。主要包括：基本工资、津贴补贴、奖金、社会保障缴费、绩效工资、其他工资福利支出、离休费、退休费、抚恤金、生活补助、医疗费、住房公积金、其他对个人和家庭的补助支出；公用经费</w:t>
      </w:r>
      <w:r>
        <w:rPr>
          <w:spacing w:val="-6"/>
        </w:rPr>
        <w:t>118.81</w:t>
      </w:r>
      <w:r>
        <w:rPr>
          <w:rFonts w:hint="eastAsia"/>
          <w:spacing w:val="-6"/>
        </w:rPr>
        <w:t>万元，同比增加支出</w:t>
      </w:r>
      <w:r>
        <w:rPr>
          <w:spacing w:val="-6"/>
        </w:rPr>
        <w:t>1.66</w:t>
      </w:r>
      <w:r>
        <w:rPr>
          <w:rFonts w:hint="eastAsia"/>
          <w:spacing w:val="-6"/>
        </w:rPr>
        <w:t>万元，增加</w:t>
      </w:r>
      <w:r>
        <w:rPr>
          <w:spacing w:val="-6"/>
        </w:rPr>
        <w:t>1.42%</w:t>
      </w:r>
      <w:r>
        <w:rPr>
          <w:rFonts w:hint="eastAsia"/>
          <w:spacing w:val="-6"/>
        </w:rPr>
        <w:t>。主要包括：办公费、印刷费、咨询费、水费、电费、邮电费、物业管理费、差旅费、维修（护）费、租赁费、会议费、培训费、公务接待费、专用材料费、劳务费、委托业务费、福利费、公务用车运</w:t>
      </w:r>
      <w:r>
        <w:rPr>
          <w:spacing w:val="-6"/>
        </w:rPr>
        <w:t xml:space="preserve"> </w:t>
      </w:r>
      <w:r>
        <w:rPr>
          <w:rFonts w:hint="eastAsia"/>
          <w:spacing w:val="-6"/>
        </w:rPr>
        <w:t>行维护费、其他交通费用、其他商品和服务</w:t>
      </w:r>
      <w:r>
        <w:rPr>
          <w:spacing w:val="-6"/>
        </w:rPr>
        <w:t xml:space="preserve"> </w:t>
      </w:r>
      <w:r>
        <w:rPr>
          <w:rFonts w:hint="eastAsia"/>
          <w:spacing w:val="-6"/>
        </w:rPr>
        <w:t>支出、办公设备购置、专用设备购置、大型修缮、信息网络及软件购置更新、其他资本性支出。</w:t>
      </w:r>
    </w:p>
    <w:p>
      <w:pPr>
        <w:pStyle w:val="2"/>
        <w:spacing w:before="2" w:line="560" w:lineRule="exact"/>
        <w:ind w:right="270" w:firstLine="720" w:firstLineChars="225"/>
        <w:jc w:val="both"/>
        <w:rPr>
          <w:rFonts w:ascii="黑体" w:hAnsi="黑体" w:eastAsia="黑体" w:cs="Times New Roman"/>
          <w:lang w:val="en-US"/>
        </w:rPr>
      </w:pPr>
      <w:r>
        <w:rPr>
          <w:rFonts w:hint="eastAsia" w:ascii="黑体" w:hAnsi="黑体" w:eastAsia="黑体" w:cs="黑体"/>
          <w:lang w:val="en-US"/>
        </w:rPr>
        <w:t>六、一般公共预算财政拨款基本支出决算情况说明</w:t>
      </w:r>
    </w:p>
    <w:p>
      <w:pPr>
        <w:pStyle w:val="2"/>
        <w:spacing w:before="2" w:line="560" w:lineRule="exact"/>
        <w:ind w:right="270" w:firstLine="720" w:firstLineChars="225"/>
        <w:jc w:val="both"/>
        <w:rPr>
          <w:rFonts w:cs="Times New Roman"/>
          <w:lang w:val="en-US"/>
        </w:rPr>
      </w:pPr>
      <w:r>
        <w:rPr>
          <w:lang w:val="en-US"/>
        </w:rPr>
        <w:t>2017</w:t>
      </w:r>
      <w:r>
        <w:rPr>
          <w:rFonts w:hint="eastAsia"/>
          <w:lang w:val="en-US"/>
        </w:rPr>
        <w:t>年一般公共预算财政拨款基本支出</w:t>
      </w:r>
      <w:r>
        <w:rPr>
          <w:spacing w:val="-6"/>
        </w:rPr>
        <w:t>1106.52</w:t>
      </w:r>
      <w:r>
        <w:rPr>
          <w:rFonts w:hint="eastAsia"/>
          <w:lang w:val="en-US"/>
        </w:rPr>
        <w:t>万元。与</w:t>
      </w:r>
      <w:r>
        <w:rPr>
          <w:lang w:val="en-US"/>
        </w:rPr>
        <w:t>2016</w:t>
      </w:r>
      <w:r>
        <w:rPr>
          <w:rFonts w:hint="eastAsia"/>
          <w:lang w:val="en-US"/>
        </w:rPr>
        <w:t>年相比，</w:t>
      </w:r>
      <w:r>
        <w:rPr>
          <w:rFonts w:hint="eastAsia"/>
          <w:spacing w:val="-6"/>
        </w:rPr>
        <w:t>减少</w:t>
      </w:r>
      <w:r>
        <w:rPr>
          <w:rFonts w:ascii="仿宋" w:hAnsi="仿宋" w:eastAsia="仿宋" w:cs="仿宋"/>
          <w:lang w:val="en-US"/>
        </w:rPr>
        <w:t>43.17</w:t>
      </w:r>
      <w:r>
        <w:rPr>
          <w:rFonts w:hint="eastAsia"/>
          <w:spacing w:val="-6"/>
        </w:rPr>
        <w:t>万元，下降</w:t>
      </w:r>
      <w:r>
        <w:rPr>
          <w:rFonts w:ascii="仿宋" w:hAnsi="仿宋" w:eastAsia="仿宋" w:cs="仿宋"/>
          <w:lang w:val="en-US"/>
        </w:rPr>
        <w:t>3.76</w:t>
      </w:r>
      <w:r>
        <w:rPr>
          <w:spacing w:val="-6"/>
        </w:rPr>
        <w:t>%</w:t>
      </w:r>
      <w:r>
        <w:rPr>
          <w:rFonts w:hint="eastAsia"/>
          <w:spacing w:val="-6"/>
        </w:rPr>
        <w:t>。</w:t>
      </w:r>
      <w:r>
        <w:rPr>
          <w:rFonts w:hint="eastAsia"/>
          <w:lang w:val="en-US"/>
        </w:rPr>
        <w:t>变动的主要原因：</w:t>
      </w:r>
      <w:r>
        <w:rPr>
          <w:rFonts w:hint="eastAsia"/>
          <w:spacing w:val="-6"/>
        </w:rPr>
        <w:t>主要原因：在职人员退休减少，人员经费减少。</w:t>
      </w:r>
    </w:p>
    <w:p>
      <w:pPr>
        <w:pStyle w:val="2"/>
        <w:spacing w:before="2" w:line="560" w:lineRule="exact"/>
        <w:ind w:right="270" w:firstLine="630" w:firstLineChars="225"/>
        <w:jc w:val="both"/>
        <w:rPr>
          <w:rFonts w:eastAsia="黑体" w:cs="Times New Roman"/>
          <w:lang w:val="en-US"/>
        </w:rPr>
      </w:pPr>
      <w:r>
        <w:rPr>
          <w:rFonts w:hint="eastAsia" w:ascii="黑体" w:hAnsi="黑体" w:eastAsia="黑体" w:cs="黑体"/>
          <w:spacing w:val="-20"/>
          <w:lang w:val="en-US"/>
        </w:rPr>
        <w:t>七、一般公共预算财政拨款“三公”经费支出决算情况说明</w:t>
      </w:r>
    </w:p>
    <w:p>
      <w:pPr>
        <w:pStyle w:val="2"/>
        <w:spacing w:before="2" w:line="560" w:lineRule="exact"/>
        <w:ind w:right="270" w:firstLine="722" w:firstLineChars="225"/>
        <w:jc w:val="both"/>
        <w:rPr>
          <w:rFonts w:cs="Times New Roman"/>
          <w:b/>
          <w:bCs/>
          <w:lang w:val="en-US"/>
        </w:rPr>
      </w:pPr>
      <w:r>
        <w:rPr>
          <w:rFonts w:hint="eastAsia"/>
          <w:b/>
          <w:bCs/>
          <w:lang w:val="en-US"/>
        </w:rPr>
        <w:t>（一）“三公”经费财政拨款支出决算总体情况说明。</w:t>
      </w:r>
    </w:p>
    <w:p>
      <w:pPr>
        <w:pStyle w:val="2"/>
        <w:spacing w:before="2" w:line="560" w:lineRule="exact"/>
        <w:ind w:right="270" w:firstLine="720" w:firstLineChars="225"/>
        <w:jc w:val="both"/>
        <w:rPr>
          <w:rFonts w:cs="Times New Roman"/>
          <w:lang w:val="en-US"/>
        </w:rPr>
      </w:pPr>
      <w:r>
        <w:rPr>
          <w:lang w:val="en-US"/>
        </w:rPr>
        <w:t>2017</w:t>
      </w:r>
      <w:r>
        <w:rPr>
          <w:rFonts w:hint="eastAsia"/>
          <w:lang w:val="en-US"/>
        </w:rPr>
        <w:t>年度“三公”经费财政拨款支出预算为</w:t>
      </w:r>
      <w:r>
        <w:rPr>
          <w:lang w:val="en-US"/>
        </w:rPr>
        <w:t>7.5</w:t>
      </w:r>
      <w:r>
        <w:rPr>
          <w:rFonts w:hint="eastAsia"/>
          <w:lang w:val="en-US"/>
        </w:rPr>
        <w:t>万元，支出决算为</w:t>
      </w:r>
      <w:r>
        <w:rPr>
          <w:lang w:val="en-US"/>
        </w:rPr>
        <w:t>1.40</w:t>
      </w:r>
      <w:r>
        <w:rPr>
          <w:rFonts w:hint="eastAsia"/>
          <w:lang w:val="en-US"/>
        </w:rPr>
        <w:t>万元，完成预算的</w:t>
      </w:r>
      <w:r>
        <w:rPr>
          <w:lang w:val="en-US"/>
        </w:rPr>
        <w:t>18.67%</w:t>
      </w:r>
      <w:r>
        <w:rPr>
          <w:rFonts w:hint="eastAsia"/>
          <w:lang w:val="en-US"/>
        </w:rPr>
        <w:t>。</w:t>
      </w:r>
      <w:r>
        <w:rPr>
          <w:lang w:val="en-US"/>
        </w:rPr>
        <w:t>2017</w:t>
      </w:r>
      <w:r>
        <w:rPr>
          <w:rFonts w:hint="eastAsia"/>
          <w:lang w:val="en-US"/>
        </w:rPr>
        <w:t>年度“三公”经费支出决算数与预算数存在差异的主要原因是西华县发展和改革委员会认真贯彻落实中央八项规定精神，坚持厉行节约，进一步规范公务接待，强化公务用车管理，严格控制“三公”经费支出。</w:t>
      </w:r>
    </w:p>
    <w:p>
      <w:pPr>
        <w:pStyle w:val="2"/>
        <w:spacing w:before="2" w:line="560" w:lineRule="exact"/>
        <w:ind w:right="270" w:firstLine="722" w:firstLineChars="225"/>
        <w:jc w:val="both"/>
        <w:rPr>
          <w:rFonts w:cs="Times New Roman"/>
          <w:b/>
          <w:bCs/>
          <w:lang w:val="en-US"/>
        </w:rPr>
      </w:pPr>
      <w:r>
        <w:rPr>
          <w:rFonts w:hint="eastAsia"/>
          <w:b/>
          <w:bCs/>
          <w:lang w:val="en-US"/>
        </w:rPr>
        <w:t>（二）“三公”经费财政拨款支出决算具体情况说明。</w:t>
      </w:r>
    </w:p>
    <w:p>
      <w:pPr>
        <w:pStyle w:val="2"/>
        <w:spacing w:before="2" w:line="560" w:lineRule="exact"/>
        <w:ind w:right="270" w:firstLine="720" w:firstLineChars="225"/>
        <w:jc w:val="both"/>
        <w:rPr>
          <w:rFonts w:cs="Times New Roman"/>
          <w:lang w:val="en-US"/>
        </w:rPr>
      </w:pPr>
      <w:r>
        <w:rPr>
          <w:lang w:val="en-US"/>
        </w:rPr>
        <w:t>2017</w:t>
      </w:r>
      <w:r>
        <w:rPr>
          <w:rFonts w:hint="eastAsia"/>
          <w:lang w:val="en-US"/>
        </w:rPr>
        <w:t>年度“三公”经费财政拨款支出决算中，因公出国（境）费支出决算</w:t>
      </w:r>
      <w:r>
        <w:rPr>
          <w:lang w:val="en-US"/>
        </w:rPr>
        <w:t>0</w:t>
      </w:r>
      <w:r>
        <w:rPr>
          <w:rFonts w:hint="eastAsia"/>
          <w:lang w:val="en-US"/>
        </w:rPr>
        <w:t>万元，占</w:t>
      </w:r>
      <w:r>
        <w:rPr>
          <w:lang w:val="en-US"/>
        </w:rPr>
        <w:t>0%</w:t>
      </w:r>
      <w:r>
        <w:rPr>
          <w:rFonts w:hint="eastAsia"/>
          <w:lang w:val="en-US"/>
        </w:rPr>
        <w:t>，完成预算的</w:t>
      </w:r>
      <w:r>
        <w:rPr>
          <w:lang w:val="en-US"/>
        </w:rPr>
        <w:t>100%</w:t>
      </w:r>
      <w:r>
        <w:rPr>
          <w:rFonts w:hint="eastAsia"/>
          <w:lang w:val="en-US"/>
        </w:rPr>
        <w:t>；公务用车购置及运行费支出决算</w:t>
      </w:r>
      <w:r>
        <w:rPr>
          <w:lang w:val="en-US"/>
        </w:rPr>
        <w:t>1.4</w:t>
      </w:r>
      <w:r>
        <w:rPr>
          <w:rFonts w:hint="eastAsia"/>
          <w:lang w:val="en-US"/>
        </w:rPr>
        <w:t>万元，完成预算的</w:t>
      </w:r>
      <w:r>
        <w:rPr>
          <w:lang w:val="en-US"/>
        </w:rPr>
        <w:t>77.78%</w:t>
      </w:r>
      <w:r>
        <w:rPr>
          <w:rFonts w:hint="eastAsia"/>
          <w:lang w:val="en-US"/>
        </w:rPr>
        <w:t>；公务接待费支出决算</w:t>
      </w:r>
      <w:r>
        <w:rPr>
          <w:lang w:val="en-US"/>
        </w:rPr>
        <w:t>0</w:t>
      </w:r>
      <w:r>
        <w:rPr>
          <w:rFonts w:hint="eastAsia"/>
          <w:lang w:val="en-US"/>
        </w:rPr>
        <w:t>万元，占</w:t>
      </w:r>
      <w:r>
        <w:rPr>
          <w:lang w:val="en-US"/>
        </w:rPr>
        <w:t>0%</w:t>
      </w:r>
      <w:r>
        <w:rPr>
          <w:rFonts w:hint="eastAsia"/>
          <w:lang w:val="en-US"/>
        </w:rPr>
        <w:t>，完成预算的</w:t>
      </w:r>
      <w:r>
        <w:rPr>
          <w:lang w:val="en-US"/>
        </w:rPr>
        <w:t>100%</w:t>
      </w:r>
      <w:r>
        <w:rPr>
          <w:rFonts w:hint="eastAsia"/>
          <w:lang w:val="en-US"/>
        </w:rPr>
        <w:t>。具体情况如下：</w:t>
      </w:r>
    </w:p>
    <w:p>
      <w:pPr>
        <w:pStyle w:val="2"/>
        <w:spacing w:before="2" w:line="560" w:lineRule="exact"/>
        <w:ind w:right="270" w:firstLine="722" w:firstLineChars="225"/>
        <w:jc w:val="both"/>
        <w:rPr>
          <w:rFonts w:cs="Times New Roman"/>
          <w:lang w:val="en-US"/>
        </w:rPr>
      </w:pPr>
      <w:r>
        <w:rPr>
          <w:b/>
          <w:bCs/>
          <w:lang w:val="en-US"/>
        </w:rPr>
        <w:t>1</w:t>
      </w:r>
      <w:r>
        <w:rPr>
          <w:lang w:val="en-US"/>
        </w:rPr>
        <w:t>.</w:t>
      </w:r>
      <w:r>
        <w:rPr>
          <w:rFonts w:hint="eastAsia"/>
          <w:b/>
          <w:bCs/>
          <w:lang w:val="en-US"/>
        </w:rPr>
        <w:t>因公出国（境）费</w:t>
      </w:r>
      <w:r>
        <w:rPr>
          <w:rFonts w:hint="eastAsia"/>
          <w:lang w:val="en-US"/>
        </w:rPr>
        <w:t>支出</w:t>
      </w:r>
      <w:r>
        <w:rPr>
          <w:lang w:val="en-US"/>
        </w:rPr>
        <w:t>0</w:t>
      </w:r>
      <w:r>
        <w:rPr>
          <w:rFonts w:hint="eastAsia"/>
          <w:lang w:val="en-US"/>
        </w:rPr>
        <w:t>万元。</w:t>
      </w:r>
    </w:p>
    <w:p>
      <w:pPr>
        <w:pStyle w:val="2"/>
        <w:spacing w:before="2" w:line="560" w:lineRule="exact"/>
        <w:ind w:right="270" w:firstLine="722" w:firstLineChars="225"/>
        <w:jc w:val="both"/>
        <w:rPr>
          <w:rFonts w:cs="Times New Roman"/>
          <w:lang w:val="en-US"/>
        </w:rPr>
      </w:pPr>
      <w:r>
        <w:rPr>
          <w:b/>
          <w:bCs/>
          <w:lang w:val="en-US"/>
        </w:rPr>
        <w:t>2</w:t>
      </w:r>
      <w:r>
        <w:rPr>
          <w:lang w:val="en-US"/>
        </w:rPr>
        <w:t>.</w:t>
      </w:r>
      <w:r>
        <w:rPr>
          <w:rFonts w:hint="eastAsia"/>
          <w:b/>
          <w:bCs/>
          <w:lang w:val="en-US"/>
        </w:rPr>
        <w:t>公务用车购置及运行费</w:t>
      </w:r>
      <w:r>
        <w:rPr>
          <w:lang w:val="en-US"/>
        </w:rPr>
        <w:t>1.4</w:t>
      </w:r>
      <w:r>
        <w:rPr>
          <w:rFonts w:hint="eastAsia"/>
          <w:lang w:val="en-US"/>
        </w:rPr>
        <w:t>万元。其中：公务用车购置支出为</w:t>
      </w:r>
      <w:r>
        <w:rPr>
          <w:lang w:val="en-US"/>
        </w:rPr>
        <w:t>0.00</w:t>
      </w:r>
      <w:r>
        <w:rPr>
          <w:rFonts w:hint="eastAsia"/>
          <w:lang w:val="en-US"/>
        </w:rPr>
        <w:t>万元。公务用车运行支出</w:t>
      </w:r>
      <w:r>
        <w:rPr>
          <w:lang w:val="en-US"/>
        </w:rPr>
        <w:t>1.4</w:t>
      </w:r>
      <w:r>
        <w:rPr>
          <w:rFonts w:hint="eastAsia"/>
          <w:lang w:val="en-US"/>
        </w:rPr>
        <w:t>万元。主要用于机要文件交换、应急公务出行和各单位省内跨市（县、区）督查、检查所需的车辆燃料费、维修费、过桥过路费、保险费等支出。</w:t>
      </w:r>
      <w:r>
        <w:rPr>
          <w:lang w:val="en-US"/>
        </w:rPr>
        <w:t>2017</w:t>
      </w:r>
      <w:r>
        <w:rPr>
          <w:rFonts w:hint="eastAsia"/>
          <w:lang w:val="en-US"/>
        </w:rPr>
        <w:t>年期末，西华县发改委部门公务用车保有量为</w:t>
      </w:r>
      <w:r>
        <w:rPr>
          <w:lang w:val="en-US"/>
        </w:rPr>
        <w:t>3</w:t>
      </w:r>
      <w:r>
        <w:rPr>
          <w:rFonts w:hint="eastAsia"/>
          <w:lang w:val="en-US"/>
        </w:rPr>
        <w:t>辆。公务用车购置运行费支出决算比</w:t>
      </w:r>
      <w:r>
        <w:rPr>
          <w:lang w:val="en-US"/>
        </w:rPr>
        <w:t>2016</w:t>
      </w:r>
      <w:r>
        <w:rPr>
          <w:rFonts w:hint="eastAsia"/>
          <w:lang w:val="en-US"/>
        </w:rPr>
        <w:t>年度减少</w:t>
      </w:r>
      <w:r>
        <w:rPr>
          <w:lang w:val="en-US"/>
        </w:rPr>
        <w:t>0.09</w:t>
      </w:r>
      <w:r>
        <w:rPr>
          <w:rFonts w:hint="eastAsia"/>
          <w:lang w:val="en-US"/>
        </w:rPr>
        <w:t>万元，</w:t>
      </w:r>
      <w:r>
        <w:rPr>
          <w:rFonts w:hint="eastAsia" w:ascii="仿宋" w:hAnsi="仿宋" w:eastAsia="仿宋" w:cs="仿宋"/>
        </w:rPr>
        <w:t>下降</w:t>
      </w:r>
      <w:r>
        <w:rPr>
          <w:rFonts w:ascii="仿宋" w:hAnsi="仿宋" w:eastAsia="仿宋" w:cs="仿宋"/>
          <w:lang w:val="en-US"/>
        </w:rPr>
        <w:t>6</w:t>
      </w:r>
      <w:r>
        <w:rPr>
          <w:rFonts w:ascii="仿宋" w:hAnsi="仿宋" w:eastAsia="仿宋" w:cs="仿宋"/>
        </w:rPr>
        <w:t>%</w:t>
      </w:r>
      <w:r>
        <w:rPr>
          <w:rFonts w:hint="eastAsia"/>
          <w:lang w:val="en-US"/>
        </w:rPr>
        <w:t>，主要原因是强化公务用车管理，严格控制“三公”经费支出。</w:t>
      </w:r>
    </w:p>
    <w:p>
      <w:pPr>
        <w:pStyle w:val="2"/>
        <w:spacing w:before="2" w:line="560" w:lineRule="exact"/>
        <w:ind w:right="270" w:firstLine="722" w:firstLineChars="225"/>
        <w:jc w:val="both"/>
        <w:rPr>
          <w:rFonts w:cs="Times New Roman"/>
          <w:lang w:val="en-US"/>
        </w:rPr>
      </w:pPr>
      <w:r>
        <w:rPr>
          <w:b/>
          <w:bCs/>
          <w:lang w:val="en-US"/>
        </w:rPr>
        <w:t>3</w:t>
      </w:r>
      <w:r>
        <w:rPr>
          <w:lang w:val="en-US"/>
        </w:rPr>
        <w:t>.</w:t>
      </w:r>
      <w:r>
        <w:rPr>
          <w:rFonts w:hint="eastAsia"/>
          <w:b/>
          <w:bCs/>
          <w:lang w:val="en-US"/>
        </w:rPr>
        <w:t>公务接待费</w:t>
      </w:r>
      <w:r>
        <w:rPr>
          <w:lang w:val="en-US"/>
        </w:rPr>
        <w:t>0</w:t>
      </w:r>
      <w:r>
        <w:rPr>
          <w:rFonts w:hint="eastAsia"/>
          <w:lang w:val="en-US"/>
        </w:rPr>
        <w:t>万元</w:t>
      </w:r>
    </w:p>
    <w:p>
      <w:pPr>
        <w:pStyle w:val="2"/>
        <w:spacing w:before="2" w:line="560" w:lineRule="exact"/>
        <w:ind w:right="270" w:firstLine="720" w:firstLineChars="225"/>
        <w:jc w:val="both"/>
        <w:rPr>
          <w:rFonts w:ascii="黑体" w:hAnsi="黑体" w:eastAsia="黑体" w:cs="Times New Roman"/>
          <w:lang w:val="en-US"/>
        </w:rPr>
      </w:pPr>
      <w:r>
        <w:rPr>
          <w:rFonts w:hint="eastAsia" w:ascii="黑体" w:hAnsi="黑体" w:eastAsia="黑体" w:cs="黑体"/>
          <w:lang w:val="en-US"/>
        </w:rPr>
        <w:t>八、重点绩效评价结果等预算绩效情况说明</w:t>
      </w:r>
    </w:p>
    <w:p>
      <w:pPr>
        <w:shd w:val="clear" w:color="auto" w:fill="FFFFFF"/>
        <w:ind w:firstLine="640"/>
        <w:rPr>
          <w:rFonts w:ascii="黑体" w:hAnsi="黑体" w:eastAsia="黑体" w:cs="Times New Roman"/>
          <w:b/>
          <w:bCs/>
          <w:lang w:val="en-US"/>
        </w:rPr>
      </w:pPr>
      <w:r>
        <w:rPr>
          <w:rFonts w:ascii="仿宋" w:hAnsi="仿宋" w:eastAsia="仿宋" w:cs="仿宋"/>
          <w:color w:val="333333"/>
          <w:sz w:val="32"/>
          <w:szCs w:val="32"/>
          <w:lang w:val="en-US"/>
        </w:rPr>
        <w:t>2017</w:t>
      </w:r>
      <w:r>
        <w:rPr>
          <w:rFonts w:hint="eastAsia" w:ascii="仿宋" w:hAnsi="仿宋" w:eastAsia="仿宋" w:cs="仿宋"/>
          <w:color w:val="333333"/>
          <w:sz w:val="32"/>
          <w:szCs w:val="32"/>
          <w:lang w:val="en-US"/>
        </w:rPr>
        <w:t>年度，本单位</w:t>
      </w:r>
      <w:r>
        <w:rPr>
          <w:rFonts w:hint="eastAsia" w:ascii="黑体" w:hAnsi="黑体"/>
          <w:sz w:val="32"/>
          <w:szCs w:val="32"/>
          <w:lang w:val="en-US"/>
        </w:rPr>
        <w:t>没有民生项目和重点支出项目，未开展预算绩效评价。</w:t>
      </w:r>
      <w:r>
        <w:rPr>
          <w:rFonts w:hint="eastAsia" w:ascii="仿宋" w:hAnsi="仿宋" w:eastAsia="仿宋" w:cs="仿宋"/>
          <w:color w:val="333333"/>
          <w:sz w:val="32"/>
          <w:szCs w:val="32"/>
        </w:rPr>
        <w:t>。</w:t>
      </w:r>
    </w:p>
    <w:p>
      <w:pPr>
        <w:pStyle w:val="2"/>
        <w:spacing w:before="2" w:line="560" w:lineRule="exact"/>
        <w:ind w:right="270" w:firstLine="720" w:firstLineChars="225"/>
        <w:jc w:val="both"/>
        <w:rPr>
          <w:rFonts w:ascii="黑体" w:hAnsi="黑体" w:eastAsia="黑体" w:cs="Times New Roman"/>
          <w:lang w:val="en-US"/>
        </w:rPr>
      </w:pPr>
      <w:r>
        <w:rPr>
          <w:rFonts w:hint="eastAsia" w:ascii="黑体" w:hAnsi="黑体" w:eastAsia="黑体" w:cs="黑体"/>
          <w:lang w:val="en-US"/>
        </w:rPr>
        <w:t>九、政府性基金预算财政拨款支出决算情况说明</w:t>
      </w:r>
    </w:p>
    <w:p>
      <w:pPr>
        <w:pStyle w:val="2"/>
        <w:spacing w:before="2" w:line="560" w:lineRule="exact"/>
        <w:ind w:right="270" w:firstLine="720" w:firstLineChars="225"/>
        <w:jc w:val="both"/>
        <w:rPr>
          <w:rFonts w:cs="Times New Roman"/>
          <w:lang w:val="en-US"/>
        </w:rPr>
      </w:pPr>
      <w:r>
        <w:rPr>
          <w:lang w:val="en-US"/>
        </w:rPr>
        <w:t>2017</w:t>
      </w:r>
      <w:r>
        <w:rPr>
          <w:rFonts w:hint="eastAsia"/>
          <w:lang w:val="en-US"/>
        </w:rPr>
        <w:t>年度西华县发展和改革委员会政府性基金预算财政拨款</w:t>
      </w:r>
      <w:r>
        <w:rPr>
          <w:lang w:val="en-US"/>
        </w:rPr>
        <w:t>0</w:t>
      </w:r>
      <w:r>
        <w:rPr>
          <w:rFonts w:hint="eastAsia"/>
          <w:lang w:val="en-US"/>
        </w:rPr>
        <w:t>万元</w:t>
      </w:r>
      <w:r>
        <w:rPr>
          <w:lang w:val="en-US"/>
        </w:rPr>
        <w:t>,</w:t>
      </w:r>
      <w:r>
        <w:rPr>
          <w:rFonts w:hint="eastAsia"/>
          <w:lang w:val="en-US"/>
        </w:rPr>
        <w:t>同比增加（减少）支出</w:t>
      </w:r>
      <w:r>
        <w:rPr>
          <w:lang w:val="en-US"/>
        </w:rPr>
        <w:t>0</w:t>
      </w:r>
      <w:r>
        <w:rPr>
          <w:rFonts w:hint="eastAsia"/>
          <w:lang w:val="en-US"/>
        </w:rPr>
        <w:t>万元，增长（下降）</w:t>
      </w:r>
      <w:r>
        <w:rPr>
          <w:lang w:val="en-US"/>
        </w:rPr>
        <w:t>0%</w:t>
      </w:r>
      <w:r>
        <w:rPr>
          <w:rFonts w:hint="eastAsia"/>
          <w:lang w:val="en-US"/>
        </w:rPr>
        <w:t>。</w:t>
      </w:r>
    </w:p>
    <w:p>
      <w:pPr>
        <w:pStyle w:val="2"/>
        <w:spacing w:before="2" w:line="560" w:lineRule="exact"/>
        <w:ind w:right="270" w:firstLine="720" w:firstLineChars="225"/>
        <w:jc w:val="both"/>
        <w:rPr>
          <w:rFonts w:ascii="黑体" w:hAnsi="黑体" w:eastAsia="黑体" w:cs="Times New Roman"/>
          <w:lang w:val="en-US"/>
        </w:rPr>
      </w:pPr>
      <w:r>
        <w:rPr>
          <w:rFonts w:hint="eastAsia" w:ascii="黑体" w:hAnsi="黑体" w:eastAsia="黑体" w:cs="黑体"/>
          <w:lang w:val="en-US"/>
        </w:rPr>
        <w:t>十、机关运行经费支出情况说明</w:t>
      </w:r>
    </w:p>
    <w:p>
      <w:pPr>
        <w:pStyle w:val="2"/>
        <w:spacing w:before="2" w:line="560" w:lineRule="exact"/>
        <w:ind w:right="270" w:firstLine="720" w:firstLineChars="225"/>
        <w:jc w:val="both"/>
        <w:rPr>
          <w:rFonts w:cs="Times New Roman"/>
          <w:lang w:val="en-US"/>
        </w:rPr>
      </w:pPr>
      <w:r>
        <w:rPr>
          <w:lang w:val="en-US"/>
        </w:rPr>
        <w:t>2017</w:t>
      </w:r>
      <w:r>
        <w:rPr>
          <w:rFonts w:hint="eastAsia"/>
          <w:lang w:val="en-US"/>
        </w:rPr>
        <w:t>年度机关运行经费支出</w:t>
      </w:r>
      <w:r>
        <w:rPr>
          <w:lang w:val="en-US"/>
        </w:rPr>
        <w:t>118.81</w:t>
      </w:r>
      <w:r>
        <w:rPr>
          <w:rFonts w:hint="eastAsia"/>
          <w:lang w:val="en-US"/>
        </w:rPr>
        <w:t>万元，较</w:t>
      </w:r>
      <w:r>
        <w:rPr>
          <w:lang w:val="en-US"/>
        </w:rPr>
        <w:t>2016</w:t>
      </w:r>
      <w:r>
        <w:rPr>
          <w:rFonts w:hint="eastAsia"/>
          <w:lang w:val="en-US"/>
        </w:rPr>
        <w:t>年度增加</w:t>
      </w:r>
      <w:r>
        <w:rPr>
          <w:lang w:val="en-US"/>
        </w:rPr>
        <w:t>1.66</w:t>
      </w:r>
      <w:r>
        <w:rPr>
          <w:rFonts w:hint="eastAsia"/>
          <w:lang w:val="en-US"/>
        </w:rPr>
        <w:t>万元，增长</w:t>
      </w:r>
      <w:r>
        <w:rPr>
          <w:lang w:val="en-US"/>
        </w:rPr>
        <w:t>1.42%</w:t>
      </w:r>
      <w:r>
        <w:rPr>
          <w:rFonts w:hint="eastAsia"/>
          <w:lang w:val="en-US"/>
        </w:rPr>
        <w:t>。下降的主要原因是：认真贯彻落实中央八项规定精神，统筹安排日常办公性支出，厉行节约，反对浪费。但是由于物价上涨、业务量增大</w:t>
      </w:r>
      <w:r>
        <w:rPr>
          <w:lang w:val="en-US"/>
        </w:rPr>
        <w:t>,</w:t>
      </w:r>
      <w:r>
        <w:rPr>
          <w:rFonts w:hint="eastAsia"/>
          <w:lang w:val="en-US"/>
        </w:rPr>
        <w:t>所需办公费、印刷费、邮电费差旅费相应增加。</w:t>
      </w:r>
    </w:p>
    <w:p>
      <w:pPr>
        <w:pStyle w:val="2"/>
        <w:spacing w:before="2" w:line="560" w:lineRule="exact"/>
        <w:ind w:right="270" w:firstLine="720" w:firstLineChars="225"/>
        <w:jc w:val="both"/>
        <w:rPr>
          <w:rFonts w:ascii="黑体" w:hAnsi="黑体" w:eastAsia="黑体" w:cs="Times New Roman"/>
          <w:lang w:val="en-US"/>
        </w:rPr>
      </w:pPr>
      <w:r>
        <w:rPr>
          <w:rFonts w:hint="eastAsia" w:ascii="黑体" w:hAnsi="黑体" w:eastAsia="黑体" w:cs="黑体"/>
          <w:lang w:val="en-US"/>
        </w:rPr>
        <w:t>十一、政府采购支出情况说明</w:t>
      </w:r>
    </w:p>
    <w:p>
      <w:pPr>
        <w:pStyle w:val="2"/>
        <w:spacing w:before="2" w:line="560" w:lineRule="exact"/>
        <w:ind w:right="270" w:firstLine="720" w:firstLineChars="225"/>
        <w:jc w:val="both"/>
        <w:rPr>
          <w:rFonts w:cs="Times New Roman"/>
          <w:lang w:val="en-US"/>
        </w:rPr>
      </w:pPr>
      <w:r>
        <w:rPr>
          <w:lang w:val="en-US"/>
        </w:rPr>
        <w:t>2017</w:t>
      </w:r>
      <w:r>
        <w:rPr>
          <w:rFonts w:hint="eastAsia"/>
          <w:lang w:val="en-US"/>
        </w:rPr>
        <w:t>年度西华县发展和改革委员会政府采购支出总额</w:t>
      </w:r>
      <w:r>
        <w:rPr>
          <w:lang w:val="en-US"/>
        </w:rPr>
        <w:t>0</w:t>
      </w:r>
      <w:r>
        <w:rPr>
          <w:rFonts w:hint="eastAsia"/>
          <w:lang w:val="en-US"/>
        </w:rPr>
        <w:t>万元，政府采购货物支出</w:t>
      </w:r>
      <w:r>
        <w:rPr>
          <w:lang w:val="en-US"/>
        </w:rPr>
        <w:t>0</w:t>
      </w:r>
      <w:r>
        <w:rPr>
          <w:rFonts w:hint="eastAsia"/>
          <w:lang w:val="en-US"/>
        </w:rPr>
        <w:t>万元，政府采购工程支出</w:t>
      </w:r>
      <w:r>
        <w:rPr>
          <w:lang w:val="en-US"/>
        </w:rPr>
        <w:t>0</w:t>
      </w:r>
      <w:r>
        <w:rPr>
          <w:rFonts w:hint="eastAsia"/>
          <w:lang w:val="en-US"/>
        </w:rPr>
        <w:t>万元，政府采购服务支出</w:t>
      </w:r>
      <w:r>
        <w:rPr>
          <w:lang w:val="en-US"/>
        </w:rPr>
        <w:t>0</w:t>
      </w:r>
      <w:r>
        <w:rPr>
          <w:rFonts w:hint="eastAsia"/>
          <w:lang w:val="en-US"/>
        </w:rPr>
        <w:t>万元。</w:t>
      </w:r>
    </w:p>
    <w:p>
      <w:pPr>
        <w:pStyle w:val="2"/>
        <w:spacing w:before="2" w:line="560" w:lineRule="exact"/>
        <w:ind w:right="270" w:firstLine="720" w:firstLineChars="225"/>
        <w:jc w:val="both"/>
        <w:rPr>
          <w:rFonts w:ascii="黑体" w:hAnsi="黑体" w:eastAsia="黑体" w:cs="Times New Roman"/>
          <w:lang w:val="en-US"/>
        </w:rPr>
      </w:pPr>
      <w:r>
        <w:rPr>
          <w:rFonts w:hint="eastAsia" w:ascii="黑体" w:hAnsi="黑体" w:eastAsia="黑体" w:cs="黑体"/>
          <w:lang w:val="en-US"/>
        </w:rPr>
        <w:t>十二、国有资产占用情况说明</w:t>
      </w:r>
    </w:p>
    <w:p>
      <w:pPr>
        <w:pStyle w:val="2"/>
        <w:spacing w:before="2" w:line="560" w:lineRule="exact"/>
        <w:ind w:right="270" w:firstLine="720" w:firstLineChars="225"/>
        <w:jc w:val="both"/>
        <w:rPr>
          <w:rFonts w:cs="Times New Roman"/>
          <w:lang w:val="en-US"/>
        </w:rPr>
      </w:pPr>
      <w:r>
        <w:rPr>
          <w:lang w:val="en-US"/>
        </w:rPr>
        <w:t>2017</w:t>
      </w:r>
      <w:r>
        <w:rPr>
          <w:rFonts w:hint="eastAsia"/>
          <w:lang w:val="en-US"/>
        </w:rPr>
        <w:t>年期末，西华县发展和改革委员会共有车辆</w:t>
      </w:r>
      <w:r>
        <w:rPr>
          <w:lang w:val="en-US"/>
        </w:rPr>
        <w:t>3</w:t>
      </w:r>
      <w:r>
        <w:rPr>
          <w:rFonts w:hint="eastAsia"/>
          <w:lang w:val="en-US"/>
        </w:rPr>
        <w:t>辆，其中：一般公务用车</w:t>
      </w:r>
      <w:r>
        <w:rPr>
          <w:lang w:val="en-US"/>
        </w:rPr>
        <w:t>3</w:t>
      </w:r>
      <w:r>
        <w:rPr>
          <w:rFonts w:hint="eastAsia"/>
          <w:lang w:val="en-US"/>
        </w:rPr>
        <w:t>辆。单价</w:t>
      </w:r>
      <w:r>
        <w:rPr>
          <w:lang w:val="en-US"/>
        </w:rPr>
        <w:t>50</w:t>
      </w:r>
      <w:r>
        <w:rPr>
          <w:rFonts w:hint="eastAsia"/>
          <w:lang w:val="en-US"/>
        </w:rPr>
        <w:t>万元以上的通用设备</w:t>
      </w:r>
      <w:r>
        <w:rPr>
          <w:lang w:val="en-US"/>
        </w:rPr>
        <w:t>0</w:t>
      </w:r>
      <w:r>
        <w:rPr>
          <w:rFonts w:hint="eastAsia"/>
          <w:lang w:val="en-US"/>
        </w:rPr>
        <w:t>台，单价</w:t>
      </w:r>
      <w:r>
        <w:rPr>
          <w:lang w:val="en-US"/>
        </w:rPr>
        <w:t>100</w:t>
      </w:r>
      <w:r>
        <w:rPr>
          <w:rFonts w:hint="eastAsia"/>
          <w:lang w:val="en-US"/>
        </w:rPr>
        <w:t>万元以上的通用设备</w:t>
      </w:r>
      <w:r>
        <w:rPr>
          <w:lang w:val="en-US"/>
        </w:rPr>
        <w:t>0</w:t>
      </w:r>
      <w:r>
        <w:rPr>
          <w:rFonts w:hint="eastAsia"/>
          <w:lang w:val="en-US"/>
        </w:rPr>
        <w:t>台。</w:t>
      </w:r>
    </w:p>
    <w:p>
      <w:pPr>
        <w:tabs>
          <w:tab w:val="left" w:pos="3993"/>
        </w:tabs>
        <w:spacing w:before="32" w:line="560" w:lineRule="exact"/>
        <w:ind w:firstLine="1080" w:firstLineChars="225"/>
        <w:jc w:val="center"/>
        <w:rPr>
          <w:rFonts w:ascii="黑体" w:eastAsia="黑体" w:cs="Times New Roman"/>
          <w:sz w:val="48"/>
          <w:szCs w:val="48"/>
        </w:rPr>
      </w:pPr>
    </w:p>
    <w:p>
      <w:pPr>
        <w:tabs>
          <w:tab w:val="left" w:pos="3993"/>
        </w:tabs>
        <w:spacing w:before="32" w:line="560" w:lineRule="exact"/>
        <w:ind w:firstLine="1080" w:firstLineChars="225"/>
        <w:jc w:val="center"/>
        <w:rPr>
          <w:rFonts w:ascii="黑体" w:eastAsia="黑体" w:cs="Times New Roman"/>
          <w:sz w:val="48"/>
          <w:szCs w:val="48"/>
        </w:rPr>
      </w:pPr>
    </w:p>
    <w:p>
      <w:pPr>
        <w:tabs>
          <w:tab w:val="left" w:pos="3993"/>
        </w:tabs>
        <w:spacing w:before="32" w:line="560" w:lineRule="exact"/>
        <w:ind w:firstLine="1080" w:firstLineChars="225"/>
        <w:jc w:val="center"/>
        <w:rPr>
          <w:rFonts w:ascii="黑体" w:eastAsia="黑体" w:cs="Times New Roman"/>
          <w:sz w:val="48"/>
          <w:szCs w:val="48"/>
        </w:rPr>
      </w:pPr>
    </w:p>
    <w:p>
      <w:pPr>
        <w:tabs>
          <w:tab w:val="left" w:pos="3993"/>
        </w:tabs>
        <w:spacing w:before="32" w:line="560" w:lineRule="exact"/>
        <w:ind w:firstLine="1080" w:firstLineChars="225"/>
        <w:jc w:val="center"/>
        <w:rPr>
          <w:rFonts w:ascii="黑体" w:eastAsia="黑体" w:cs="Times New Roman"/>
          <w:sz w:val="48"/>
          <w:szCs w:val="48"/>
        </w:rPr>
      </w:pPr>
    </w:p>
    <w:p>
      <w:pPr>
        <w:tabs>
          <w:tab w:val="left" w:pos="3993"/>
        </w:tabs>
        <w:spacing w:before="32" w:line="560" w:lineRule="exact"/>
        <w:ind w:firstLine="1080" w:firstLineChars="225"/>
        <w:jc w:val="center"/>
        <w:rPr>
          <w:rFonts w:ascii="黑体" w:eastAsia="黑体" w:cs="Times New Roman"/>
          <w:sz w:val="48"/>
          <w:szCs w:val="48"/>
        </w:rPr>
      </w:pPr>
    </w:p>
    <w:p>
      <w:pPr>
        <w:tabs>
          <w:tab w:val="left" w:pos="3993"/>
        </w:tabs>
        <w:spacing w:before="32" w:line="560" w:lineRule="exact"/>
        <w:ind w:firstLine="1080" w:firstLineChars="225"/>
        <w:jc w:val="center"/>
        <w:rPr>
          <w:rFonts w:ascii="黑体" w:eastAsia="黑体" w:cs="Times New Roman"/>
          <w:sz w:val="48"/>
          <w:szCs w:val="48"/>
        </w:rPr>
      </w:pPr>
    </w:p>
    <w:p>
      <w:pPr>
        <w:tabs>
          <w:tab w:val="left" w:pos="3993"/>
        </w:tabs>
        <w:spacing w:before="32" w:line="560" w:lineRule="exact"/>
        <w:ind w:firstLine="1080" w:firstLineChars="225"/>
        <w:jc w:val="center"/>
        <w:rPr>
          <w:rFonts w:ascii="黑体" w:eastAsia="黑体" w:cs="Times New Roman"/>
          <w:sz w:val="48"/>
          <w:szCs w:val="48"/>
        </w:rPr>
      </w:pPr>
    </w:p>
    <w:p>
      <w:pPr>
        <w:tabs>
          <w:tab w:val="left" w:pos="3993"/>
        </w:tabs>
        <w:spacing w:before="32" w:line="560" w:lineRule="exact"/>
        <w:ind w:firstLine="1080" w:firstLineChars="225"/>
        <w:jc w:val="center"/>
        <w:rPr>
          <w:rFonts w:ascii="黑体" w:eastAsia="黑体" w:cs="Times New Roman"/>
          <w:sz w:val="48"/>
          <w:szCs w:val="48"/>
        </w:rPr>
      </w:pPr>
    </w:p>
    <w:p>
      <w:pPr>
        <w:tabs>
          <w:tab w:val="left" w:pos="3993"/>
        </w:tabs>
        <w:spacing w:before="32" w:line="560" w:lineRule="exact"/>
        <w:jc w:val="center"/>
        <w:rPr>
          <w:rFonts w:ascii="黑体" w:eastAsia="黑体" w:cs="Times New Roman"/>
          <w:sz w:val="48"/>
          <w:szCs w:val="48"/>
        </w:rPr>
      </w:pPr>
    </w:p>
    <w:p>
      <w:pPr>
        <w:tabs>
          <w:tab w:val="left" w:pos="3993"/>
        </w:tabs>
        <w:spacing w:before="32" w:line="560" w:lineRule="exact"/>
        <w:ind w:firstLine="1080" w:firstLineChars="225"/>
        <w:jc w:val="center"/>
        <w:rPr>
          <w:rFonts w:cs="Times New Roman"/>
          <w:b/>
          <w:bCs/>
          <w:lang w:val="en-US"/>
        </w:rPr>
      </w:pPr>
      <w:r>
        <w:rPr>
          <w:rFonts w:hint="eastAsia" w:ascii="黑体" w:eastAsia="黑体" w:cs="黑体"/>
          <w:sz w:val="48"/>
          <w:szCs w:val="48"/>
        </w:rPr>
        <w:t>第</w:t>
      </w:r>
      <w:r>
        <w:rPr>
          <w:rFonts w:hint="eastAsia" w:ascii="黑体" w:eastAsia="黑体" w:cs="黑体"/>
          <w:sz w:val="48"/>
          <w:szCs w:val="48"/>
          <w:lang w:val="en-US"/>
        </w:rPr>
        <w:t>三</w:t>
      </w:r>
      <w:r>
        <w:rPr>
          <w:rFonts w:hint="eastAsia" w:ascii="黑体" w:eastAsia="黑体" w:cs="黑体"/>
          <w:sz w:val="48"/>
          <w:szCs w:val="48"/>
        </w:rPr>
        <w:t>部分名词解释</w:t>
      </w:r>
    </w:p>
    <w:p>
      <w:pPr>
        <w:pStyle w:val="2"/>
        <w:spacing w:before="2" w:line="560" w:lineRule="exact"/>
        <w:ind w:right="270" w:firstLine="642" w:firstLineChars="200"/>
        <w:jc w:val="both"/>
        <w:rPr>
          <w:rFonts w:cs="Times New Roman"/>
          <w:lang w:val="en-US"/>
        </w:rPr>
      </w:pPr>
      <w:r>
        <w:rPr>
          <w:rFonts w:hint="eastAsia"/>
          <w:b/>
          <w:bCs/>
          <w:lang w:val="en-US"/>
        </w:rPr>
        <w:t>一、财政拨款收入</w:t>
      </w:r>
      <w:r>
        <w:rPr>
          <w:rFonts w:hint="eastAsia"/>
          <w:lang w:val="en-US"/>
        </w:rPr>
        <w:t>：指省级财政当年拨付的资金。</w:t>
      </w:r>
    </w:p>
    <w:p>
      <w:pPr>
        <w:pStyle w:val="2"/>
        <w:spacing w:before="2" w:line="560" w:lineRule="exact"/>
        <w:ind w:right="270" w:firstLine="722" w:firstLineChars="225"/>
        <w:jc w:val="both"/>
        <w:rPr>
          <w:rFonts w:cs="Times New Roman"/>
          <w:lang w:val="en-US"/>
        </w:rPr>
      </w:pPr>
      <w:r>
        <w:rPr>
          <w:rFonts w:hint="eastAsia"/>
          <w:b/>
          <w:bCs/>
          <w:lang w:val="en-US"/>
        </w:rPr>
        <w:t>二、事业收入</w:t>
      </w:r>
      <w:r>
        <w:rPr>
          <w:rFonts w:hint="eastAsia"/>
          <w:lang w:val="en-US"/>
        </w:rPr>
        <w:t>：指事业单位开展专业活动及辅助活动所取得的收入。</w:t>
      </w:r>
    </w:p>
    <w:p>
      <w:pPr>
        <w:pStyle w:val="2"/>
        <w:spacing w:before="2" w:line="560" w:lineRule="exact"/>
        <w:ind w:right="270" w:firstLine="722" w:firstLineChars="225"/>
        <w:jc w:val="both"/>
        <w:rPr>
          <w:rFonts w:cs="Times New Roman"/>
          <w:lang w:val="en-US"/>
        </w:rPr>
      </w:pPr>
      <w:r>
        <w:rPr>
          <w:rFonts w:hint="eastAsia"/>
          <w:b/>
          <w:bCs/>
          <w:lang w:val="en-US"/>
        </w:rPr>
        <w:t>三、其他收入</w:t>
      </w:r>
      <w:r>
        <w:rPr>
          <w:rFonts w:hint="eastAsia"/>
          <w:lang w:val="en-US"/>
        </w:rPr>
        <w:t>：指部门取得的除“财政拨款”、“事业收入”、“事业单位经营收入”等以外的收入。</w:t>
      </w:r>
    </w:p>
    <w:p>
      <w:pPr>
        <w:pStyle w:val="2"/>
        <w:spacing w:before="2" w:line="560" w:lineRule="exact"/>
        <w:ind w:right="270" w:firstLine="722" w:firstLineChars="225"/>
        <w:jc w:val="both"/>
        <w:rPr>
          <w:rFonts w:cs="Times New Roman"/>
          <w:lang w:val="en-US"/>
        </w:rPr>
      </w:pPr>
      <w:r>
        <w:rPr>
          <w:rFonts w:hint="eastAsia"/>
          <w:b/>
          <w:bCs/>
          <w:lang w:val="en-US"/>
        </w:rPr>
        <w:t>四、年初结转和结余</w:t>
      </w:r>
      <w:r>
        <w:rPr>
          <w:rFonts w:hint="eastAsia"/>
          <w:lang w:val="en-US"/>
        </w:rPr>
        <w:t>：指以前年度尚未完成、结转到本年</w:t>
      </w:r>
    </w:p>
    <w:p>
      <w:pPr>
        <w:pStyle w:val="2"/>
        <w:spacing w:before="2" w:line="560" w:lineRule="exact"/>
        <w:ind w:right="270" w:firstLine="720" w:firstLineChars="225"/>
        <w:jc w:val="both"/>
        <w:rPr>
          <w:rFonts w:cs="Times New Roman"/>
          <w:lang w:val="en-US"/>
        </w:rPr>
      </w:pPr>
      <w:r>
        <w:rPr>
          <w:rFonts w:hint="eastAsia"/>
          <w:lang w:val="en-US"/>
        </w:rPr>
        <w:t>按有关规定继续使用的资金。</w:t>
      </w:r>
    </w:p>
    <w:p>
      <w:pPr>
        <w:pStyle w:val="2"/>
        <w:spacing w:before="2" w:line="560" w:lineRule="exact"/>
        <w:ind w:right="270" w:firstLine="722" w:firstLineChars="225"/>
        <w:jc w:val="both"/>
        <w:rPr>
          <w:rFonts w:cs="Times New Roman"/>
          <w:lang w:val="en-US"/>
        </w:rPr>
      </w:pPr>
      <w:r>
        <w:rPr>
          <w:rFonts w:hint="eastAsia"/>
          <w:b/>
          <w:bCs/>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p>
    <w:p>
      <w:pPr>
        <w:pStyle w:val="2"/>
        <w:spacing w:before="2" w:line="560" w:lineRule="exact"/>
        <w:ind w:right="270" w:firstLine="722" w:firstLineChars="225"/>
        <w:jc w:val="both"/>
        <w:rPr>
          <w:rFonts w:cs="Times New Roman"/>
          <w:lang w:val="en-US"/>
        </w:rPr>
      </w:pPr>
      <w:r>
        <w:rPr>
          <w:rFonts w:hint="eastAsia"/>
          <w:b/>
          <w:bCs/>
          <w:lang w:val="en-US"/>
        </w:rPr>
        <w:t>六、社会保障和就业（类）行政事业单位离退休（款）事业单位离退休（项）</w:t>
      </w:r>
      <w:r>
        <w:rPr>
          <w:rFonts w:hint="eastAsia"/>
          <w:lang w:val="en-US"/>
        </w:rPr>
        <w:t>：反映实行归口管理的事业单位开支的离退休经费。</w:t>
      </w:r>
    </w:p>
    <w:p>
      <w:pPr>
        <w:pStyle w:val="2"/>
        <w:spacing w:before="2" w:line="560" w:lineRule="exact"/>
        <w:ind w:right="270" w:firstLine="722" w:firstLineChars="225"/>
        <w:jc w:val="both"/>
        <w:rPr>
          <w:rFonts w:cs="Times New Roman"/>
          <w:b/>
          <w:bCs/>
          <w:lang w:val="en-US"/>
        </w:rPr>
      </w:pPr>
      <w:r>
        <w:rPr>
          <w:rFonts w:hint="eastAsia"/>
          <w:b/>
          <w:bCs/>
          <w:lang w:val="en-US"/>
        </w:rPr>
        <w:t>七、社会保障和就业（类）行政事业单位离退休（款）</w:t>
      </w:r>
    </w:p>
    <w:p>
      <w:pPr>
        <w:pStyle w:val="2"/>
        <w:spacing w:before="2" w:line="560" w:lineRule="exact"/>
        <w:ind w:right="270" w:firstLine="720" w:firstLineChars="225"/>
        <w:jc w:val="both"/>
        <w:rPr>
          <w:rFonts w:cs="Times New Roman"/>
          <w:lang w:val="en-US"/>
        </w:rPr>
      </w:pPr>
      <w:r>
        <w:rPr>
          <w:rFonts w:hint="eastAsia"/>
          <w:lang w:val="en-US"/>
        </w:rPr>
        <w:t>机关事业单位基本养老保险缴费支出（项）：反映机关事业单位实施养老保险制度由单位缴纳的基本养老保险费支出。</w:t>
      </w:r>
    </w:p>
    <w:p>
      <w:pPr>
        <w:pStyle w:val="2"/>
        <w:spacing w:before="2" w:line="560" w:lineRule="exact"/>
        <w:ind w:right="270" w:firstLine="722" w:firstLineChars="225"/>
        <w:jc w:val="both"/>
        <w:rPr>
          <w:rFonts w:cs="Times New Roman"/>
          <w:lang w:val="en-US"/>
        </w:rPr>
      </w:pPr>
      <w:r>
        <w:rPr>
          <w:rFonts w:hint="eastAsia"/>
          <w:b/>
          <w:bCs/>
          <w:lang w:val="en-US"/>
        </w:rPr>
        <w:t>八、社会保障和就业（类）抚恤（款）死亡抚恤（项）</w:t>
      </w:r>
      <w:r>
        <w:rPr>
          <w:rFonts w:hint="eastAsia"/>
          <w:lang w:val="en-US"/>
        </w:rPr>
        <w:t>：反映按规定用于烈士和牺牲、病故人员家属的一次性和定期抚恤金以及丧葬补助费。</w:t>
      </w:r>
    </w:p>
    <w:p>
      <w:pPr>
        <w:pStyle w:val="2"/>
        <w:spacing w:before="2" w:line="560" w:lineRule="exact"/>
        <w:ind w:right="270" w:firstLine="722" w:firstLineChars="225"/>
        <w:jc w:val="both"/>
        <w:rPr>
          <w:rFonts w:cs="Times New Roman"/>
          <w:b/>
          <w:bCs/>
          <w:lang w:val="en-US"/>
        </w:rPr>
      </w:pPr>
      <w:r>
        <w:rPr>
          <w:rFonts w:hint="eastAsia"/>
          <w:b/>
          <w:bCs/>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p>
    <w:p>
      <w:pPr>
        <w:pStyle w:val="2"/>
        <w:spacing w:before="2" w:line="560" w:lineRule="exact"/>
        <w:ind w:right="270" w:firstLine="722" w:firstLineChars="225"/>
        <w:jc w:val="both"/>
        <w:rPr>
          <w:rFonts w:cs="Times New Roman"/>
          <w:lang w:val="en-US"/>
        </w:rPr>
      </w:pPr>
      <w:r>
        <w:rPr>
          <w:rFonts w:hint="eastAsia"/>
          <w:b/>
          <w:bCs/>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p>
    <w:p>
      <w:pPr>
        <w:pStyle w:val="2"/>
        <w:spacing w:before="2" w:line="560" w:lineRule="exact"/>
        <w:ind w:right="270" w:firstLine="722" w:firstLineChars="225"/>
        <w:jc w:val="both"/>
        <w:rPr>
          <w:rFonts w:cs="Times New Roman"/>
          <w:lang w:val="en-US"/>
        </w:rPr>
      </w:pPr>
      <w:r>
        <w:rPr>
          <w:rFonts w:hint="eastAsia"/>
          <w:b/>
          <w:bCs/>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p>
    <w:p>
      <w:pPr>
        <w:pStyle w:val="2"/>
        <w:spacing w:before="2" w:line="560" w:lineRule="exact"/>
        <w:ind w:right="270" w:firstLine="722" w:firstLineChars="225"/>
        <w:jc w:val="both"/>
        <w:rPr>
          <w:rFonts w:cs="Times New Roman"/>
          <w:lang w:val="en-US"/>
        </w:rPr>
      </w:pPr>
      <w:r>
        <w:rPr>
          <w:rFonts w:hint="eastAsia"/>
          <w:b/>
          <w:bCs/>
          <w:lang w:val="en-US"/>
        </w:rPr>
        <w:t>十二、年末结转和结余：</w:t>
      </w:r>
      <w:r>
        <w:rPr>
          <w:rFonts w:hint="eastAsia"/>
          <w:lang w:val="en-US"/>
        </w:rPr>
        <w:t>指本年度或以前年度预算安排、因客观条件发生变化无法按原计划实施，需要延迟到以后年度按有关规定继续使用的资金。</w:t>
      </w:r>
    </w:p>
    <w:p>
      <w:pPr>
        <w:pStyle w:val="2"/>
        <w:spacing w:before="2" w:line="560" w:lineRule="exact"/>
        <w:ind w:right="270" w:firstLine="722" w:firstLineChars="225"/>
        <w:jc w:val="both"/>
        <w:rPr>
          <w:rFonts w:cs="Times New Roman"/>
          <w:lang w:val="en-US"/>
        </w:rPr>
      </w:pPr>
      <w:r>
        <w:rPr>
          <w:rFonts w:hint="eastAsia"/>
          <w:b/>
          <w:bCs/>
          <w:lang w:val="en-US"/>
        </w:rPr>
        <w:t>十三、基本支出</w:t>
      </w:r>
      <w:r>
        <w:rPr>
          <w:rFonts w:hint="eastAsia"/>
          <w:lang w:val="en-US"/>
        </w:rPr>
        <w:t>：指为保障机构正常运转、完成日常工作任务而发生的人员支出和公用支出。</w:t>
      </w:r>
    </w:p>
    <w:p>
      <w:pPr>
        <w:pStyle w:val="2"/>
        <w:spacing w:before="2" w:line="560" w:lineRule="exact"/>
        <w:ind w:right="270" w:firstLine="722" w:firstLineChars="225"/>
        <w:jc w:val="both"/>
        <w:rPr>
          <w:rFonts w:cs="Times New Roman"/>
          <w:lang w:val="en-US"/>
        </w:rPr>
      </w:pPr>
      <w:r>
        <w:rPr>
          <w:rFonts w:hint="eastAsia"/>
          <w:b/>
          <w:bCs/>
          <w:lang w:val="en-US"/>
        </w:rPr>
        <w:t>十四、项目支出：</w:t>
      </w:r>
      <w:r>
        <w:rPr>
          <w:rFonts w:hint="eastAsia"/>
          <w:lang w:val="en-US"/>
        </w:rPr>
        <w:t>指在基本支出之外为完成特定行政任务和事业发展目标所发生的支出。</w:t>
      </w:r>
    </w:p>
    <w:p>
      <w:pPr>
        <w:pStyle w:val="2"/>
        <w:spacing w:before="2" w:line="560" w:lineRule="exact"/>
        <w:ind w:right="270" w:firstLine="722" w:firstLineChars="225"/>
        <w:jc w:val="both"/>
        <w:rPr>
          <w:rFonts w:cs="Times New Roman"/>
          <w:lang w:val="en-US"/>
        </w:rPr>
      </w:pPr>
      <w:r>
        <w:rPr>
          <w:rFonts w:hint="eastAsia"/>
          <w:b/>
          <w:bCs/>
          <w:lang w:val="en-US"/>
        </w:rPr>
        <w:t>十五、“三公”经费</w:t>
      </w:r>
      <w:r>
        <w:rPr>
          <w:rFonts w:hint="eastAsia"/>
          <w:lang w:val="en-US"/>
        </w:rPr>
        <w:t>：指纳入省级财政预算管理，部门使</w:t>
      </w:r>
    </w:p>
    <w:p>
      <w:pPr>
        <w:pStyle w:val="2"/>
        <w:spacing w:before="2" w:line="560" w:lineRule="exact"/>
        <w:ind w:right="270" w:firstLine="720" w:firstLineChars="225"/>
        <w:jc w:val="both"/>
        <w:rPr>
          <w:rFonts w:cs="Times New Roman"/>
          <w:lang w:val="en-US"/>
        </w:rPr>
      </w:pPr>
      <w:r>
        <w:rPr>
          <w:rFonts w:hint="eastAsia"/>
          <w:lang w:val="en-US"/>
        </w:rPr>
        <w:t>用财政拨款安排的因公出国（境）费、公务用车购置及运行费和公务接待费。其中，因公出国（境）费反映单位公务出国（境）的住宿费、差旅费、伙食补助费、公杂费、培训费等支出；公务用车购置及运行费反映单位公务用车购置费及租用费、燃料费、维修费、过路过桥费、保险费、安全奖励费用等支出；公务接待费反映单位按规定开支的各类公务接待（含外宾接待）支出。</w:t>
      </w:r>
    </w:p>
    <w:p>
      <w:pPr>
        <w:pStyle w:val="2"/>
        <w:numPr>
          <w:ilvl w:val="0"/>
          <w:numId w:val="2"/>
        </w:numPr>
        <w:spacing w:before="2" w:line="560" w:lineRule="exact"/>
        <w:ind w:right="270" w:firstLine="722" w:firstLineChars="225"/>
        <w:jc w:val="both"/>
        <w:rPr>
          <w:rFonts w:cs="Times New Roman"/>
          <w:lang w:val="en-US"/>
        </w:rPr>
      </w:pPr>
      <w:r>
        <w:rPr>
          <w:rFonts w:hint="eastAsia"/>
          <w:b/>
          <w:bCs/>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pStyle w:val="2"/>
        <w:spacing w:before="2" w:line="520" w:lineRule="exact"/>
        <w:ind w:right="270"/>
        <w:jc w:val="both"/>
        <w:rPr>
          <w:rFonts w:cs="Times New Roman"/>
          <w:lang w:val="en-US"/>
        </w:rPr>
      </w:pPr>
    </w:p>
    <w:p>
      <w:pPr>
        <w:pStyle w:val="2"/>
        <w:tabs>
          <w:tab w:val="left" w:pos="2027"/>
        </w:tabs>
        <w:spacing w:line="406" w:lineRule="exact"/>
        <w:rPr>
          <w:rFonts w:ascii="黑体" w:eastAsia="黑体" w:cs="Times New Roman"/>
          <w:lang w:val="en-US"/>
        </w:rPr>
      </w:pPr>
      <w:r>
        <w:rPr>
          <w:rFonts w:hint="eastAsia" w:eastAsia="黑体" w:cs="黑体"/>
          <w:lang w:val="en-US"/>
        </w:rPr>
        <w:t>附件：</w:t>
      </w:r>
      <w:r>
        <w:rPr>
          <w:rFonts w:ascii="黑体" w:eastAsia="黑体" w:cs="黑体"/>
        </w:rPr>
        <w:t>2017</w:t>
      </w:r>
      <w:r>
        <w:rPr>
          <w:rFonts w:hint="eastAsia" w:ascii="黑体" w:eastAsia="黑体" w:cs="黑体"/>
        </w:rPr>
        <w:t>年度部门决算表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10" w:usb3="00000000" w:csb0="00040000" w:csb1="00000000"/>
  </w:font>
  <w:font w:name="仿宋">
    <w:altName w:val="方正仿宋_GBK"/>
    <w:panose1 w:val="00000000000000000000"/>
    <w:charset w:val="86"/>
    <w:family w:val="auto"/>
    <w:pitch w:val="default"/>
    <w:sig w:usb0="00000000" w:usb1="00000000" w:usb2="0000001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cs="Times New Roman"/>
      </w:rPr>
    </w:pPr>
    <w:r>
      <w:rPr>
        <w:lang w:val="en-US"/>
      </w:rPr>
      <w:pict>
        <v:shape id="_x0000_s2049" o:spid="_x0000_s2049" o:spt="202" type="#_x0000_t202" style="position:absolute;left:0pt;margin-top:0pt;height:144pt;width:144pt;mso-position-horizontal:center;mso-position-horizontal-relative:margin;mso-wrap-style:none;z-index:251658240;mso-width-relative:page;mso-height-relative:page;" filled="f" o:preferrelative="t" stroked="f" coordsize="21600,21600">
          <v:path/>
          <v:fill on="f" focussize="0,0"/>
          <v:stroke on="f" joinstyle="miter"/>
          <v:imagedata o:title=""/>
          <o:lock v:ext="edit"/>
          <v:textbox inset="0mm,0mm,0mm,0mm" style="mso-fit-shape-to-text:t;">
            <w:txbxContent>
              <w:p>
                <w:pPr>
                  <w:pStyle w:val="3"/>
                  <w:jc w:val="center"/>
                  <w:rPr>
                    <w:rFonts w:cs="Times New Roman"/>
                  </w:rPr>
                </w:pPr>
                <w:r>
                  <w:fldChar w:fldCharType="begin"/>
                </w:r>
                <w:r>
                  <w:instrText xml:space="preserve"> PAGE   \* MERGEFORMAT </w:instrText>
                </w:r>
                <w:r>
                  <w:fldChar w:fldCharType="separate"/>
                </w:r>
                <w:r>
                  <w:t>3</w:t>
                </w:r>
                <w:r>
                  <w:fldChar w:fldCharType="end"/>
                </w:r>
              </w:p>
              <w:p>
                <w:pPr>
                  <w:rPr>
                    <w:rFonts w:cs="Times New Roman"/>
                  </w:rPr>
                </w:pPr>
              </w:p>
            </w:txbxContent>
          </v:textbox>
        </v:shape>
      </w:pict>
    </w:r>
  </w:p>
  <w:p>
    <w:pPr>
      <w:pStyle w:val="2"/>
      <w:spacing w:line="14" w:lineRule="auto"/>
      <w:rPr>
        <w:rFonts w:cs="Times New Roman"/>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rFonts w:cs="Times New Roman"/>
        <w:sz w:val="20"/>
        <w:szCs w:val="20"/>
      </w:rPr>
    </w:pPr>
    <w:r>
      <w:rPr>
        <w:lang w:val="en-US"/>
      </w:rPr>
      <w:pict>
        <v:shape id="_x0000_s2050" o:spid="_x0000_s2050" o:spt="202" type="#_x0000_t202" style="position:absolute;left:0pt;margin-top:0pt;height:144pt;width:144pt;mso-position-horizontal:center;mso-position-horizontal-relative:margin;mso-wrap-style:none;z-index:251658240;mso-width-relative:page;mso-height-relative:page;" filled="f" o:preferrelative="t" stroked="f" coordsize="21600,21600">
          <v:path/>
          <v:fill on="f" focussize="0,0"/>
          <v:stroke on="f" joinstyle="miter"/>
          <v:imagedata o:title=""/>
          <o:lock v:ext="edit"/>
          <v:textbox inset="0mm,0mm,0mm,0mm" style="mso-fit-shape-to-text:t;">
            <w:txbxContent>
              <w:p>
                <w:pPr>
                  <w:pStyle w:val="3"/>
                  <w:rPr>
                    <w:rFonts w:cs="Times New Roman"/>
                  </w:rPr>
                </w:pPr>
                <w:r>
                  <w:fldChar w:fldCharType="begin"/>
                </w:r>
                <w:r>
                  <w:instrText xml:space="preserve"> PAGE  \* MERGEFORMAT </w:instrText>
                </w:r>
                <w:r>
                  <w:fldChar w:fldCharType="separate"/>
                </w:r>
                <w:r>
                  <w:t>11</w:t>
                </w:r>
                <w:r>
                  <w:fldChar w:fldCharType="end"/>
                </w:r>
              </w:p>
            </w:txbxContent>
          </v:textbox>
        </v:shape>
      </w:pict>
    </w:r>
    <w:r>
      <w:rPr>
        <w:lang w:val="en-US"/>
      </w:rPr>
      <w:pict>
        <v:shape id="_x0000_s2051" o:spid="_x0000_s2051" o:spt="202" type="#_x0000_t202" style="position:absolute;left:0pt;margin-left:289.15pt;margin-top:794.7pt;height:12pt;width:17.1pt;mso-position-horizontal-relative:page;mso-position-vertical-relative:page;z-index:-251659264;mso-width-relative:page;mso-height-relative:page;" filled="f" o:preferrelative="t" stroked="f" coordsize="21600,21600">
          <v:path/>
          <v:fill on="f" focussize="0,0"/>
          <v:stroke on="f" joinstyle="miter"/>
          <v:imagedata o:title=""/>
          <o:lock v:ext="edit"/>
          <v:textbox inset="0mm,0mm,0mm,0mm">
            <w:txbxContent>
              <w:p>
                <w:pPr>
                  <w:spacing w:before="12"/>
                  <w:rPr>
                    <w:rFonts w:ascii="Times New Roman" w:cs="Times New Roman"/>
                    <w:sz w:val="18"/>
                    <w:szCs w:val="18"/>
                  </w:rPr>
                </w:pP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0359FC"/>
    <w:multiLevelType w:val="singleLevel"/>
    <w:tmpl w:val="4D0359FC"/>
    <w:lvl w:ilvl="0" w:tentative="0">
      <w:start w:val="16"/>
      <w:numFmt w:val="chineseCounting"/>
      <w:suff w:val="nothing"/>
      <w:lvlText w:val="%1、"/>
      <w:lvlJc w:val="left"/>
      <w:rPr>
        <w:rFonts w:hint="eastAsia"/>
      </w:rPr>
    </w:lvl>
  </w:abstractNum>
  <w:abstractNum w:abstractNumId="1">
    <w:nsid w:val="51DF162C"/>
    <w:multiLevelType w:val="singleLevel"/>
    <w:tmpl w:val="51DF162C"/>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720"/>
  <w:doNotHyphenateCaps/>
  <w:drawingGridHorizontalSpacing w:val="110"/>
  <w:displayHorizontalDrawingGridEvery w:val="2"/>
  <w:characterSpacingControl w:val="doNotCompress"/>
  <w:noLineBreaksAfter w:lang="zh-CN" w:val="$([{£¥·‘“〈《「『【〔〖〝﹙﹛﹝＄（．［｛￡￥"/>
  <w:noLineBreaksBefore w:lang="zh-CN" w:val="!%),.:;&gt;?]}¢¨°·ˇˉ―‖’”…‰′″›℃∶、。〃〉》」』】〕〗〞︶︺︾﹀﹄﹚﹜﹞！＂％＇），．：；？］｀｜｝～￠"/>
  <w:doNotValidateAgainstSchema/>
  <w:doNotDemarcateInvalidXml/>
  <w:hdrShapeDefaults>
    <o:shapelayout v:ext="edit">
      <o:idmap v:ext="edit" data="2"/>
    </o:shapelayout>
  </w:hdrShapeDefaults>
  <w:compat>
    <w:spaceForUL/>
    <w:doNotLeaveBackslashAlone/>
    <w:ulTrailSpace/>
    <w:doNotExpandShiftReturn/>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A3E53"/>
    <w:rsid w:val="001C7F7A"/>
    <w:rsid w:val="00515684"/>
    <w:rsid w:val="00677E70"/>
    <w:rsid w:val="00787A96"/>
    <w:rsid w:val="007F0AF2"/>
    <w:rsid w:val="00882117"/>
    <w:rsid w:val="009A3E53"/>
    <w:rsid w:val="00C448B1"/>
    <w:rsid w:val="00F25B02"/>
    <w:rsid w:val="00F6255F"/>
    <w:rsid w:val="7D6B7064"/>
    <w:rsid w:val="F65CDF8B"/>
    <w:rsid w:val="FB6787D8"/>
    <w:rsid w:val="FCFFFAA1"/>
    <w:rsid w:val="FDFFCE3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qFormat="1" w:unhideWhenUsed="0" w:uiPriority="99" w:semiHidden="0" w:name="Body Text"/>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qFormat="1" w:unhideWhenUsed="0" w:uiPriority="99" w:semiHidden="0" w:name="FollowedHyperlink"/>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仿宋_GB2312" w:hAnsi="仿宋_GB2312" w:eastAsia="仿宋_GB2312" w:cs="仿宋_GB2312"/>
      <w:kern w:val="0"/>
      <w:sz w:val="22"/>
      <w:szCs w:val="22"/>
      <w:lang w:val="zh-CN" w:eastAsia="zh-CN" w:bidi="ar-SA"/>
    </w:rPr>
  </w:style>
  <w:style w:type="character" w:default="1" w:styleId="6">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8"/>
    <w:qFormat/>
    <w:uiPriority w:val="99"/>
    <w:rPr>
      <w:sz w:val="32"/>
      <w:szCs w:val="32"/>
    </w:rPr>
  </w:style>
  <w:style w:type="paragraph" w:styleId="3">
    <w:name w:val="footer"/>
    <w:basedOn w:val="1"/>
    <w:link w:val="11"/>
    <w:qFormat/>
    <w:uiPriority w:val="99"/>
    <w:pPr>
      <w:tabs>
        <w:tab w:val="center" w:pos="4153"/>
        <w:tab w:val="right" w:pos="8306"/>
      </w:tabs>
      <w:snapToGrid w:val="0"/>
    </w:pPr>
    <w:rPr>
      <w:sz w:val="18"/>
      <w:szCs w:val="18"/>
    </w:rPr>
  </w:style>
  <w:style w:type="paragraph" w:styleId="4">
    <w:name w:val="header"/>
    <w:basedOn w:val="1"/>
    <w:link w:val="12"/>
    <w:qFormat/>
    <w:uiPriority w:val="99"/>
    <w:pPr>
      <w:pBdr>
        <w:bottom w:val="single" w:color="auto" w:sz="6" w:space="1"/>
      </w:pBdr>
      <w:tabs>
        <w:tab w:val="center" w:pos="4153"/>
        <w:tab w:val="right" w:pos="8306"/>
      </w:tabs>
      <w:snapToGrid w:val="0"/>
      <w:jc w:val="center"/>
    </w:pPr>
    <w:rPr>
      <w:sz w:val="18"/>
      <w:szCs w:val="18"/>
    </w:rPr>
  </w:style>
  <w:style w:type="character" w:styleId="7">
    <w:name w:val="FollowedHyperlink"/>
    <w:basedOn w:val="6"/>
    <w:qFormat/>
    <w:uiPriority w:val="99"/>
    <w:rPr>
      <w:color w:val="800080"/>
      <w:u w:val="single"/>
    </w:rPr>
  </w:style>
  <w:style w:type="character" w:customStyle="1" w:styleId="8">
    <w:name w:val="Body Text Char"/>
    <w:basedOn w:val="6"/>
    <w:link w:val="2"/>
    <w:semiHidden/>
    <w:qFormat/>
    <w:locked/>
    <w:uiPriority w:val="99"/>
    <w:rPr>
      <w:rFonts w:ascii="仿宋_GB2312" w:hAnsi="仿宋_GB2312" w:eastAsia="仿宋_GB2312" w:cs="仿宋_GB2312"/>
      <w:kern w:val="0"/>
      <w:sz w:val="22"/>
      <w:szCs w:val="22"/>
      <w:lang w:val="zh-CN"/>
    </w:rPr>
  </w:style>
  <w:style w:type="character" w:customStyle="1" w:styleId="9">
    <w:name w:val="批注框文本 Char"/>
    <w:basedOn w:val="6"/>
    <w:link w:val="10"/>
    <w:semiHidden/>
    <w:qFormat/>
    <w:locked/>
    <w:uiPriority w:val="99"/>
    <w:rPr>
      <w:rFonts w:ascii="仿宋_GB2312" w:hAnsi="仿宋_GB2312" w:eastAsia="仿宋_GB2312" w:cs="仿宋_GB2312"/>
      <w:sz w:val="18"/>
      <w:szCs w:val="18"/>
      <w:lang w:val="zh-CN"/>
    </w:rPr>
  </w:style>
  <w:style w:type="paragraph" w:customStyle="1" w:styleId="10">
    <w:name w:val="批注框文本1"/>
    <w:basedOn w:val="1"/>
    <w:link w:val="9"/>
    <w:qFormat/>
    <w:uiPriority w:val="99"/>
    <w:rPr>
      <w:sz w:val="18"/>
      <w:szCs w:val="18"/>
    </w:rPr>
  </w:style>
  <w:style w:type="character" w:customStyle="1" w:styleId="11">
    <w:name w:val="Footer Char"/>
    <w:basedOn w:val="6"/>
    <w:link w:val="3"/>
    <w:qFormat/>
    <w:locked/>
    <w:uiPriority w:val="99"/>
    <w:rPr>
      <w:rFonts w:ascii="仿宋_GB2312" w:hAnsi="仿宋_GB2312" w:eastAsia="仿宋_GB2312" w:cs="仿宋_GB2312"/>
      <w:sz w:val="18"/>
      <w:szCs w:val="18"/>
      <w:lang w:val="zh-CN" w:eastAsia="zh-CN"/>
    </w:rPr>
  </w:style>
  <w:style w:type="character" w:customStyle="1" w:styleId="12">
    <w:name w:val="Header Char"/>
    <w:basedOn w:val="6"/>
    <w:link w:val="4"/>
    <w:qFormat/>
    <w:locked/>
    <w:uiPriority w:val="99"/>
    <w:rPr>
      <w:rFonts w:ascii="仿宋_GB2312" w:hAnsi="仿宋_GB2312" w:eastAsia="仿宋_GB2312" w:cs="仿宋_GB2312"/>
      <w:sz w:val="18"/>
      <w:szCs w:val="18"/>
      <w:lang w:val="zh-CN" w:eastAsia="zh-CN"/>
    </w:rPr>
  </w:style>
  <w:style w:type="paragraph" w:customStyle="1" w:styleId="13">
    <w:name w:val="Normal (Web)1"/>
    <w:basedOn w:val="1"/>
    <w:qFormat/>
    <w:uiPriority w:val="99"/>
    <w:pPr>
      <w:widowControl/>
      <w:spacing w:before="100" w:beforeAutospacing="1" w:after="100" w:afterAutospacing="1"/>
    </w:pPr>
    <w:rPr>
      <w:rFonts w:ascii="宋体" w:hAnsi="宋体" w:eastAsia="宋体" w:cs="宋体"/>
      <w:sz w:val="24"/>
      <w:szCs w:val="24"/>
      <w:lang w:val="en-US"/>
    </w:rPr>
  </w:style>
  <w:style w:type="paragraph" w:customStyle="1" w:styleId="14">
    <w:name w:val="标题 11"/>
    <w:basedOn w:val="1"/>
    <w:qFormat/>
    <w:uiPriority w:val="99"/>
    <w:pPr>
      <w:spacing w:before="27"/>
      <w:ind w:left="2273" w:right="2175"/>
      <w:jc w:val="center"/>
      <w:outlineLvl w:val="1"/>
    </w:pPr>
    <w:rPr>
      <w:rFonts w:ascii="黑体" w:hAnsi="黑体" w:eastAsia="黑体" w:cs="黑体"/>
      <w:sz w:val="52"/>
      <w:szCs w:val="52"/>
    </w:rPr>
  </w:style>
  <w:style w:type="paragraph" w:customStyle="1" w:styleId="15">
    <w:name w:val="List Paragraph1"/>
    <w:basedOn w:val="1"/>
    <w:qFormat/>
    <w:uiPriority w:val="99"/>
  </w:style>
  <w:style w:type="paragraph" w:customStyle="1" w:styleId="16">
    <w:name w:val="Table Paragraph"/>
    <w:basedOn w:val="1"/>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Info spid="_x0000_s2050"/>
    <customShpInfo spid="_x0000_s205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14</Pages>
  <Words>713</Words>
  <Characters>4070</Characters>
  <Lines>0</Lines>
  <Paragraphs>0</Paragraphs>
  <TotalTime>4</TotalTime>
  <ScaleCrop>false</ScaleCrop>
  <LinksUpToDate>false</LinksUpToDate>
  <CharactersWithSpaces>0</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2018-09-07T00:10:00Z</dcterms:created>
  <dc:creator>Administrator</dc:creator>
  <cp:lastModifiedBy>greatwall</cp:lastModifiedBy>
  <cp:lastPrinted>2019-01-30T15:55:00Z</cp:lastPrinted>
  <dcterms:modified xsi:type="dcterms:W3CDTF">2023-01-17T09:36:32Z</dcterms:modified>
  <dc:title>&lt;4D6963726F736F667420576F7264202D20BAD3C4CFCAA1B2C6D5FECCFC32303137C4EABEF6CBE3B9ABBFAACBB5C3F7205F382E3238B2CCD6F7C8CEB8C45F&gt;</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PScript5.dll Version 5.2</vt:lpwstr>
  </property>
  <property fmtid="{D5CDD505-2E9C-101B-9397-08002B2CF9AE}" pid="3" name="KSOProductBuildVer">
    <vt:lpwstr>2052-11.8.2.10489</vt:lpwstr>
  </property>
</Properties>
</file>