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13"/>
        <w:ind w:left="-708" w:leftChars="-322" w:right="-63"/>
        <w:rPr>
          <w:rFonts w:hint="eastAsia" w:eastAsia="黑体"/>
          <w:lang w:eastAsia="zh-CN"/>
        </w:rPr>
      </w:pPr>
      <w:r>
        <w:rPr>
          <w:rFonts w:hint="eastAsia"/>
          <w:lang w:eastAsia="zh-CN"/>
        </w:rPr>
        <w:t>西华县文联</w:t>
      </w:r>
    </w:p>
    <w:p>
      <w:pPr>
        <w:spacing w:before="285"/>
        <w:ind w:left="2273" w:right="-63"/>
        <w:rPr>
          <w:rFonts w:ascii="黑体" w:eastAsia="黑体"/>
          <w:sz w:val="52"/>
        </w:rPr>
      </w:pPr>
      <w:r>
        <w:rPr>
          <w:rFonts w:hint="eastAsia" w:ascii="黑体" w:eastAsia="黑体"/>
          <w:sz w:val="52"/>
        </w:rPr>
        <w:t>2017 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eastAsia="zh-CN"/>
        </w:rPr>
        <w:t>八</w:t>
      </w:r>
      <w:r>
        <w:rPr>
          <w:rFonts w:hint="eastAsia" w:ascii="黑体" w:eastAsia="黑体"/>
        </w:rPr>
        <w:t>月</w:t>
      </w:r>
    </w:p>
    <w:p>
      <w:pPr>
        <w:jc w:val="cente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    录</w:t>
      </w:r>
    </w:p>
    <w:p>
      <w:pPr>
        <w:pStyle w:val="2"/>
        <w:tabs>
          <w:tab w:val="left" w:pos="2027"/>
        </w:tabs>
        <w:spacing w:before="198"/>
        <w:ind w:left="108" w:leftChars="49" w:firstLine="640" w:firstLineChars="200"/>
        <w:rPr>
          <w:rFonts w:ascii="黑体" w:eastAsia="黑体"/>
        </w:rPr>
      </w:pPr>
      <w:r>
        <w:rPr>
          <w:rFonts w:hint="eastAsia" w:ascii="黑体" w:eastAsia="黑体"/>
        </w:rPr>
        <w:t xml:space="preserve">第一部分 </w:t>
      </w:r>
      <w:r>
        <w:rPr>
          <w:rFonts w:hint="eastAsia" w:ascii="黑体" w:eastAsia="黑体"/>
          <w:lang w:eastAsia="zh-CN"/>
        </w:rPr>
        <w:t>西华县文联</w:t>
      </w:r>
      <w:r>
        <w:rPr>
          <w:rFonts w:hint="eastAsia" w:ascii="黑体" w:eastAsia="黑体"/>
        </w:rPr>
        <w:t>概况</w:t>
      </w:r>
    </w:p>
    <w:p>
      <w:pPr>
        <w:pStyle w:val="2"/>
        <w:spacing w:before="225" w:line="372" w:lineRule="auto"/>
        <w:ind w:left="747" w:right="6233"/>
        <w:rPr>
          <w:rFonts w:ascii="宋体" w:eastAsia="宋体"/>
        </w:rPr>
      </w:pPr>
      <w:r>
        <w:rPr>
          <w:rFonts w:hint="eastAsia" w:ascii="宋体" w:eastAsia="宋体"/>
        </w:rPr>
        <w:t>一、部门职责二、机构设置</w:t>
      </w:r>
    </w:p>
    <w:p>
      <w:pPr>
        <w:pStyle w:val="2"/>
        <w:tabs>
          <w:tab w:val="left" w:pos="2026"/>
        </w:tabs>
        <w:spacing w:line="406"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2"/>
        <w:spacing w:before="225" w:line="372" w:lineRule="auto"/>
        <w:ind w:left="747" w:right="3675"/>
        <w:rPr>
          <w:rFonts w:ascii="宋体" w:eastAsia="宋体"/>
        </w:rPr>
      </w:pPr>
      <w:r>
        <w:rPr>
          <w:rFonts w:hint="eastAsia" w:ascii="宋体" w:eastAsia="宋体"/>
          <w:spacing w:val="-1"/>
        </w:rPr>
        <w:t>一、收入支出决算总体情况说明二、收入决算情况说明</w:t>
      </w:r>
    </w:p>
    <w:p>
      <w:pPr>
        <w:pStyle w:val="2"/>
        <w:spacing w:line="406" w:lineRule="exact"/>
        <w:ind w:left="747"/>
        <w:rPr>
          <w:rFonts w:ascii="宋体" w:eastAsia="宋体"/>
        </w:rPr>
      </w:pPr>
      <w:r>
        <w:rPr>
          <w:rFonts w:hint="eastAsia" w:ascii="宋体" w:eastAsia="宋体"/>
          <w:spacing w:val="-1"/>
        </w:rPr>
        <w:t>三、支出决算情况说明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ascii="宋体" w:eastAsia="宋体"/>
        </w:rPr>
      </w:pPr>
      <w:r>
        <w:rPr>
          <w:rFonts w:hint="eastAsia" w:ascii="宋体" w:eastAsia="宋体"/>
        </w:rPr>
        <w:t>四、财政拨款收入支出决算总体情况说明</w:t>
      </w:r>
    </w:p>
    <w:p>
      <w:pPr>
        <w:pStyle w:val="2"/>
        <w:keepNext w:val="0"/>
        <w:keepLines w:val="0"/>
        <w:pageBreakBefore w:val="0"/>
        <w:widowControl w:val="0"/>
        <w:kinsoku/>
        <w:wordWrap/>
        <w:overflowPunct/>
        <w:topLinePunct w:val="0"/>
        <w:autoSpaceDE w:val="0"/>
        <w:autoSpaceDN w:val="0"/>
        <w:bidi w:val="0"/>
        <w:adjustRightInd/>
        <w:snapToGrid/>
        <w:spacing w:before="224" w:line="360" w:lineRule="auto"/>
        <w:ind w:left="747"/>
        <w:textAlignment w:val="auto"/>
        <w:rPr>
          <w:rFonts w:ascii="宋体" w:eastAsia="宋体"/>
        </w:rPr>
      </w:pPr>
      <w:r>
        <w:rPr>
          <w:rFonts w:hint="eastAsia" w:ascii="宋体" w:eastAsia="宋体"/>
        </w:rPr>
        <w:t>五、一般公共预算财政拨款支出决算情况说明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747"/>
        <w:textAlignment w:val="auto"/>
        <w:rPr>
          <w:rFonts w:ascii="宋体" w:eastAsia="宋体"/>
        </w:rPr>
      </w:pPr>
      <w:r>
        <w:rPr>
          <w:rFonts w:hint="eastAsia" w:ascii="宋体" w:eastAsia="宋体"/>
        </w:rPr>
        <w:t>六、一般公共预算财政拨款基本支出决算情况说明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hAnsi="宋体" w:eastAsia="宋体"/>
          <w:spacing w:val="-20"/>
          <w:lang w:val="en-US" w:eastAsia="zh-CN"/>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eastAsia="zh-CN"/>
        </w:rPr>
        <w:t>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hAnsi="宋体" w:eastAsia="宋体"/>
          <w:color w:val="FF0000"/>
          <w:spacing w:val="-20"/>
          <w:lang w:val="en-US" w:eastAsia="zh-CN"/>
        </w:rPr>
      </w:pPr>
      <w:r>
        <w:rPr>
          <w:rFonts w:hint="eastAsia" w:ascii="宋体" w:hAnsi="宋体" w:eastAsia="宋体"/>
          <w:color w:val="FF0000"/>
          <w:spacing w:val="-20"/>
          <w:lang w:val="en-US" w:eastAsia="zh-CN"/>
        </w:rPr>
        <w:t>八、重点绩效评价结果等预算绩效情况说明</w:t>
      </w:r>
    </w:p>
    <w:p>
      <w:pPr>
        <w:pStyle w:val="2"/>
        <w:spacing w:line="372" w:lineRule="auto"/>
        <w:ind w:left="747" w:right="3994"/>
        <w:rPr>
          <w:rFonts w:hint="eastAsia" w:ascii="宋体" w:eastAsia="宋体"/>
        </w:rPr>
      </w:pPr>
      <w:r>
        <w:rPr>
          <w:rFonts w:hint="eastAsia" w:ascii="宋体" w:eastAsia="宋体"/>
        </w:rPr>
        <w:t>九、政府性基金预算财政拨款支出决算情况说明十、机关运行经费支出情况说明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747" w:right="1434"/>
        <w:textAlignment w:val="auto"/>
        <w:rPr>
          <w:rFonts w:hint="eastAsia" w:ascii="宋体" w:hAnsi="宋体" w:eastAsia="宋体"/>
          <w:spacing w:val="-20"/>
          <w:lang w:val="en-US" w:eastAsia="zh-CN"/>
        </w:rPr>
        <w:sectPr>
          <w:pgSz w:w="11910" w:h="16840"/>
          <w:pgMar w:top="1500" w:right="1520" w:bottom="1180" w:left="1480" w:header="0" w:footer="999" w:gutter="0"/>
          <w:cols w:space="720" w:num="1"/>
        </w:sectPr>
      </w:pPr>
      <w:r>
        <w:rPr>
          <w:rFonts w:hint="eastAsia" w:ascii="宋体" w:eastAsia="宋体"/>
        </w:rPr>
        <w:t>十一、政府采购支出情况说明十二、国有资产占用情况说明</w:t>
      </w:r>
    </w:p>
    <w:p>
      <w:pPr>
        <w:pStyle w:val="2"/>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三</w:t>
      </w:r>
      <w:r>
        <w:rPr>
          <w:rFonts w:hint="eastAsia" w:ascii="黑体" w:eastAsia="黑体"/>
        </w:rPr>
        <w:t>部分</w:t>
      </w:r>
      <w:r>
        <w:rPr>
          <w:rFonts w:hint="eastAsia" w:ascii="黑体" w:eastAsia="黑体"/>
        </w:rPr>
        <w:tab/>
      </w:r>
      <w:r>
        <w:rPr>
          <w:rFonts w:hint="eastAsia" w:ascii="黑体" w:eastAsia="黑体"/>
        </w:rPr>
        <w:t>名词解释</w:t>
      </w:r>
    </w:p>
    <w:p>
      <w:pPr>
        <w:pStyle w:val="2"/>
        <w:tabs>
          <w:tab w:val="left" w:pos="2027"/>
        </w:tabs>
        <w:spacing w:line="406" w:lineRule="exact"/>
        <w:ind w:left="108" w:leftChars="49" w:firstLine="640" w:firstLineChars="200"/>
        <w:rPr>
          <w:rFonts w:hint="eastAsia" w:eastAsia="黑体"/>
          <w:lang w:val="en-US" w:eastAsia="zh-CN"/>
        </w:rPr>
      </w:pPr>
    </w:p>
    <w:p>
      <w:pPr>
        <w:pStyle w:val="2"/>
        <w:tabs>
          <w:tab w:val="left" w:pos="2027"/>
        </w:tabs>
        <w:spacing w:line="406" w:lineRule="exact"/>
        <w:ind w:left="108" w:leftChars="49" w:firstLine="640" w:firstLineChars="200"/>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spacing w:before="2"/>
        <w:rPr>
          <w:rFonts w:ascii="黑体"/>
          <w:sz w:val="26"/>
        </w:rPr>
      </w:pPr>
    </w:p>
    <w:p>
      <w:pPr>
        <w:tabs>
          <w:tab w:val="left" w:pos="3993"/>
        </w:tabs>
        <w:spacing w:before="32"/>
        <w:jc w:val="center"/>
        <w:rPr>
          <w:rFonts w:ascii="黑体" w:eastAsia="黑体"/>
          <w:sz w:val="48"/>
        </w:rPr>
      </w:pPr>
      <w:r>
        <w:rPr>
          <w:rFonts w:hint="eastAsia" w:ascii="黑体" w:eastAsia="黑体"/>
          <w:sz w:val="48"/>
        </w:rPr>
        <w:t>第一部分</w:t>
      </w:r>
    </w:p>
    <w:p>
      <w:pPr>
        <w:tabs>
          <w:tab w:val="left" w:pos="3993"/>
        </w:tabs>
        <w:spacing w:before="32"/>
        <w:jc w:val="center"/>
        <w:rPr>
          <w:rFonts w:ascii="黑体" w:eastAsia="黑体"/>
          <w:sz w:val="48"/>
        </w:rPr>
      </w:pPr>
      <w:r>
        <w:rPr>
          <w:rFonts w:hint="eastAsia" w:ascii="黑体" w:eastAsia="黑体"/>
          <w:sz w:val="48"/>
          <w:lang w:eastAsia="zh-CN"/>
        </w:rPr>
        <w:t>西华县文联</w:t>
      </w:r>
      <w:r>
        <w:rPr>
          <w:rFonts w:hint="eastAsia" w:ascii="黑体" w:eastAsia="黑体"/>
          <w:sz w:val="48"/>
        </w:rPr>
        <w:t>概况</w:t>
      </w:r>
    </w:p>
    <w:p>
      <w:pPr>
        <w:sectPr>
          <w:footerReference r:id="rId4" w:type="default"/>
          <w:pgSz w:w="11910" w:h="16840"/>
          <w:pgMar w:top="1600" w:right="1520" w:bottom="920" w:left="1480" w:header="0" w:footer="726" w:gutter="0"/>
          <w:pgNumType w:start="1"/>
          <w:cols w:space="720" w:num="1"/>
        </w:sectPr>
      </w:pPr>
    </w:p>
    <w:p>
      <w:pPr>
        <w:pStyle w:val="2"/>
        <w:spacing w:before="26"/>
        <w:ind w:left="957"/>
        <w:rPr>
          <w:rFonts w:ascii="黑体" w:eastAsia="黑体"/>
          <w:u w:val="none"/>
        </w:rPr>
      </w:pPr>
      <w:r>
        <w:rPr>
          <w:rFonts w:hint="eastAsia" w:ascii="黑体" w:eastAsia="黑体"/>
          <w:u w:val="none"/>
        </w:rPr>
        <w:t>一、部门职责</w:t>
      </w:r>
    </w:p>
    <w:p>
      <w:pPr>
        <w:ind w:firstLine="640" w:firstLineChars="200"/>
        <w:rPr>
          <w:rFonts w:ascii="仿宋" w:hAnsi="仿宋" w:eastAsia="仿宋"/>
          <w:sz w:val="32"/>
          <w:szCs w:val="32"/>
        </w:rPr>
      </w:pPr>
      <w:r>
        <w:rPr>
          <w:rFonts w:hint="eastAsia" w:ascii="仿宋" w:hAnsi="仿宋" w:eastAsia="仿宋"/>
          <w:sz w:val="32"/>
          <w:szCs w:val="32"/>
        </w:rPr>
        <w:t>根据《文联章程》规定，西华县文联依法履行下列职能职责：</w:t>
      </w:r>
    </w:p>
    <w:p>
      <w:pPr>
        <w:ind w:firstLine="640" w:firstLineChars="200"/>
        <w:rPr>
          <w:rFonts w:ascii="仿宋" w:hAnsi="仿宋" w:eastAsia="仿宋"/>
          <w:sz w:val="32"/>
          <w:szCs w:val="32"/>
        </w:rPr>
      </w:pPr>
      <w:r>
        <w:rPr>
          <w:rFonts w:hint="eastAsia" w:ascii="仿宋" w:hAnsi="仿宋" w:eastAsia="仿宋"/>
          <w:sz w:val="32"/>
          <w:szCs w:val="32"/>
        </w:rPr>
        <w:t>①贯彻落实党的文艺工作方针，开展同各文艺家协会和广大文艺工作者的联络、协调、指导、服务工作，听取和反映文艺界的情况和意见。</w:t>
      </w:r>
    </w:p>
    <w:p>
      <w:pPr>
        <w:ind w:firstLine="640" w:firstLineChars="200"/>
        <w:rPr>
          <w:rFonts w:ascii="仿宋" w:hAnsi="仿宋" w:eastAsia="仿宋"/>
          <w:sz w:val="32"/>
          <w:szCs w:val="32"/>
        </w:rPr>
      </w:pPr>
      <w:r>
        <w:rPr>
          <w:rFonts w:hint="eastAsia" w:ascii="仿宋" w:hAnsi="仿宋" w:eastAsia="仿宋"/>
          <w:sz w:val="32"/>
          <w:szCs w:val="32"/>
        </w:rPr>
        <w:t>②组织团体、个人会员的文艺创作和评论，学术交流，人才培训；研究文艺动态，掌握创作方向；协同有关部门组织相关艺术活动的评奖。</w:t>
      </w:r>
    </w:p>
    <w:p>
      <w:pPr>
        <w:ind w:firstLine="640" w:firstLineChars="200"/>
        <w:rPr>
          <w:rFonts w:ascii="仿宋" w:hAnsi="仿宋" w:eastAsia="仿宋"/>
          <w:sz w:val="32"/>
          <w:szCs w:val="32"/>
        </w:rPr>
      </w:pPr>
      <w:r>
        <w:rPr>
          <w:rFonts w:hint="eastAsia" w:ascii="仿宋" w:hAnsi="仿宋" w:eastAsia="仿宋"/>
          <w:sz w:val="32"/>
          <w:szCs w:val="32"/>
        </w:rPr>
        <w:t>③协同有关部门联系、组织开展文化交流。</w:t>
      </w:r>
    </w:p>
    <w:p>
      <w:pPr>
        <w:ind w:firstLine="640" w:firstLineChars="200"/>
        <w:rPr>
          <w:rFonts w:ascii="仿宋" w:hAnsi="仿宋" w:eastAsia="仿宋"/>
          <w:sz w:val="32"/>
          <w:szCs w:val="32"/>
        </w:rPr>
      </w:pPr>
      <w:r>
        <w:rPr>
          <w:rFonts w:hint="eastAsia" w:ascii="仿宋" w:hAnsi="仿宋" w:eastAsia="仿宋"/>
          <w:sz w:val="32"/>
          <w:szCs w:val="32"/>
        </w:rPr>
        <w:t>④开展维护文艺家和文艺团体知识产权等合法权益的工作。</w:t>
      </w:r>
    </w:p>
    <w:p>
      <w:pPr>
        <w:ind w:firstLine="640" w:firstLineChars="200"/>
        <w:rPr>
          <w:rFonts w:ascii="仿宋" w:hAnsi="仿宋" w:eastAsia="仿宋"/>
          <w:sz w:val="32"/>
          <w:szCs w:val="32"/>
        </w:rPr>
      </w:pPr>
      <w:r>
        <w:rPr>
          <w:rFonts w:hint="eastAsia" w:ascii="仿宋" w:hAnsi="仿宋" w:eastAsia="仿宋"/>
          <w:sz w:val="32"/>
          <w:szCs w:val="32"/>
        </w:rPr>
        <w:t>⑤主办县级文艺刊物，指导各乡镇、系统主办的文艺刊物。</w:t>
      </w:r>
    </w:p>
    <w:p>
      <w:pPr>
        <w:ind w:firstLine="640" w:firstLineChars="200"/>
        <w:rPr>
          <w:rFonts w:ascii="仿宋" w:hAnsi="仿宋" w:eastAsia="仿宋"/>
          <w:sz w:val="32"/>
          <w:szCs w:val="32"/>
        </w:rPr>
      </w:pPr>
      <w:r>
        <w:rPr>
          <w:rFonts w:hint="eastAsia" w:ascii="仿宋" w:hAnsi="仿宋" w:eastAsia="仿宋"/>
          <w:sz w:val="32"/>
          <w:szCs w:val="32"/>
        </w:rPr>
        <w:t>⑥组织召开县文联和各文艺家协会代表大会；组织召开文联系统的工作会议和学术研讨会。</w:t>
      </w:r>
    </w:p>
    <w:p>
      <w:pPr>
        <w:ind w:firstLine="640" w:firstLineChars="200"/>
        <w:rPr>
          <w:rFonts w:ascii="仿宋" w:hAnsi="仿宋" w:eastAsia="仿宋"/>
          <w:sz w:val="32"/>
          <w:szCs w:val="32"/>
        </w:rPr>
      </w:pPr>
      <w:r>
        <w:rPr>
          <w:rFonts w:hint="eastAsia" w:ascii="仿宋" w:hAnsi="仿宋" w:eastAsia="仿宋"/>
          <w:sz w:val="32"/>
          <w:szCs w:val="32"/>
        </w:rPr>
        <w:t>⑦开展文化产业开发，有效地促进文化资源优势向经济优势转化。</w:t>
      </w:r>
    </w:p>
    <w:p>
      <w:pPr>
        <w:ind w:firstLine="640" w:firstLineChars="200"/>
        <w:rPr>
          <w:rFonts w:ascii="仿宋" w:hAnsi="仿宋" w:eastAsia="仿宋"/>
          <w:sz w:val="32"/>
          <w:szCs w:val="32"/>
        </w:rPr>
      </w:pPr>
      <w:r>
        <w:rPr>
          <w:rFonts w:hint="eastAsia" w:ascii="仿宋" w:hAnsi="仿宋" w:eastAsia="仿宋"/>
          <w:sz w:val="32"/>
          <w:szCs w:val="32"/>
        </w:rPr>
        <w:t>⑧承担县委、县政府交办的其他事项。</w:t>
      </w:r>
    </w:p>
    <w:p>
      <w:pPr>
        <w:pStyle w:val="2"/>
        <w:spacing w:before="2" w:line="364" w:lineRule="auto"/>
        <w:ind w:right="270" w:firstLine="851"/>
        <w:jc w:val="both"/>
        <w:rPr>
          <w:rFonts w:ascii="黑体" w:hAnsi="黑体" w:eastAsia="黑体"/>
        </w:rPr>
      </w:pPr>
      <w:r>
        <w:rPr>
          <w:rFonts w:hint="eastAsia" w:ascii="黑体" w:hAnsi="黑体" w:eastAsia="黑体"/>
        </w:rPr>
        <w:t>二、机构设置</w:t>
      </w:r>
      <w:r>
        <w:rPr>
          <w:rFonts w:ascii="黑体" w:hAnsi="黑体" w:eastAsia="黑体"/>
        </w:rPr>
        <w:t xml:space="preserve"> </w:t>
      </w:r>
    </w:p>
    <w:p>
      <w:pPr>
        <w:numPr>
          <w:ilvl w:val="0"/>
          <w:numId w:val="0"/>
        </w:numPr>
        <w:shd w:val="clear" w:color="auto" w:fill="FFFFFF"/>
        <w:ind w:firstLine="640" w:firstLineChars="200"/>
        <w:jc w:val="left"/>
        <w:rPr>
          <w:rFonts w:hint="eastAsia" w:ascii="仿宋" w:hAnsi="仿宋" w:eastAsia="仿宋" w:cs="宋体"/>
          <w:color w:val="333333"/>
          <w:kern w:val="0"/>
          <w:sz w:val="32"/>
          <w:szCs w:val="32"/>
          <w:lang w:eastAsia="zh-CN"/>
        </w:rPr>
      </w:pPr>
      <w:r>
        <w:rPr>
          <w:rFonts w:hint="eastAsia" w:ascii="仿宋" w:hAnsi="仿宋" w:eastAsia="仿宋" w:cs="宋体"/>
          <w:color w:val="333333"/>
          <w:kern w:val="0"/>
          <w:sz w:val="32"/>
          <w:szCs w:val="32"/>
          <w:lang w:eastAsia="zh-CN"/>
        </w:rPr>
        <w:t>西华县文联</w:t>
      </w:r>
      <w:r>
        <w:rPr>
          <w:rFonts w:hint="eastAsia" w:ascii="仿宋" w:hAnsi="仿宋" w:eastAsia="仿宋" w:cs="宋体"/>
          <w:color w:val="333333"/>
          <w:kern w:val="0"/>
          <w:sz w:val="32"/>
          <w:szCs w:val="32"/>
        </w:rPr>
        <w:t>部门预算是包含本级预算和所属单位预算在内的汇总预算</w:t>
      </w:r>
      <w:r>
        <w:rPr>
          <w:rFonts w:hint="eastAsia" w:ascii="仿宋" w:hAnsi="仿宋" w:eastAsia="仿宋" w:cs="宋体"/>
          <w:color w:val="333333"/>
          <w:kern w:val="0"/>
          <w:sz w:val="32"/>
          <w:szCs w:val="32"/>
          <w:lang w:eastAsia="zh-CN"/>
        </w:rPr>
        <w:t>，包括文联机关和一</w:t>
      </w:r>
      <w:r>
        <w:rPr>
          <w:rFonts w:hint="eastAsia" w:ascii="仿宋" w:hAnsi="仿宋" w:eastAsia="仿宋" w:cs="宋体"/>
          <w:color w:val="333333"/>
          <w:kern w:val="0"/>
          <w:sz w:val="32"/>
          <w:szCs w:val="32"/>
        </w:rPr>
        <w:t>个二级机构：</w:t>
      </w:r>
      <w:r>
        <w:rPr>
          <w:rFonts w:hint="eastAsia" w:ascii="仿宋" w:hAnsi="仿宋" w:eastAsia="仿宋" w:cs="宋体"/>
          <w:color w:val="333333"/>
          <w:kern w:val="0"/>
          <w:sz w:val="32"/>
          <w:szCs w:val="32"/>
          <w:lang w:eastAsia="zh-CN"/>
        </w:rPr>
        <w:t>西华县书画研究中心。</w:t>
      </w:r>
    </w:p>
    <w:p>
      <w:pPr>
        <w:numPr>
          <w:ilvl w:val="0"/>
          <w:numId w:val="0"/>
        </w:numPr>
        <w:shd w:val="clear" w:color="auto" w:fill="FFFFFF"/>
        <w:ind w:firstLine="640" w:firstLineChars="20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lang w:eastAsia="zh-CN"/>
        </w:rPr>
        <w:t>西华县文联</w:t>
      </w:r>
      <w:r>
        <w:rPr>
          <w:rFonts w:hint="eastAsia" w:ascii="仿宋" w:hAnsi="仿宋" w:eastAsia="仿宋" w:cs="宋体"/>
          <w:color w:val="333333"/>
          <w:kern w:val="0"/>
          <w:sz w:val="32"/>
          <w:szCs w:val="32"/>
        </w:rPr>
        <w:t>在职人员</w:t>
      </w:r>
      <w:r>
        <w:rPr>
          <w:rFonts w:hint="eastAsia" w:ascii="仿宋" w:hAnsi="仿宋" w:eastAsia="仿宋" w:cs="宋体"/>
          <w:color w:val="333333"/>
          <w:kern w:val="0"/>
          <w:sz w:val="32"/>
          <w:szCs w:val="32"/>
          <w:lang w:val="en-US" w:eastAsia="zh-CN"/>
        </w:rPr>
        <w:t>4</w:t>
      </w:r>
      <w:r>
        <w:rPr>
          <w:rFonts w:hint="eastAsia" w:ascii="仿宋" w:hAnsi="仿宋" w:eastAsia="仿宋" w:cs="宋体"/>
          <w:color w:val="333333"/>
          <w:kern w:val="0"/>
          <w:sz w:val="32"/>
          <w:szCs w:val="32"/>
        </w:rPr>
        <w:t>人，其中：公务员编制</w:t>
      </w:r>
      <w:r>
        <w:rPr>
          <w:rFonts w:hint="eastAsia" w:ascii="仿宋" w:hAnsi="仿宋" w:eastAsia="仿宋" w:cs="宋体"/>
          <w:color w:val="333333"/>
          <w:kern w:val="0"/>
          <w:sz w:val="32"/>
          <w:szCs w:val="32"/>
          <w:lang w:val="en-US" w:eastAsia="zh-CN"/>
        </w:rPr>
        <w:t>4</w:t>
      </w:r>
      <w:r>
        <w:rPr>
          <w:rFonts w:hint="eastAsia" w:ascii="仿宋" w:hAnsi="仿宋" w:eastAsia="仿宋" w:cs="宋体"/>
          <w:color w:val="333333"/>
          <w:kern w:val="0"/>
          <w:sz w:val="32"/>
          <w:szCs w:val="32"/>
        </w:rPr>
        <w:t>人，事业编制</w:t>
      </w:r>
      <w:r>
        <w:rPr>
          <w:rFonts w:hint="eastAsia" w:ascii="仿宋" w:hAnsi="仿宋" w:eastAsia="仿宋" w:cs="宋体"/>
          <w:color w:val="333333"/>
          <w:kern w:val="0"/>
          <w:sz w:val="32"/>
          <w:szCs w:val="32"/>
          <w:lang w:val="en-US" w:eastAsia="zh-CN"/>
        </w:rPr>
        <w:t>3</w:t>
      </w:r>
      <w:r>
        <w:rPr>
          <w:rFonts w:hint="eastAsia" w:ascii="仿宋" w:hAnsi="仿宋" w:eastAsia="仿宋" w:cs="宋体"/>
          <w:color w:val="333333"/>
          <w:kern w:val="0"/>
          <w:sz w:val="32"/>
          <w:szCs w:val="32"/>
        </w:rPr>
        <w:t>人。离退休人员</w:t>
      </w:r>
      <w:r>
        <w:rPr>
          <w:rFonts w:hint="eastAsia" w:ascii="仿宋" w:hAnsi="仿宋" w:eastAsia="仿宋" w:cs="宋体"/>
          <w:color w:val="333333"/>
          <w:kern w:val="0"/>
          <w:sz w:val="32"/>
          <w:szCs w:val="32"/>
          <w:lang w:val="en-US" w:eastAsia="zh-CN"/>
        </w:rPr>
        <w:t>3</w:t>
      </w:r>
      <w:r>
        <w:rPr>
          <w:rFonts w:hint="eastAsia" w:ascii="仿宋" w:hAnsi="仿宋" w:eastAsia="仿宋" w:cs="宋体"/>
          <w:color w:val="333333"/>
          <w:kern w:val="0"/>
          <w:sz w:val="32"/>
          <w:szCs w:val="32"/>
        </w:rPr>
        <w:t>人。</w:t>
      </w:r>
      <w:bookmarkStart w:id="0" w:name="_GoBack"/>
      <w:bookmarkEnd w:id="0"/>
    </w:p>
    <w:p>
      <w:pPr>
        <w:numPr>
          <w:ilvl w:val="0"/>
          <w:numId w:val="0"/>
        </w:numPr>
        <w:shd w:val="clear" w:color="auto" w:fill="FFFFFF"/>
        <w:ind w:firstLine="640" w:firstLineChars="200"/>
        <w:jc w:val="left"/>
        <w:rPr>
          <w:rFonts w:hint="eastAsia" w:ascii="仿宋" w:hAnsi="仿宋" w:eastAsia="仿宋" w:cs="宋体"/>
          <w:color w:val="333333"/>
          <w:kern w:val="0"/>
          <w:sz w:val="32"/>
          <w:szCs w:val="32"/>
        </w:rPr>
      </w:pPr>
    </w:p>
    <w:p>
      <w:pPr>
        <w:pStyle w:val="2"/>
        <w:spacing w:before="2" w:line="364" w:lineRule="auto"/>
        <w:ind w:right="270"/>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ascii="黑体" w:eastAsia="黑体"/>
          <w:sz w:val="48"/>
        </w:rPr>
      </w:pPr>
      <w:r>
        <w:rPr>
          <w:rFonts w:hint="eastAsia" w:ascii="黑体" w:eastAsia="黑体"/>
          <w:sz w:val="48"/>
        </w:rPr>
        <w:t>第</w:t>
      </w:r>
      <w:r>
        <w:rPr>
          <w:rFonts w:hint="eastAsia" w:ascii="黑体" w:eastAsia="黑体"/>
          <w:sz w:val="48"/>
          <w:lang w:val="en-US" w:eastAsia="zh-CN"/>
        </w:rPr>
        <w:t>二</w:t>
      </w:r>
      <w:r>
        <w:rPr>
          <w:rFonts w:hint="eastAsia" w:ascii="黑体" w:eastAsia="黑体"/>
          <w:sz w:val="48"/>
        </w:rPr>
        <w:t>部分</w:t>
      </w:r>
    </w:p>
    <w:p>
      <w:pPr>
        <w:tabs>
          <w:tab w:val="left" w:pos="3993"/>
        </w:tabs>
        <w:spacing w:before="32"/>
        <w:jc w:val="center"/>
        <w:rPr>
          <w:rFonts w:ascii="黑体" w:eastAsia="黑体"/>
          <w:sz w:val="48"/>
        </w:rPr>
      </w:pPr>
      <w:r>
        <w:rPr>
          <w:rFonts w:ascii="黑体" w:eastAsia="黑体"/>
          <w:sz w:val="48"/>
        </w:rPr>
        <w:t>2017 年度部门决算情况说明</w:t>
      </w:r>
    </w:p>
    <w:p>
      <w:pPr>
        <w:pStyle w:val="2"/>
        <w:spacing w:before="214" w:line="520" w:lineRule="exact"/>
        <w:ind w:right="112" w:firstLine="924" w:firstLineChars="300"/>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pStyle w:val="2"/>
        <w:spacing w:before="214" w:line="520" w:lineRule="exact"/>
        <w:ind w:right="113" w:firstLine="616" w:firstLineChars="200"/>
        <w:jc w:val="both"/>
        <w:rPr>
          <w:spacing w:val="-6"/>
        </w:rPr>
      </w:pPr>
      <w:r>
        <w:rPr>
          <w:spacing w:val="-6"/>
        </w:rPr>
        <w:t>2017 年度收、支总计均为</w:t>
      </w:r>
      <w:r>
        <w:rPr>
          <w:rFonts w:hint="eastAsia"/>
          <w:spacing w:val="-6"/>
          <w:lang w:val="en-US" w:eastAsia="zh-CN"/>
        </w:rPr>
        <w:t>94.54</w:t>
      </w:r>
      <w:r>
        <w:rPr>
          <w:spacing w:val="-6"/>
        </w:rPr>
        <w:t>万元。与 2016 年相比，</w:t>
      </w:r>
      <w:r>
        <w:rPr>
          <w:rFonts w:hint="eastAsia"/>
          <w:spacing w:val="-6"/>
        </w:rPr>
        <w:t>收、支总计各增加</w:t>
      </w:r>
      <w:r>
        <w:rPr>
          <w:rFonts w:hint="eastAsia"/>
          <w:spacing w:val="-6"/>
          <w:lang w:val="en-US" w:eastAsia="zh-CN"/>
        </w:rPr>
        <w:t>13.09</w:t>
      </w:r>
      <w:r>
        <w:rPr>
          <w:spacing w:val="-6"/>
        </w:rPr>
        <w:t>万元。主要原因是正常晋级晋档等工资调标，预算收</w:t>
      </w:r>
      <w:r>
        <w:rPr>
          <w:rFonts w:hint="eastAsia"/>
          <w:spacing w:val="-6"/>
        </w:rPr>
        <w:t>入和支出相应增加。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 年度收入合计</w:t>
      </w:r>
      <w:r>
        <w:rPr>
          <w:rFonts w:hint="eastAsia"/>
          <w:spacing w:val="-6"/>
          <w:lang w:val="en-US" w:eastAsia="zh-CN"/>
        </w:rPr>
        <w:t>94.54</w:t>
      </w:r>
      <w:r>
        <w:rPr>
          <w:spacing w:val="-6"/>
        </w:rPr>
        <w:t>万元，其中：财政拨款收入</w:t>
      </w:r>
      <w:r>
        <w:rPr>
          <w:rFonts w:hint="eastAsia"/>
          <w:spacing w:val="-6"/>
          <w:lang w:val="en-US" w:eastAsia="zh-CN"/>
        </w:rPr>
        <w:t>94.54</w:t>
      </w:r>
      <w:r>
        <w:rPr>
          <w:spacing w:val="-6"/>
        </w:rPr>
        <w:t>万元，占</w:t>
      </w:r>
      <w:r>
        <w:rPr>
          <w:rFonts w:hint="eastAsia"/>
          <w:spacing w:val="-6"/>
          <w:lang w:val="en-US" w:eastAsia="zh-CN"/>
        </w:rPr>
        <w:t>100</w:t>
      </w:r>
      <w:r>
        <w:rPr>
          <w:spacing w:val="-6"/>
        </w:rPr>
        <w:t>%；事业收入</w:t>
      </w:r>
      <w:r>
        <w:rPr>
          <w:rFonts w:hint="eastAsia"/>
          <w:spacing w:val="-6"/>
          <w:lang w:val="en-US" w:eastAsia="zh-CN"/>
        </w:rPr>
        <w:t>0</w:t>
      </w:r>
      <w:r>
        <w:rPr>
          <w:spacing w:val="-6"/>
        </w:rPr>
        <w:t>万元，占</w:t>
      </w:r>
      <w:r>
        <w:rPr>
          <w:rFonts w:hint="eastAsia"/>
          <w:spacing w:val="-6"/>
          <w:lang w:val="en-US" w:eastAsia="zh-CN"/>
        </w:rPr>
        <w:t>0</w:t>
      </w:r>
      <w:r>
        <w:rPr>
          <w:spacing w:val="-6"/>
        </w:rPr>
        <w:t>%；</w:t>
      </w:r>
      <w:r>
        <w:rPr>
          <w:rFonts w:hint="eastAsia"/>
          <w:spacing w:val="-6"/>
        </w:rPr>
        <w:t>其他收入</w:t>
      </w:r>
      <w:r>
        <w:rPr>
          <w:rFonts w:hint="eastAsia"/>
          <w:spacing w:val="-6"/>
          <w:lang w:val="en-US" w:eastAsia="zh-CN"/>
        </w:rPr>
        <w:t>0</w:t>
      </w:r>
      <w:r>
        <w:rPr>
          <w:spacing w:val="-6"/>
        </w:rPr>
        <w:t xml:space="preserve"> 万元，占 </w:t>
      </w:r>
      <w:r>
        <w:rPr>
          <w:rFonts w:hint="eastAsia"/>
          <w:spacing w:val="-6"/>
          <w:lang w:val="en-US" w:eastAsia="zh-CN"/>
        </w:rPr>
        <w:t>0</w:t>
      </w:r>
      <w:r>
        <w:rPr>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 年度支出合计</w:t>
      </w:r>
      <w:r>
        <w:rPr>
          <w:rFonts w:hint="eastAsia"/>
          <w:spacing w:val="-6"/>
          <w:lang w:val="en-US" w:eastAsia="zh-CN"/>
        </w:rPr>
        <w:t>94.54</w:t>
      </w:r>
      <w:r>
        <w:rPr>
          <w:spacing w:val="-6"/>
        </w:rPr>
        <w:t xml:space="preserve"> 万元，其中：基本支</w:t>
      </w:r>
      <w:r>
        <w:rPr>
          <w:rFonts w:hint="eastAsia"/>
          <w:spacing w:val="-6"/>
        </w:rPr>
        <w:t>出</w:t>
      </w:r>
      <w:r>
        <w:rPr>
          <w:rFonts w:hint="eastAsia"/>
          <w:spacing w:val="-6"/>
          <w:lang w:val="en-US" w:eastAsia="zh-CN"/>
        </w:rPr>
        <w:t>39.27</w:t>
      </w:r>
      <w:r>
        <w:rPr>
          <w:spacing w:val="-6"/>
        </w:rPr>
        <w:t xml:space="preserve"> 万元，占</w:t>
      </w:r>
      <w:r>
        <w:rPr>
          <w:rFonts w:hint="eastAsia"/>
          <w:spacing w:val="-6"/>
          <w:lang w:val="en-US" w:eastAsia="zh-CN"/>
        </w:rPr>
        <w:t>41.5</w:t>
      </w:r>
      <w:r>
        <w:rPr>
          <w:spacing w:val="-6"/>
        </w:rPr>
        <w:t>%；项目支出</w:t>
      </w:r>
      <w:r>
        <w:rPr>
          <w:rFonts w:hint="eastAsia"/>
          <w:spacing w:val="-6"/>
          <w:lang w:val="en-US" w:eastAsia="zh-CN"/>
        </w:rPr>
        <w:t>55.27</w:t>
      </w:r>
      <w:r>
        <w:rPr>
          <w:spacing w:val="-6"/>
        </w:rPr>
        <w:t xml:space="preserve"> 万元，占</w:t>
      </w:r>
      <w:r>
        <w:rPr>
          <w:rFonts w:hint="eastAsia"/>
          <w:spacing w:val="-6"/>
          <w:lang w:val="en-US" w:eastAsia="zh-CN"/>
        </w:rPr>
        <w:t>58.5</w:t>
      </w:r>
      <w:r>
        <w:rPr>
          <w:spacing w:val="-6"/>
        </w:rPr>
        <w:t>%</w:t>
      </w:r>
      <w:r>
        <w:rPr>
          <w:rFonts w:hint="eastAsia"/>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 年财政拨款收</w:t>
      </w:r>
      <w:r>
        <w:rPr>
          <w:rFonts w:hint="eastAsia"/>
          <w:spacing w:val="-6"/>
        </w:rPr>
        <w:t>入</w:t>
      </w:r>
      <w:r>
        <w:rPr>
          <w:spacing w:val="-6"/>
        </w:rPr>
        <w:t>为</w:t>
      </w:r>
      <w:r>
        <w:rPr>
          <w:rFonts w:hint="eastAsia"/>
          <w:spacing w:val="-6"/>
          <w:lang w:val="en-US" w:eastAsia="zh-CN"/>
        </w:rPr>
        <w:t>94.54</w:t>
      </w:r>
      <w:r>
        <w:rPr>
          <w:spacing w:val="-6"/>
        </w:rPr>
        <w:t>万元。与 2016</w:t>
      </w:r>
      <w:r>
        <w:rPr>
          <w:rFonts w:hint="eastAsia"/>
          <w:spacing w:val="-6"/>
        </w:rPr>
        <w:t>年相比，财政拨款收入增加</w:t>
      </w:r>
      <w:r>
        <w:rPr>
          <w:rFonts w:hint="eastAsia"/>
          <w:spacing w:val="-6"/>
          <w:lang w:val="en-US" w:eastAsia="zh-CN"/>
        </w:rPr>
        <w:t>13.09</w:t>
      </w:r>
      <w:r>
        <w:rPr>
          <w:spacing w:val="-6"/>
        </w:rPr>
        <w:t>万元。2017 年财政拨款</w:t>
      </w:r>
      <w:r>
        <w:rPr>
          <w:rFonts w:hint="eastAsia"/>
          <w:spacing w:val="-6"/>
        </w:rPr>
        <w:t>支出</w:t>
      </w:r>
      <w:r>
        <w:rPr>
          <w:spacing w:val="-6"/>
        </w:rPr>
        <w:t>为</w:t>
      </w:r>
      <w:r>
        <w:rPr>
          <w:rFonts w:hint="eastAsia"/>
          <w:spacing w:val="-6"/>
          <w:lang w:val="en-US" w:eastAsia="zh-CN"/>
        </w:rPr>
        <w:t>94.54</w:t>
      </w:r>
      <w:r>
        <w:rPr>
          <w:spacing w:val="-6"/>
        </w:rPr>
        <w:t>万元。与 2016</w:t>
      </w:r>
      <w:r>
        <w:rPr>
          <w:rFonts w:hint="eastAsia"/>
          <w:spacing w:val="-6"/>
        </w:rPr>
        <w:t>年相比，财政拨款支出增加</w:t>
      </w:r>
      <w:r>
        <w:rPr>
          <w:rFonts w:hint="eastAsia"/>
          <w:spacing w:val="-6"/>
          <w:lang w:val="en-US" w:eastAsia="zh-CN"/>
        </w:rPr>
        <w:t>13.09</w:t>
      </w:r>
      <w:r>
        <w:rPr>
          <w:spacing w:val="-6"/>
        </w:rPr>
        <w:t>万元</w:t>
      </w:r>
      <w:r>
        <w:rPr>
          <w:rFonts w:hint="eastAsia"/>
          <w:spacing w:val="-6"/>
        </w:rPr>
        <w:t>。</w:t>
      </w:r>
      <w:r>
        <w:rPr>
          <w:spacing w:val="-6"/>
        </w:rPr>
        <w:t>主要原因是正常晋级晋档等工资调标，预算收</w:t>
      </w:r>
      <w:r>
        <w:rPr>
          <w:rFonts w:hint="eastAsia"/>
          <w:spacing w:val="-6"/>
        </w:rPr>
        <w:t>入和支出相应增加。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2"/>
        <w:spacing w:before="2" w:line="520" w:lineRule="exact"/>
        <w:ind w:right="270" w:firstLine="695" w:firstLineChars="225"/>
        <w:jc w:val="both"/>
        <w:rPr>
          <w:b/>
          <w:spacing w:val="-6"/>
        </w:rPr>
      </w:pPr>
      <w:r>
        <w:rPr>
          <w:rFonts w:hint="eastAsia"/>
          <w:b/>
          <w:spacing w:val="-6"/>
        </w:rPr>
        <w:t>（一）总体情况</w:t>
      </w:r>
    </w:p>
    <w:p>
      <w:pPr>
        <w:pStyle w:val="2"/>
        <w:spacing w:before="2" w:line="520" w:lineRule="exact"/>
        <w:ind w:right="270" w:firstLine="693" w:firstLineChars="225"/>
        <w:jc w:val="both"/>
        <w:rPr>
          <w:spacing w:val="-6"/>
        </w:rPr>
      </w:pPr>
      <w:r>
        <w:rPr>
          <w:spacing w:val="-6"/>
        </w:rPr>
        <w:t>2017年一般公共预算财政拨款支出</w:t>
      </w:r>
      <w:r>
        <w:rPr>
          <w:rFonts w:hint="eastAsia"/>
          <w:spacing w:val="-6"/>
          <w:lang w:val="en-US" w:eastAsia="zh-CN"/>
        </w:rPr>
        <w:t>94.54</w:t>
      </w:r>
      <w:r>
        <w:rPr>
          <w:spacing w:val="-6"/>
        </w:rPr>
        <w:t>万元，占支</w:t>
      </w:r>
      <w:r>
        <w:rPr>
          <w:rFonts w:hint="eastAsia"/>
          <w:spacing w:val="-6"/>
        </w:rPr>
        <w:t>出合计的</w:t>
      </w:r>
      <w:r>
        <w:rPr>
          <w:rFonts w:hint="eastAsia"/>
          <w:spacing w:val="-6"/>
          <w:lang w:val="en-US" w:eastAsia="zh-CN"/>
        </w:rPr>
        <w:t>100</w:t>
      </w:r>
      <w:r>
        <w:rPr>
          <w:spacing w:val="-6"/>
        </w:rPr>
        <w:t>%。与 2016 年相比，一般公共预算财政拨款支出</w:t>
      </w:r>
      <w:r>
        <w:rPr>
          <w:rFonts w:hint="eastAsia"/>
          <w:spacing w:val="-6"/>
        </w:rPr>
        <w:t>增加</w:t>
      </w:r>
      <w:r>
        <w:rPr>
          <w:spacing w:val="-6"/>
        </w:rPr>
        <w:t xml:space="preserve"> </w:t>
      </w:r>
      <w:r>
        <w:rPr>
          <w:rFonts w:hint="eastAsia"/>
          <w:spacing w:val="-6"/>
          <w:lang w:val="en-US" w:eastAsia="zh-CN"/>
        </w:rPr>
        <w:t>13.09</w:t>
      </w:r>
      <w:r>
        <w:rPr>
          <w:spacing w:val="-6"/>
        </w:rPr>
        <w:t>万元。主要原因正常晋级晋档等工资调标，预算收</w:t>
      </w:r>
      <w:r>
        <w:rPr>
          <w:rFonts w:hint="eastAsia"/>
          <w:spacing w:val="-6"/>
        </w:rPr>
        <w:t>入和支出相应增加。</w:t>
      </w:r>
    </w:p>
    <w:p>
      <w:pPr>
        <w:pStyle w:val="2"/>
        <w:spacing w:before="2" w:line="520" w:lineRule="exact"/>
        <w:ind w:right="270" w:firstLine="695" w:firstLineChars="225"/>
        <w:jc w:val="both"/>
        <w:rPr>
          <w:b/>
          <w:spacing w:val="-6"/>
        </w:rPr>
      </w:pPr>
      <w:r>
        <w:rPr>
          <w:rFonts w:hint="eastAsia"/>
          <w:b/>
          <w:spacing w:val="-6"/>
        </w:rPr>
        <w:t>（二）结构情况</w:t>
      </w:r>
    </w:p>
    <w:p>
      <w:pPr>
        <w:pStyle w:val="2"/>
        <w:spacing w:before="2" w:line="520" w:lineRule="exact"/>
        <w:ind w:right="270" w:firstLine="693" w:firstLineChars="225"/>
        <w:jc w:val="both"/>
        <w:rPr>
          <w:spacing w:val="-6"/>
        </w:rPr>
      </w:pPr>
      <w:r>
        <w:rPr>
          <w:spacing w:val="-6"/>
        </w:rPr>
        <w:t>2017 年度一般公共预算财政拨款支出</w:t>
      </w:r>
      <w:r>
        <w:rPr>
          <w:rFonts w:hint="eastAsia"/>
          <w:spacing w:val="-6"/>
          <w:lang w:val="en-US" w:eastAsia="zh-CN"/>
        </w:rPr>
        <w:t>94.54</w:t>
      </w:r>
      <w:r>
        <w:rPr>
          <w:spacing w:val="-6"/>
        </w:rPr>
        <w:t>万元，主</w:t>
      </w:r>
      <w:r>
        <w:rPr>
          <w:rFonts w:hint="eastAsia"/>
          <w:spacing w:val="-6"/>
        </w:rPr>
        <w:t>要用于以下方面：一般公共服务（类）支出</w:t>
      </w:r>
      <w:r>
        <w:rPr>
          <w:rFonts w:hint="eastAsia"/>
          <w:spacing w:val="-6"/>
          <w:lang w:val="en-US" w:eastAsia="zh-CN"/>
        </w:rPr>
        <w:t>86.23</w:t>
      </w:r>
      <w:r>
        <w:rPr>
          <w:spacing w:val="-6"/>
        </w:rPr>
        <w:t>万元，</w:t>
      </w:r>
      <w:r>
        <w:rPr>
          <w:rFonts w:hint="eastAsia"/>
          <w:spacing w:val="-6"/>
        </w:rPr>
        <w:t>占</w:t>
      </w:r>
      <w:r>
        <w:rPr>
          <w:rFonts w:hint="eastAsia"/>
          <w:spacing w:val="-6"/>
          <w:lang w:val="en-US" w:eastAsia="zh-CN"/>
        </w:rPr>
        <w:t>99.89</w:t>
      </w:r>
      <w:r>
        <w:rPr>
          <w:spacing w:val="-6"/>
        </w:rPr>
        <w:t>%；</w:t>
      </w:r>
      <w:r>
        <w:rPr>
          <w:rFonts w:hint="eastAsia"/>
          <w:spacing w:val="-6"/>
        </w:rPr>
        <w:t>社会保障和就业支出</w:t>
      </w:r>
      <w:r>
        <w:rPr>
          <w:rFonts w:hint="eastAsia"/>
          <w:spacing w:val="-6"/>
          <w:lang w:val="en-US" w:eastAsia="zh-CN"/>
        </w:rPr>
        <w:t>6.80</w:t>
      </w:r>
      <w:r>
        <w:rPr>
          <w:spacing w:val="-6"/>
        </w:rPr>
        <w:t xml:space="preserve">万元，占 </w:t>
      </w:r>
      <w:r>
        <w:rPr>
          <w:rFonts w:hint="eastAsia"/>
          <w:spacing w:val="-6"/>
          <w:lang w:val="en-US" w:eastAsia="zh-CN"/>
        </w:rPr>
        <w:t>0.07</w:t>
      </w:r>
      <w:r>
        <w:rPr>
          <w:spacing w:val="-6"/>
        </w:rPr>
        <w:t>%；</w:t>
      </w:r>
      <w:r>
        <w:rPr>
          <w:rFonts w:hint="eastAsia"/>
          <w:spacing w:val="-6"/>
        </w:rPr>
        <w:t>医疗卫生与计划生育支出</w:t>
      </w:r>
      <w:r>
        <w:rPr>
          <w:rFonts w:hint="eastAsia"/>
          <w:spacing w:val="-6"/>
          <w:lang w:val="en-US" w:eastAsia="zh-CN"/>
        </w:rPr>
        <w:t>1.51</w:t>
      </w:r>
      <w:r>
        <w:rPr>
          <w:spacing w:val="-6"/>
        </w:rPr>
        <w:t xml:space="preserve">万元，占 </w:t>
      </w:r>
      <w:r>
        <w:rPr>
          <w:rFonts w:hint="eastAsia"/>
          <w:spacing w:val="-6"/>
          <w:lang w:val="en-US" w:eastAsia="zh-CN"/>
        </w:rPr>
        <w:t>0.02</w:t>
      </w:r>
      <w:r>
        <w:rPr>
          <w:spacing w:val="-6"/>
        </w:rPr>
        <w:t>%；</w:t>
      </w:r>
      <w:r>
        <w:rPr>
          <w:rFonts w:hint="eastAsia"/>
          <w:spacing w:val="-6"/>
        </w:rPr>
        <w:t>城乡社区支出</w:t>
      </w:r>
      <w:r>
        <w:rPr>
          <w:rFonts w:hint="eastAsia"/>
          <w:spacing w:val="-6"/>
          <w:lang w:val="en-US" w:eastAsia="zh-CN"/>
        </w:rPr>
        <w:t>0</w:t>
      </w:r>
      <w:r>
        <w:rPr>
          <w:spacing w:val="-6"/>
        </w:rPr>
        <w:t xml:space="preserve">万元，占 </w:t>
      </w:r>
      <w:r>
        <w:rPr>
          <w:rFonts w:hint="eastAsia"/>
          <w:spacing w:val="-6"/>
          <w:lang w:val="en-US" w:eastAsia="zh-CN"/>
        </w:rPr>
        <w:t>0</w:t>
      </w:r>
      <w:r>
        <w:rPr>
          <w:spacing w:val="-6"/>
        </w:rPr>
        <w:t>%；</w:t>
      </w:r>
      <w:r>
        <w:rPr>
          <w:rFonts w:hint="eastAsia"/>
          <w:spacing w:val="-6"/>
        </w:rPr>
        <w:t>住房保障支出</w:t>
      </w:r>
      <w:r>
        <w:rPr>
          <w:rFonts w:hint="eastAsia"/>
          <w:spacing w:val="-6"/>
          <w:lang w:val="en-US" w:eastAsia="zh-CN"/>
        </w:rPr>
        <w:t>1.63</w:t>
      </w:r>
      <w:r>
        <w:rPr>
          <w:rFonts w:hint="eastAsia"/>
          <w:spacing w:val="-6"/>
        </w:rPr>
        <w:t>万元，占</w:t>
      </w:r>
      <w:r>
        <w:rPr>
          <w:spacing w:val="-6"/>
        </w:rPr>
        <w:t xml:space="preserve"> </w:t>
      </w:r>
      <w:r>
        <w:rPr>
          <w:rFonts w:hint="eastAsia"/>
          <w:spacing w:val="-6"/>
        </w:rPr>
        <w:t>0.</w:t>
      </w:r>
      <w:r>
        <w:rPr>
          <w:rFonts w:hint="eastAsia"/>
          <w:spacing w:val="-6"/>
          <w:lang w:val="en-US" w:eastAsia="zh-CN"/>
        </w:rPr>
        <w:t>02</w:t>
      </w:r>
      <w:r>
        <w:rPr>
          <w:spacing w:val="-6"/>
        </w:rPr>
        <w:t>%</w:t>
      </w:r>
      <w:r>
        <w:rPr>
          <w:rFonts w:hint="eastAsia"/>
          <w:spacing w:val="-6"/>
        </w:rPr>
        <w:t>。</w:t>
      </w:r>
      <w:r>
        <w:rPr>
          <w:spacing w:val="-6"/>
        </w:rPr>
        <w:t xml:space="preserve"> </w:t>
      </w:r>
    </w:p>
    <w:p>
      <w:pPr>
        <w:pStyle w:val="2"/>
        <w:spacing w:before="2" w:line="520" w:lineRule="exact"/>
        <w:ind w:right="270" w:firstLine="695" w:firstLineChars="225"/>
        <w:jc w:val="both"/>
        <w:rPr>
          <w:b/>
          <w:spacing w:val="-6"/>
        </w:rPr>
      </w:pPr>
      <w:r>
        <w:rPr>
          <w:rFonts w:hint="eastAsia"/>
          <w:b/>
          <w:spacing w:val="-6"/>
        </w:rPr>
        <w:t>（三）具体情况</w:t>
      </w:r>
    </w:p>
    <w:p>
      <w:pPr>
        <w:pStyle w:val="2"/>
        <w:spacing w:before="2" w:line="520" w:lineRule="exact"/>
        <w:ind w:right="270" w:firstLine="693" w:firstLineChars="225"/>
        <w:jc w:val="both"/>
        <w:rPr>
          <w:spacing w:val="-6"/>
        </w:rPr>
      </w:pPr>
      <w:r>
        <w:rPr>
          <w:spacing w:val="-6"/>
        </w:rPr>
        <w:t xml:space="preserve">2017 年度一般公共预算财政拨款支出年初预算为 </w:t>
      </w:r>
      <w:r>
        <w:rPr>
          <w:rFonts w:hint="eastAsia"/>
          <w:spacing w:val="-6"/>
          <w:lang w:val="en-US" w:eastAsia="zh-CN"/>
        </w:rPr>
        <w:t>94.54</w:t>
      </w:r>
      <w:r>
        <w:rPr>
          <w:rFonts w:hint="eastAsia"/>
          <w:spacing w:val="-6"/>
        </w:rPr>
        <w:t>万元，支出决算为</w:t>
      </w:r>
      <w:r>
        <w:rPr>
          <w:rFonts w:hint="eastAsia"/>
          <w:spacing w:val="-6"/>
          <w:lang w:val="en-US" w:eastAsia="zh-CN"/>
        </w:rPr>
        <w:t>94.54</w:t>
      </w:r>
      <w:r>
        <w:rPr>
          <w:spacing w:val="-6"/>
        </w:rPr>
        <w:t>万元，完成年初预算的</w:t>
      </w:r>
      <w:r>
        <w:rPr>
          <w:rFonts w:hint="eastAsia"/>
          <w:spacing w:val="-6"/>
          <w:lang w:val="en-US" w:eastAsia="zh-CN"/>
        </w:rPr>
        <w:t>100</w:t>
      </w:r>
      <w:r>
        <w:rPr>
          <w:spacing w:val="-6"/>
        </w:rPr>
        <w:t xml:space="preserve">%。 </w:t>
      </w:r>
    </w:p>
    <w:p>
      <w:pPr>
        <w:pStyle w:val="2"/>
        <w:numPr>
          <w:ilvl w:val="0"/>
          <w:numId w:val="1"/>
        </w:numPr>
        <w:spacing w:before="2" w:line="520" w:lineRule="exact"/>
        <w:ind w:right="270" w:firstLine="695" w:firstLineChars="225"/>
        <w:jc w:val="both"/>
        <w:rPr>
          <w:spacing w:val="-6"/>
        </w:rPr>
      </w:pP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eastAsia="zh-CN"/>
        </w:rPr>
        <w:t>39.27</w:t>
      </w:r>
      <w:r>
        <w:rPr>
          <w:spacing w:val="-6"/>
        </w:rPr>
        <w:t xml:space="preserve">万元，支出决算为 </w:t>
      </w:r>
      <w:r>
        <w:rPr>
          <w:rFonts w:hint="eastAsia"/>
          <w:spacing w:val="-6"/>
          <w:lang w:val="en-US" w:eastAsia="zh-CN"/>
        </w:rPr>
        <w:t>39.27</w:t>
      </w:r>
      <w:r>
        <w:rPr>
          <w:spacing w:val="-6"/>
        </w:rPr>
        <w:t>万元。</w:t>
      </w:r>
    </w:p>
    <w:p>
      <w:pPr>
        <w:pStyle w:val="2"/>
        <w:numPr>
          <w:ilvl w:val="0"/>
          <w:numId w:val="0"/>
        </w:numPr>
        <w:spacing w:before="2" w:line="520" w:lineRule="exact"/>
        <w:ind w:right="270" w:rightChars="0" w:firstLine="618" w:firstLineChars="200"/>
        <w:jc w:val="both"/>
        <w:rPr>
          <w:rFonts w:hint="eastAsia"/>
          <w:spacing w:val="-6"/>
          <w:lang w:eastAsia="zh-CN"/>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Pr>
          <w:spacing w:val="-6"/>
        </w:rPr>
        <w:t xml:space="preserve"> </w:t>
      </w:r>
      <w:r>
        <w:rPr>
          <w:rFonts w:hint="eastAsia"/>
          <w:spacing w:val="-6"/>
          <w:lang w:val="en-US" w:eastAsia="zh-CN"/>
        </w:rPr>
        <w:t>6.61</w:t>
      </w:r>
      <w:r>
        <w:rPr>
          <w:spacing w:val="-6"/>
        </w:rPr>
        <w:t>元，支出决算为</w:t>
      </w:r>
      <w:r>
        <w:rPr>
          <w:rFonts w:hint="eastAsia"/>
          <w:spacing w:val="-6"/>
          <w:lang w:val="en-US" w:eastAsia="zh-CN"/>
        </w:rPr>
        <w:t>6.61</w:t>
      </w:r>
      <w:r>
        <w:rPr>
          <w:spacing w:val="-6"/>
        </w:rPr>
        <w:t>万元，完</w:t>
      </w:r>
      <w:r>
        <w:rPr>
          <w:rFonts w:hint="eastAsia"/>
          <w:spacing w:val="-6"/>
        </w:rPr>
        <w:t>成年初预算的</w:t>
      </w:r>
      <w:r>
        <w:rPr>
          <w:rFonts w:hint="eastAsia"/>
          <w:spacing w:val="-6"/>
          <w:lang w:val="en-US" w:eastAsia="zh-CN"/>
        </w:rPr>
        <w:t>100</w:t>
      </w:r>
      <w:r>
        <w:rPr>
          <w:spacing w:val="-6"/>
        </w:rPr>
        <w:t>%。决算数</w:t>
      </w:r>
      <w:r>
        <w:rPr>
          <w:rFonts w:hint="eastAsia"/>
          <w:spacing w:val="-6"/>
          <w:lang w:eastAsia="zh-CN"/>
        </w:rPr>
        <w:t>与</w:t>
      </w:r>
      <w:r>
        <w:rPr>
          <w:spacing w:val="-6"/>
        </w:rPr>
        <w:t>预算数</w:t>
      </w:r>
      <w:r>
        <w:rPr>
          <w:rFonts w:hint="eastAsia"/>
          <w:spacing w:val="-6"/>
          <w:lang w:eastAsia="zh-CN"/>
        </w:rPr>
        <w:t>持平。</w:t>
      </w:r>
      <w:r>
        <w:rPr>
          <w:rFonts w:hint="eastAsia"/>
          <w:spacing w:val="-6"/>
          <w:lang w:val="en-US" w:eastAsia="zh-CN"/>
        </w:rPr>
        <w:t xml:space="preserve">    </w:t>
      </w: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rFonts w:hint="eastAsia"/>
          <w:spacing w:val="-6"/>
          <w:lang w:val="en-US" w:eastAsia="zh-CN"/>
        </w:rPr>
        <w:t>2.91</w:t>
      </w:r>
      <w:r>
        <w:rPr>
          <w:spacing w:val="-6"/>
        </w:rPr>
        <w:t>万元，支出决算为</w:t>
      </w:r>
      <w:r>
        <w:rPr>
          <w:rFonts w:hint="eastAsia"/>
          <w:spacing w:val="-6"/>
          <w:lang w:val="en-US" w:eastAsia="zh-CN"/>
        </w:rPr>
        <w:t>2.91</w:t>
      </w:r>
      <w:r>
        <w:rPr>
          <w:spacing w:val="-6"/>
        </w:rPr>
        <w:t>万元，完成年初预算</w:t>
      </w:r>
      <w:r>
        <w:rPr>
          <w:rFonts w:hint="eastAsia"/>
          <w:spacing w:val="-6"/>
        </w:rPr>
        <w:t>的</w:t>
      </w:r>
      <w:r>
        <w:rPr>
          <w:rFonts w:hint="eastAsia"/>
          <w:spacing w:val="-6"/>
          <w:lang w:val="en-US" w:eastAsia="zh-CN"/>
        </w:rPr>
        <w:t>100</w:t>
      </w:r>
      <w:r>
        <w:rPr>
          <w:spacing w:val="-6"/>
        </w:rPr>
        <w:t>%。决算数</w:t>
      </w:r>
      <w:r>
        <w:rPr>
          <w:rFonts w:hint="eastAsia"/>
          <w:spacing w:val="-6"/>
          <w:lang w:eastAsia="zh-CN"/>
        </w:rPr>
        <w:t>与</w:t>
      </w:r>
      <w:r>
        <w:rPr>
          <w:spacing w:val="-6"/>
        </w:rPr>
        <w:t>预算数</w:t>
      </w:r>
      <w:r>
        <w:rPr>
          <w:rFonts w:hint="eastAsia"/>
          <w:spacing w:val="-6"/>
          <w:lang w:eastAsia="zh-CN"/>
        </w:rPr>
        <w:t>持平。</w:t>
      </w:r>
    </w:p>
    <w:p>
      <w:pPr>
        <w:pStyle w:val="2"/>
        <w:spacing w:before="2" w:line="520" w:lineRule="exact"/>
        <w:ind w:right="270" w:firstLine="695" w:firstLineChars="225"/>
        <w:jc w:val="both"/>
        <w:rPr>
          <w:rFonts w:hint="eastAsia"/>
          <w:spacing w:val="-6"/>
          <w:lang w:eastAsia="zh-CN"/>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Pr>
          <w:rFonts w:hint="eastAsia"/>
          <w:spacing w:val="-6"/>
          <w:lang w:val="en-US" w:eastAsia="zh-CN"/>
        </w:rPr>
        <w:t>8.88</w:t>
      </w:r>
      <w:r>
        <w:rPr>
          <w:spacing w:val="-6"/>
        </w:rPr>
        <w:t>万元，支出决算为</w:t>
      </w:r>
      <w:r>
        <w:rPr>
          <w:rFonts w:hint="eastAsia"/>
          <w:spacing w:val="-6"/>
          <w:lang w:val="en-US" w:eastAsia="zh-CN"/>
        </w:rPr>
        <w:t>8.88</w:t>
      </w:r>
      <w:r>
        <w:rPr>
          <w:spacing w:val="-6"/>
        </w:rPr>
        <w:t>万元，完成年初预</w:t>
      </w:r>
      <w:r>
        <w:rPr>
          <w:rFonts w:hint="eastAsia"/>
          <w:spacing w:val="-6"/>
        </w:rPr>
        <w:t>算的</w:t>
      </w:r>
      <w:r>
        <w:rPr>
          <w:rFonts w:hint="eastAsia"/>
          <w:spacing w:val="-6"/>
          <w:lang w:val="en-US" w:eastAsia="zh-CN"/>
        </w:rPr>
        <w:t>100</w:t>
      </w:r>
      <w:r>
        <w:rPr>
          <w:spacing w:val="-6"/>
        </w:rPr>
        <w:t>%。决算数</w:t>
      </w:r>
      <w:r>
        <w:rPr>
          <w:rFonts w:hint="eastAsia"/>
          <w:spacing w:val="-6"/>
          <w:lang w:eastAsia="zh-CN"/>
        </w:rPr>
        <w:t>与</w:t>
      </w:r>
      <w:r>
        <w:rPr>
          <w:spacing w:val="-6"/>
        </w:rPr>
        <w:t>预算数</w:t>
      </w:r>
      <w:r>
        <w:rPr>
          <w:rFonts w:hint="eastAsia"/>
          <w:spacing w:val="-6"/>
          <w:lang w:eastAsia="zh-CN"/>
        </w:rPr>
        <w:t>持平。</w:t>
      </w:r>
    </w:p>
    <w:p>
      <w:pPr>
        <w:pStyle w:val="2"/>
        <w:spacing w:before="2" w:line="520" w:lineRule="exact"/>
        <w:ind w:right="270" w:firstLine="695" w:firstLineChars="225"/>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Pr>
          <w:rFonts w:hint="eastAsia"/>
          <w:spacing w:val="-6"/>
          <w:lang w:val="en-US" w:eastAsia="zh-CN"/>
        </w:rPr>
        <w:t>0</w:t>
      </w:r>
      <w:r>
        <w:rPr>
          <w:spacing w:val="-6"/>
        </w:rPr>
        <w:t>万元，支出决算为</w:t>
      </w:r>
      <w:r>
        <w:rPr>
          <w:rFonts w:hint="eastAsia"/>
          <w:spacing w:val="-6"/>
        </w:rPr>
        <w:t>0</w:t>
      </w:r>
      <w:r>
        <w:rPr>
          <w:spacing w:val="-6"/>
        </w:rPr>
        <w:t>万。</w:t>
      </w:r>
      <w:r>
        <w:rPr>
          <w:rFonts w:hint="eastAsia"/>
          <w:spacing w:val="-6"/>
        </w:rPr>
        <w:t>此项预算支出为遗属补助，决算时计入抚恤项。</w:t>
      </w:r>
    </w:p>
    <w:p>
      <w:pPr>
        <w:pStyle w:val="2"/>
        <w:spacing w:before="2" w:line="520" w:lineRule="exact"/>
        <w:ind w:right="270" w:firstLine="695" w:firstLineChars="225"/>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Pr>
          <w:rFonts w:hint="eastAsia"/>
          <w:spacing w:val="-6"/>
          <w:lang w:val="en-US" w:eastAsia="zh-CN"/>
        </w:rPr>
        <w:t>0</w:t>
      </w:r>
      <w:r>
        <w:rPr>
          <w:spacing w:val="-6"/>
        </w:rPr>
        <w:t>万元。决算数</w:t>
      </w:r>
      <w:r>
        <w:rPr>
          <w:rFonts w:hint="eastAsia"/>
          <w:spacing w:val="-6"/>
        </w:rPr>
        <w:t>大于</w:t>
      </w:r>
      <w:r>
        <w:rPr>
          <w:spacing w:val="-6"/>
        </w:rPr>
        <w:t>预算数的主要原因是</w:t>
      </w:r>
      <w:r>
        <w:rPr>
          <w:rFonts w:hint="eastAsia"/>
          <w:spacing w:val="-6"/>
        </w:rPr>
        <w:t>主要原因是编制下一年度预算时，客观上无法预计下一年度离世职工人数及抚恤金金额，该部分资金根据年度中实际离世职工人数计算抚恤金，通过预算追加解决。2017年</w:t>
      </w:r>
      <w:r>
        <w:rPr>
          <w:rFonts w:hint="eastAsia"/>
          <w:spacing w:val="-6"/>
          <w:lang w:eastAsia="zh-CN"/>
        </w:rPr>
        <w:t>无</w:t>
      </w:r>
      <w:r>
        <w:rPr>
          <w:rFonts w:hint="eastAsia"/>
          <w:spacing w:val="-6"/>
        </w:rPr>
        <w:t>退休死亡。</w:t>
      </w:r>
    </w:p>
    <w:p>
      <w:pPr>
        <w:pStyle w:val="2"/>
        <w:spacing w:before="2" w:line="520" w:lineRule="exact"/>
        <w:ind w:right="270" w:firstLine="695" w:firstLineChars="225"/>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rFonts w:hint="eastAsia"/>
          <w:spacing w:val="-6"/>
          <w:lang w:val="en-US" w:eastAsia="zh-CN"/>
        </w:rPr>
        <w:t>0.19</w:t>
      </w:r>
      <w:r>
        <w:rPr>
          <w:spacing w:val="-6"/>
        </w:rPr>
        <w:t>万元，支出决算为</w:t>
      </w:r>
      <w:r>
        <w:rPr>
          <w:rFonts w:hint="eastAsia"/>
          <w:spacing w:val="-6"/>
          <w:lang w:val="en-US" w:eastAsia="zh-CN"/>
        </w:rPr>
        <w:t>0.19</w:t>
      </w:r>
      <w:r>
        <w:rPr>
          <w:spacing w:val="-6"/>
        </w:rPr>
        <w:t>万元，完成年</w:t>
      </w:r>
      <w:r>
        <w:rPr>
          <w:rFonts w:hint="eastAsia"/>
          <w:spacing w:val="-6"/>
        </w:rPr>
        <w:t>初预算的</w:t>
      </w:r>
      <w:r>
        <w:rPr>
          <w:spacing w:val="-6"/>
        </w:rPr>
        <w:t xml:space="preserve"> </w:t>
      </w:r>
      <w:r>
        <w:rPr>
          <w:rFonts w:hint="eastAsia"/>
          <w:spacing w:val="-6"/>
          <w:lang w:val="en-US" w:eastAsia="zh-CN"/>
        </w:rPr>
        <w:t>100</w:t>
      </w:r>
      <w:r>
        <w:rPr>
          <w:spacing w:val="-6"/>
        </w:rPr>
        <w:t>%。</w:t>
      </w:r>
    </w:p>
    <w:p>
      <w:pPr>
        <w:pStyle w:val="2"/>
        <w:spacing w:before="2" w:line="520" w:lineRule="exact"/>
        <w:ind w:right="270" w:firstLine="695" w:firstLineChars="225"/>
        <w:jc w:val="both"/>
        <w:rPr>
          <w:rFonts w:hint="eastAsia"/>
          <w:spacing w:val="-6"/>
          <w:lang w:eastAsia="zh-CN"/>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年初预算为</w:t>
      </w:r>
      <w:r>
        <w:rPr>
          <w:rFonts w:hint="eastAsia"/>
          <w:spacing w:val="-6"/>
          <w:lang w:val="en-US" w:eastAsia="zh-CN"/>
        </w:rPr>
        <w:t>1.51</w:t>
      </w:r>
      <w:r>
        <w:rPr>
          <w:spacing w:val="-6"/>
        </w:rPr>
        <w:t>万元，支出决算为</w:t>
      </w:r>
      <w:r>
        <w:rPr>
          <w:rFonts w:hint="eastAsia"/>
          <w:spacing w:val="-6"/>
          <w:lang w:val="en-US" w:eastAsia="zh-CN"/>
        </w:rPr>
        <w:t>1.51</w:t>
      </w:r>
      <w:r>
        <w:rPr>
          <w:spacing w:val="-6"/>
        </w:rPr>
        <w:t>万元，完</w:t>
      </w:r>
      <w:r>
        <w:rPr>
          <w:rFonts w:hint="eastAsia"/>
          <w:spacing w:val="-6"/>
        </w:rPr>
        <w:t>成年初预算的</w:t>
      </w:r>
      <w:r>
        <w:rPr>
          <w:rFonts w:hint="eastAsia"/>
          <w:spacing w:val="-6"/>
          <w:lang w:val="en-US" w:eastAsia="zh-CN"/>
        </w:rPr>
        <w:t>100</w:t>
      </w:r>
      <w:r>
        <w:rPr>
          <w:spacing w:val="-6"/>
        </w:rPr>
        <w:t>%。决算数</w:t>
      </w:r>
      <w:r>
        <w:rPr>
          <w:rFonts w:hint="eastAsia"/>
          <w:spacing w:val="-6"/>
          <w:lang w:eastAsia="zh-CN"/>
        </w:rPr>
        <w:t>与</w:t>
      </w:r>
      <w:r>
        <w:rPr>
          <w:spacing w:val="-6"/>
        </w:rPr>
        <w:t>预算数</w:t>
      </w:r>
      <w:r>
        <w:rPr>
          <w:rFonts w:hint="eastAsia"/>
          <w:spacing w:val="-6"/>
          <w:lang w:eastAsia="zh-CN"/>
        </w:rPr>
        <w:t>持平。</w:t>
      </w:r>
    </w:p>
    <w:p>
      <w:pPr>
        <w:pStyle w:val="2"/>
        <w:spacing w:before="2" w:line="520" w:lineRule="exact"/>
        <w:ind w:right="270" w:firstLine="695" w:firstLineChars="225"/>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事业单位医疗（项）。</w:t>
      </w:r>
      <w:r>
        <w:rPr>
          <w:rFonts w:hint="eastAsia"/>
          <w:spacing w:val="-6"/>
        </w:rPr>
        <w:t>年初预算</w:t>
      </w:r>
      <w:r>
        <w:rPr>
          <w:rFonts w:hint="eastAsia"/>
          <w:spacing w:val="-6"/>
          <w:lang w:val="en-US" w:eastAsia="zh-CN"/>
        </w:rPr>
        <w:t>1.51</w:t>
      </w:r>
      <w:r>
        <w:rPr>
          <w:spacing w:val="-6"/>
        </w:rPr>
        <w:t>万元，支出决算</w:t>
      </w:r>
      <w:r>
        <w:rPr>
          <w:rFonts w:hint="eastAsia"/>
          <w:spacing w:val="-6"/>
          <w:lang w:val="en-US" w:eastAsia="zh-CN"/>
        </w:rPr>
        <w:t>1.51</w:t>
      </w:r>
      <w:r>
        <w:rPr>
          <w:spacing w:val="-6"/>
        </w:rPr>
        <w:t>万元，</w:t>
      </w:r>
      <w:r>
        <w:rPr>
          <w:rFonts w:hint="eastAsia"/>
          <w:spacing w:val="-6"/>
        </w:rPr>
        <w:t>完成预算的</w:t>
      </w:r>
      <w:r>
        <w:rPr>
          <w:rFonts w:hint="eastAsia"/>
          <w:spacing w:val="-6"/>
          <w:lang w:val="en-US" w:eastAsia="zh-CN"/>
        </w:rPr>
        <w:t>100</w:t>
      </w:r>
      <w:r>
        <w:rPr>
          <w:rFonts w:hint="eastAsia"/>
          <w:spacing w:val="-6"/>
        </w:rPr>
        <w:t>%。</w:t>
      </w:r>
      <w:r>
        <w:rPr>
          <w:spacing w:val="-6"/>
        </w:rPr>
        <w:t>决算数</w:t>
      </w:r>
      <w:r>
        <w:rPr>
          <w:rFonts w:hint="eastAsia"/>
          <w:spacing w:val="-6"/>
          <w:lang w:eastAsia="zh-CN"/>
        </w:rPr>
        <w:t>与</w:t>
      </w:r>
      <w:r>
        <w:rPr>
          <w:spacing w:val="-6"/>
        </w:rPr>
        <w:t>预算数</w:t>
      </w:r>
      <w:r>
        <w:rPr>
          <w:rFonts w:hint="eastAsia"/>
          <w:spacing w:val="-6"/>
          <w:lang w:eastAsia="zh-CN"/>
        </w:rPr>
        <w:t>持平。</w:t>
      </w:r>
    </w:p>
    <w:p>
      <w:pPr>
        <w:pStyle w:val="2"/>
        <w:spacing w:before="2" w:line="520" w:lineRule="exact"/>
        <w:ind w:right="270" w:firstLine="695" w:firstLineChars="225"/>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公务员医疗补助（项）。</w:t>
      </w:r>
      <w:r>
        <w:rPr>
          <w:rFonts w:hint="eastAsia"/>
          <w:spacing w:val="-6"/>
        </w:rPr>
        <w:t>年初预算安排</w:t>
      </w:r>
      <w:r>
        <w:rPr>
          <w:rFonts w:hint="eastAsia"/>
          <w:spacing w:val="-6"/>
          <w:lang w:val="en-US" w:eastAsia="zh-CN"/>
        </w:rPr>
        <w:t>0</w:t>
      </w:r>
      <w:r>
        <w:rPr>
          <w:spacing w:val="-6"/>
        </w:rPr>
        <w:t>万元，支出决算</w:t>
      </w:r>
      <w:r>
        <w:rPr>
          <w:rFonts w:hint="eastAsia"/>
          <w:spacing w:val="-6"/>
          <w:lang w:val="en-US" w:eastAsia="zh-CN"/>
        </w:rPr>
        <w:t>0</w:t>
      </w:r>
      <w:r>
        <w:rPr>
          <w:spacing w:val="-6"/>
        </w:rPr>
        <w:t>万元。</w:t>
      </w:r>
      <w:r>
        <w:rPr>
          <w:rFonts w:hint="eastAsia"/>
          <w:spacing w:val="-6"/>
        </w:rPr>
        <w:t>完成预算的</w:t>
      </w:r>
      <w:r>
        <w:rPr>
          <w:rFonts w:hint="eastAsia"/>
          <w:spacing w:val="-6"/>
          <w:lang w:val="en-US" w:eastAsia="zh-CN"/>
        </w:rPr>
        <w:t>0</w:t>
      </w:r>
      <w:r>
        <w:rPr>
          <w:rFonts w:hint="eastAsia"/>
          <w:spacing w:val="-6"/>
        </w:rPr>
        <w:t>%。</w:t>
      </w:r>
      <w:r>
        <w:rPr>
          <w:spacing w:val="-6"/>
        </w:rPr>
        <w:t xml:space="preserve"> </w:t>
      </w:r>
    </w:p>
    <w:p>
      <w:pPr>
        <w:pStyle w:val="2"/>
        <w:spacing w:before="2" w:line="520" w:lineRule="exact"/>
        <w:ind w:right="270" w:firstLine="695" w:firstLineChars="225"/>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Pr>
          <w:spacing w:val="-6"/>
        </w:rPr>
        <w:t xml:space="preserve"> </w:t>
      </w:r>
      <w:r>
        <w:rPr>
          <w:rFonts w:hint="eastAsia"/>
          <w:spacing w:val="-6"/>
          <w:lang w:val="en-US" w:eastAsia="zh-CN"/>
        </w:rPr>
        <w:t>0</w:t>
      </w:r>
      <w:r>
        <w:rPr>
          <w:spacing w:val="-6"/>
        </w:rPr>
        <w:t xml:space="preserve">万元，支出决算为 </w:t>
      </w:r>
      <w:r>
        <w:rPr>
          <w:rFonts w:hint="eastAsia"/>
          <w:spacing w:val="-6"/>
          <w:lang w:val="en-US" w:eastAsia="zh-CN"/>
        </w:rPr>
        <w:t>0</w:t>
      </w:r>
      <w:r>
        <w:rPr>
          <w:spacing w:val="-6"/>
        </w:rPr>
        <w:t xml:space="preserve"> 万元，完成年初预</w:t>
      </w:r>
      <w:r>
        <w:rPr>
          <w:rFonts w:hint="eastAsia"/>
          <w:spacing w:val="-6"/>
        </w:rPr>
        <w:t>算的</w:t>
      </w:r>
      <w:r>
        <w:rPr>
          <w:rFonts w:hint="eastAsia"/>
          <w:spacing w:val="-6"/>
          <w:lang w:val="en-US" w:eastAsia="zh-CN"/>
        </w:rPr>
        <w:t>0</w:t>
      </w:r>
      <w:r>
        <w:rPr>
          <w:spacing w:val="-6"/>
        </w:rPr>
        <w:t>%。决算数大于预算数的主要原因</w:t>
      </w:r>
      <w:r>
        <w:rPr>
          <w:rFonts w:hint="eastAsia"/>
          <w:spacing w:val="-6"/>
        </w:rPr>
        <w:t>一</w:t>
      </w:r>
      <w:r>
        <w:rPr>
          <w:spacing w:val="-6"/>
        </w:rPr>
        <w:t>是</w:t>
      </w:r>
      <w:r>
        <w:rPr>
          <w:rFonts w:hint="eastAsia"/>
          <w:spacing w:val="-6"/>
        </w:rPr>
        <w:t>预算</w:t>
      </w:r>
      <w:r>
        <w:rPr>
          <w:spacing w:val="-6"/>
        </w:rPr>
        <w:t>追加</w:t>
      </w:r>
      <w:r>
        <w:rPr>
          <w:rFonts w:hint="eastAsia"/>
          <w:spacing w:val="-6"/>
        </w:rPr>
        <w:t>对事业单位补贴</w:t>
      </w:r>
      <w:r>
        <w:rPr>
          <w:rFonts w:hint="eastAsia"/>
          <w:spacing w:val="-6"/>
          <w:lang w:val="en-US" w:eastAsia="zh-CN"/>
        </w:rPr>
        <w:t>0</w:t>
      </w:r>
      <w:r>
        <w:rPr>
          <w:rFonts w:hint="eastAsia"/>
          <w:spacing w:val="-6"/>
        </w:rPr>
        <w:t>万元；二是预算追加在职人员目标考核奖和未休假补贴</w:t>
      </w:r>
      <w:r>
        <w:rPr>
          <w:rFonts w:hint="eastAsia"/>
          <w:spacing w:val="-6"/>
          <w:lang w:val="en-US" w:eastAsia="zh-CN"/>
        </w:rPr>
        <w:t>0</w:t>
      </w:r>
      <w:r>
        <w:rPr>
          <w:rFonts w:hint="eastAsia"/>
          <w:spacing w:val="-6"/>
        </w:rPr>
        <w:t>万元；三是</w:t>
      </w:r>
      <w:r>
        <w:rPr>
          <w:lang w:val="en-US"/>
        </w:rPr>
        <w:t>2017年正常</w:t>
      </w:r>
      <w:r>
        <w:rPr>
          <w:rFonts w:hint="eastAsia"/>
          <w:lang w:val="en-US"/>
        </w:rPr>
        <w:t>的</w:t>
      </w:r>
      <w:r>
        <w:rPr>
          <w:lang w:val="en-US"/>
        </w:rPr>
        <w:t>增人增资、晋级晋档</w:t>
      </w:r>
      <w:r>
        <w:rPr>
          <w:rFonts w:hint="eastAsia"/>
          <w:lang w:val="en-US"/>
        </w:rPr>
        <w:t>。</w:t>
      </w:r>
    </w:p>
    <w:p>
      <w:pPr>
        <w:pStyle w:val="2"/>
        <w:spacing w:before="2" w:line="520" w:lineRule="exact"/>
        <w:ind w:right="270" w:firstLine="695" w:firstLineChars="225"/>
        <w:jc w:val="both"/>
        <w:rPr>
          <w:spacing w:val="-6"/>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Pr>
          <w:rFonts w:hint="eastAsia"/>
          <w:spacing w:val="-6"/>
          <w:lang w:val="en-US" w:eastAsia="zh-CN"/>
        </w:rPr>
        <w:t>0</w:t>
      </w:r>
      <w:r>
        <w:rPr>
          <w:spacing w:val="-6"/>
        </w:rPr>
        <w:t>万元，支出决算</w:t>
      </w:r>
      <w:r>
        <w:rPr>
          <w:rFonts w:hint="eastAsia"/>
          <w:spacing w:val="-6"/>
          <w:lang w:val="en-US" w:eastAsia="zh-CN"/>
        </w:rPr>
        <w:t>0</w:t>
      </w:r>
      <w:r>
        <w:rPr>
          <w:spacing w:val="-6"/>
        </w:rPr>
        <w:t>万元。完成年初预</w:t>
      </w:r>
      <w:r>
        <w:rPr>
          <w:rFonts w:hint="eastAsia"/>
          <w:spacing w:val="-6"/>
        </w:rPr>
        <w:t>算的8.7</w:t>
      </w:r>
      <w:r>
        <w:rPr>
          <w:spacing w:val="-6"/>
        </w:rPr>
        <w:t>%。决算数</w:t>
      </w:r>
      <w:r>
        <w:rPr>
          <w:rFonts w:hint="eastAsia"/>
          <w:spacing w:val="-6"/>
        </w:rPr>
        <w:t>小于</w:t>
      </w:r>
      <w:r>
        <w:rPr>
          <w:spacing w:val="-6"/>
        </w:rPr>
        <w:t>预算数</w:t>
      </w:r>
      <w:r>
        <w:rPr>
          <w:rFonts w:hint="eastAsia"/>
          <w:spacing w:val="-6"/>
        </w:rPr>
        <w:t>的原因是预算专项经费，决算数类款项与预算类款项不一致，造成决算数小于预算数。</w:t>
      </w:r>
      <w:r>
        <w:rPr>
          <w:spacing w:val="-6"/>
        </w:rPr>
        <w:t xml:space="preserve"> </w:t>
      </w:r>
    </w:p>
    <w:p>
      <w:pPr>
        <w:pStyle w:val="2"/>
        <w:spacing w:before="2" w:line="520" w:lineRule="exact"/>
        <w:ind w:right="270" w:firstLine="695" w:firstLineChars="225"/>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万元，完成年初预算的</w:t>
      </w:r>
      <w:r>
        <w:rPr>
          <w:rFonts w:hint="eastAsia"/>
          <w:spacing w:val="-6"/>
          <w:lang w:val="en-US" w:eastAsia="zh-CN"/>
        </w:rPr>
        <w:t>0</w:t>
      </w:r>
      <w:r>
        <w:rPr>
          <w:spacing w:val="-6"/>
        </w:rPr>
        <w:t>%。</w:t>
      </w:r>
    </w:p>
    <w:p>
      <w:pPr>
        <w:pStyle w:val="2"/>
        <w:spacing w:before="2" w:line="520" w:lineRule="exact"/>
        <w:ind w:right="270" w:firstLine="695" w:firstLineChars="225"/>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年初预算未安排该支出，支出决算为</w:t>
      </w:r>
      <w:r>
        <w:rPr>
          <w:spacing w:val="-6"/>
        </w:rPr>
        <w:t xml:space="preserve"> </w:t>
      </w:r>
      <w:r>
        <w:rPr>
          <w:rFonts w:hint="eastAsia"/>
          <w:spacing w:val="-6"/>
          <w:lang w:val="en-US" w:eastAsia="zh-CN"/>
        </w:rPr>
        <w:t>0</w:t>
      </w:r>
      <w:r>
        <w:rPr>
          <w:spacing w:val="-6"/>
        </w:rPr>
        <w:t>万元</w:t>
      </w:r>
      <w:r>
        <w:rPr>
          <w:rFonts w:hint="eastAsia"/>
          <w:spacing w:val="-6"/>
          <w:lang w:eastAsia="zh-CN"/>
        </w:rPr>
        <w:t>。</w:t>
      </w:r>
      <w:r>
        <w:rPr>
          <w:rFonts w:hint="eastAsia"/>
          <w:spacing w:val="-6"/>
        </w:rPr>
        <w:t>。</w:t>
      </w:r>
    </w:p>
    <w:p>
      <w:pPr>
        <w:pStyle w:val="2"/>
        <w:spacing w:before="2" w:line="520" w:lineRule="exact"/>
        <w:ind w:right="270" w:firstLine="695" w:firstLineChars="225"/>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万元，完成年初预算的</w:t>
      </w:r>
      <w:r>
        <w:rPr>
          <w:rFonts w:hint="eastAsia"/>
          <w:spacing w:val="-6"/>
          <w:lang w:val="en-US" w:eastAsia="zh-CN"/>
        </w:rPr>
        <w:t>0</w:t>
      </w:r>
      <w:r>
        <w:rPr>
          <w:spacing w:val="-6"/>
        </w:rPr>
        <w:t>%。</w:t>
      </w:r>
    </w:p>
    <w:p>
      <w:pPr>
        <w:pStyle w:val="2"/>
        <w:spacing w:before="2" w:line="520" w:lineRule="exact"/>
        <w:ind w:right="270" w:firstLine="695" w:firstLineChars="225"/>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Pr>
          <w:rFonts w:hint="eastAsia"/>
          <w:spacing w:val="-6"/>
          <w:lang w:val="en-US" w:eastAsia="zh-CN"/>
        </w:rPr>
        <w:t>0</w:t>
      </w:r>
      <w:r>
        <w:rPr>
          <w:spacing w:val="-6"/>
        </w:rPr>
        <w:t>万元，支</w:t>
      </w:r>
      <w:r>
        <w:rPr>
          <w:rFonts w:hint="eastAsia"/>
          <w:spacing w:val="-6"/>
        </w:rPr>
        <w:t>出决算为</w:t>
      </w:r>
      <w:r>
        <w:rPr>
          <w:rFonts w:hint="eastAsia"/>
          <w:spacing w:val="-6"/>
          <w:lang w:val="en-US" w:eastAsia="zh-CN"/>
        </w:rPr>
        <w:t>0</w:t>
      </w:r>
      <w:r>
        <w:rPr>
          <w:spacing w:val="-6"/>
        </w:rPr>
        <w:t>万元，完成年初预算的</w:t>
      </w:r>
      <w:r>
        <w:rPr>
          <w:rFonts w:hint="eastAsia"/>
          <w:spacing w:val="-6"/>
          <w:lang w:val="en-US" w:eastAsia="zh-CN"/>
        </w:rPr>
        <w:t>0</w:t>
      </w:r>
      <w:r>
        <w:rPr>
          <w:spacing w:val="-6"/>
        </w:rPr>
        <w:t>%。</w:t>
      </w:r>
    </w:p>
    <w:p>
      <w:pPr>
        <w:pStyle w:val="2"/>
        <w:spacing w:before="2" w:line="520" w:lineRule="exact"/>
        <w:ind w:right="270" w:firstLine="695" w:firstLineChars="225"/>
        <w:jc w:val="both"/>
        <w:rPr>
          <w:rFonts w:hint="eastAsia"/>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。年初预算为0</w:t>
      </w:r>
      <w:r>
        <w:rPr>
          <w:spacing w:val="-6"/>
        </w:rPr>
        <w:t>万元，支出决算为</w:t>
      </w:r>
      <w:r>
        <w:rPr>
          <w:rFonts w:hint="eastAsia"/>
          <w:spacing w:val="-6"/>
          <w:lang w:val="en-US" w:eastAsia="zh-CN"/>
        </w:rPr>
        <w:t>0</w:t>
      </w:r>
      <w:r>
        <w:rPr>
          <w:rFonts w:hint="eastAsia"/>
          <w:spacing w:val="-6"/>
        </w:rPr>
        <w:t>万元。</w:t>
      </w:r>
    </w:p>
    <w:p>
      <w:pPr>
        <w:pStyle w:val="2"/>
        <w:spacing w:before="2" w:line="520" w:lineRule="exact"/>
        <w:ind w:right="270" w:firstLine="695" w:firstLineChars="225"/>
        <w:jc w:val="both"/>
        <w:rPr>
          <w:rFonts w:hint="eastAsia"/>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。年初预算为0</w:t>
      </w:r>
      <w:r>
        <w:rPr>
          <w:spacing w:val="-6"/>
        </w:rPr>
        <w:t>万元，支出决算为</w:t>
      </w:r>
      <w:r>
        <w:rPr>
          <w:rFonts w:hint="eastAsia"/>
          <w:spacing w:val="-6"/>
          <w:lang w:val="en-US" w:eastAsia="zh-CN"/>
        </w:rPr>
        <w:t>0</w:t>
      </w:r>
      <w:r>
        <w:rPr>
          <w:rFonts w:hint="eastAsia"/>
          <w:spacing w:val="-6"/>
        </w:rPr>
        <w:t>万元。</w:t>
      </w:r>
    </w:p>
    <w:p>
      <w:pPr>
        <w:pStyle w:val="2"/>
        <w:spacing w:before="2" w:line="520" w:lineRule="exact"/>
        <w:ind w:right="270" w:firstLine="695" w:firstLineChars="225"/>
        <w:jc w:val="both"/>
        <w:rPr>
          <w:rFonts w:hint="eastAsia"/>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。年初预算为0</w:t>
      </w:r>
      <w:r>
        <w:rPr>
          <w:spacing w:val="-6"/>
        </w:rPr>
        <w:t>万元，支出决算为</w:t>
      </w:r>
      <w:r>
        <w:rPr>
          <w:rFonts w:hint="eastAsia"/>
          <w:spacing w:val="-6"/>
          <w:lang w:val="en-US" w:eastAsia="zh-CN"/>
        </w:rPr>
        <w:t>0</w:t>
      </w:r>
      <w:r>
        <w:rPr>
          <w:rFonts w:hint="eastAsia"/>
          <w:spacing w:val="-6"/>
        </w:rPr>
        <w:t>万元。</w:t>
      </w:r>
    </w:p>
    <w:p>
      <w:pPr>
        <w:pStyle w:val="2"/>
        <w:spacing w:before="2" w:line="520" w:lineRule="exact"/>
        <w:ind w:right="270" w:firstLine="695" w:firstLineChars="225"/>
        <w:jc w:val="both"/>
        <w:rPr>
          <w:b/>
          <w:spacing w:val="-6"/>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Pr>
          <w:rFonts w:hint="eastAsia"/>
          <w:lang w:val="en-US" w:eastAsia="zh-CN"/>
        </w:rPr>
        <w:t>1.63</w:t>
      </w:r>
      <w:r>
        <w:rPr>
          <w:lang w:val="en-US"/>
        </w:rPr>
        <w:t>万元，支出决算为</w:t>
      </w:r>
      <w:r>
        <w:rPr>
          <w:rFonts w:hint="eastAsia"/>
          <w:lang w:val="en-US" w:eastAsia="zh-CN"/>
        </w:rPr>
        <w:t>1.63</w:t>
      </w:r>
      <w:r>
        <w:rPr>
          <w:lang w:val="en-US"/>
        </w:rPr>
        <w:t>万元，完成</w:t>
      </w:r>
    </w:p>
    <w:p>
      <w:pPr>
        <w:pStyle w:val="2"/>
        <w:spacing w:before="2" w:line="520" w:lineRule="exact"/>
        <w:ind w:right="270" w:firstLine="720" w:firstLineChars="225"/>
        <w:jc w:val="both"/>
        <w:rPr>
          <w:rFonts w:hint="eastAsia"/>
          <w:lang w:val="en-US" w:eastAsia="zh-CN"/>
        </w:rPr>
      </w:pPr>
      <w:r>
        <w:rPr>
          <w:rFonts w:hint="eastAsia"/>
          <w:lang w:val="en-US"/>
        </w:rPr>
        <w:t>年初预算数的</w:t>
      </w:r>
      <w:r>
        <w:rPr>
          <w:rFonts w:hint="eastAsia"/>
          <w:lang w:val="en-US" w:eastAsia="zh-CN"/>
        </w:rPr>
        <w:t>100</w:t>
      </w:r>
      <w:r>
        <w:rPr>
          <w:lang w:val="en-US"/>
        </w:rPr>
        <w:t>%。决算数</w:t>
      </w:r>
      <w:r>
        <w:rPr>
          <w:rFonts w:hint="eastAsia"/>
          <w:lang w:val="en-US" w:eastAsia="zh-CN"/>
        </w:rPr>
        <w:t>与</w:t>
      </w:r>
      <w:r>
        <w:rPr>
          <w:lang w:val="en-US"/>
        </w:rPr>
        <w:t>预算数</w:t>
      </w:r>
      <w:r>
        <w:rPr>
          <w:rFonts w:hint="eastAsia"/>
          <w:lang w:val="en-US" w:eastAsia="zh-CN"/>
        </w:rPr>
        <w:t>持平。</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lang w:val="en-US"/>
        </w:rPr>
        <w:t>2017年一般公共预算财政拨款基本支出</w:t>
      </w:r>
      <w:r>
        <w:rPr>
          <w:rFonts w:hint="eastAsia"/>
          <w:lang w:val="en-US" w:eastAsia="zh-CN"/>
        </w:rPr>
        <w:t>94.54</w:t>
      </w:r>
      <w:r>
        <w:rPr>
          <w:lang w:val="en-US"/>
        </w:rPr>
        <w:t>万元。</w:t>
      </w:r>
      <w:r>
        <w:rPr>
          <w:rFonts w:hint="eastAsia"/>
          <w:lang w:val="en-US"/>
        </w:rPr>
        <w:t>与</w:t>
      </w:r>
      <w:r>
        <w:rPr>
          <w:lang w:val="en-US"/>
        </w:rPr>
        <w:t xml:space="preserve"> 2016 年相比，增加</w:t>
      </w:r>
      <w:r>
        <w:rPr>
          <w:rFonts w:hint="eastAsia"/>
          <w:lang w:val="en-US" w:eastAsia="zh-CN"/>
        </w:rPr>
        <w:t>13.09</w:t>
      </w:r>
      <w:r>
        <w:rPr>
          <w:lang w:val="en-US"/>
        </w:rPr>
        <w:t>万元，增长</w:t>
      </w:r>
      <w:r>
        <w:rPr>
          <w:rFonts w:hint="eastAsia"/>
          <w:lang w:val="en-US" w:eastAsia="zh-CN"/>
        </w:rPr>
        <w:t>13.85</w:t>
      </w:r>
      <w:r>
        <w:rPr>
          <w:lang w:val="en-US"/>
        </w:rPr>
        <w:t>%。变动的主</w:t>
      </w:r>
      <w:r>
        <w:rPr>
          <w:rFonts w:hint="eastAsia"/>
          <w:lang w:val="en-US"/>
        </w:rPr>
        <w:t>要原因：一是</w:t>
      </w:r>
      <w:r>
        <w:rPr>
          <w:lang w:val="en-US"/>
        </w:rPr>
        <w:t xml:space="preserve"> 2017年落实正常增人增资、晋级晋档</w:t>
      </w:r>
      <w:r>
        <w:rPr>
          <w:rFonts w:hint="eastAsia"/>
          <w:lang w:val="en-US"/>
        </w:rPr>
        <w:t>；二是行政事业单位新增目标考核奖，未休假补贴，健康休养费等项目；三是养老保险改革，单位和个人开始正常缴纳养老保险、职业年金。其中：人员经费</w:t>
      </w:r>
      <w:r>
        <w:rPr>
          <w:rFonts w:hint="eastAsia"/>
          <w:lang w:val="en-US" w:eastAsia="zh-CN"/>
        </w:rPr>
        <w:t>39.27</w:t>
      </w:r>
      <w:r>
        <w:rPr>
          <w:rFonts w:hint="eastAsia"/>
          <w:lang w:val="en-US"/>
        </w:rPr>
        <w:t>万元，主要包括：基本工资、津贴补贴、奖金、其他社保保障缴费、绩效工资、机关事业单位基本养老保险缴费、职业年金缴费、其他工资福利支出、离退休费、抚恤金、生活补助、医疗费、住房公积金、其他对个人和家庭的补助支出等；公用经费</w:t>
      </w:r>
      <w:r>
        <w:rPr>
          <w:rFonts w:hint="eastAsia"/>
          <w:lang w:val="en-US" w:eastAsia="zh-CN"/>
        </w:rPr>
        <w:t>55.27</w:t>
      </w:r>
      <w:r>
        <w:rPr>
          <w:lang w:val="en-US"/>
        </w:rPr>
        <w:t>万元，主要包括：</w:t>
      </w:r>
      <w:r>
        <w:rPr>
          <w:rFonts w:hint="eastAsia"/>
          <w:lang w:val="en-US"/>
        </w:rPr>
        <w:t>办公费、印刷费、咨询费、水费、电费、邮电费、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pPr>
        <w:pStyle w:val="2"/>
        <w:spacing w:before="2" w:line="520" w:lineRule="exact"/>
        <w:ind w:right="270"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2"/>
        <w:spacing w:before="2" w:line="520" w:lineRule="exact"/>
        <w:ind w:right="270" w:firstLine="722" w:firstLineChars="225"/>
        <w:jc w:val="both"/>
        <w:rPr>
          <w:b/>
          <w:lang w:val="en-US"/>
        </w:rPr>
      </w:pPr>
      <w:r>
        <w:rPr>
          <w:rFonts w:hint="eastAsia"/>
          <w:b/>
          <w:lang w:val="en-US"/>
        </w:rPr>
        <w:t>（一）“三公”经费财政拨款支出决算总体情况说明。</w:t>
      </w:r>
      <w:r>
        <w:rPr>
          <w:b/>
          <w:lang w:val="en-US"/>
        </w:rPr>
        <w:t xml:space="preserve"> </w:t>
      </w:r>
    </w:p>
    <w:p>
      <w:pPr>
        <w:pStyle w:val="2"/>
        <w:spacing w:before="2" w:line="520" w:lineRule="exact"/>
        <w:ind w:right="270" w:firstLine="720" w:firstLineChars="225"/>
        <w:jc w:val="both"/>
        <w:rPr>
          <w:lang w:val="en-US"/>
        </w:rPr>
      </w:pPr>
      <w:r>
        <w:rPr>
          <w:lang w:val="en-US"/>
        </w:rPr>
        <w:t>2017 年度“三公”经费财政拨款支出预算为</w:t>
      </w:r>
      <w:r>
        <w:rPr>
          <w:rFonts w:hint="eastAsia"/>
          <w:lang w:val="en-US" w:eastAsia="zh-CN"/>
        </w:rPr>
        <w:t>0.28</w:t>
      </w:r>
      <w:r>
        <w:rPr>
          <w:lang w:val="en-US"/>
        </w:rPr>
        <w:t>万元</w:t>
      </w:r>
      <w:r>
        <w:rPr>
          <w:rFonts w:hint="eastAsia"/>
          <w:lang w:val="en-US"/>
        </w:rPr>
        <w:t>，支出决算为</w:t>
      </w:r>
      <w:r>
        <w:rPr>
          <w:rFonts w:hint="eastAsia"/>
          <w:lang w:val="en-US" w:eastAsia="zh-CN"/>
        </w:rPr>
        <w:t>0.09</w:t>
      </w:r>
      <w:r>
        <w:rPr>
          <w:lang w:val="en-US"/>
        </w:rPr>
        <w:t>万元。2017 年度“三</w:t>
      </w:r>
      <w:r>
        <w:rPr>
          <w:rFonts w:hint="eastAsia"/>
          <w:lang w:val="en-US"/>
        </w:rPr>
        <w:t>公”经费支出决算数与预算数存在差异的主要原因是</w:t>
      </w:r>
      <w:r>
        <w:rPr>
          <w:rFonts w:hint="eastAsia"/>
          <w:lang w:val="en-US" w:eastAsia="zh-CN"/>
        </w:rPr>
        <w:t>西华县文联</w:t>
      </w:r>
      <w:r>
        <w:rPr>
          <w:rFonts w:hint="eastAsia"/>
          <w:lang w:val="en-US"/>
        </w:rPr>
        <w:t>认真贯彻落实中央八项规定精神，坚持厉行节约，进一步规范公务接待，严格控制“三公”经费支出，但随着业务量增多，三公经费与预算持平。</w:t>
      </w:r>
      <w:r>
        <w:rPr>
          <w:lang w:val="en-US"/>
        </w:rPr>
        <w:t xml:space="preserve"> </w:t>
      </w:r>
    </w:p>
    <w:p>
      <w:pPr>
        <w:pStyle w:val="2"/>
        <w:spacing w:before="2" w:line="520" w:lineRule="exact"/>
        <w:ind w:right="270" w:firstLine="722" w:firstLineChars="225"/>
        <w:jc w:val="both"/>
        <w:rPr>
          <w:b/>
          <w:lang w:val="en-US"/>
        </w:rPr>
      </w:pPr>
      <w:r>
        <w:rPr>
          <w:rFonts w:hint="eastAsia"/>
          <w:b/>
          <w:lang w:val="en-US"/>
        </w:rPr>
        <w:t>（二）“三公”经费财政拨款支出决算具体情况说明。</w:t>
      </w:r>
      <w:r>
        <w:rPr>
          <w:b/>
          <w:lang w:val="en-US"/>
        </w:rPr>
        <w:t xml:space="preserve"> </w:t>
      </w:r>
    </w:p>
    <w:p>
      <w:pPr>
        <w:pStyle w:val="2"/>
        <w:spacing w:before="2" w:line="520" w:lineRule="exact"/>
        <w:ind w:right="270" w:firstLine="720" w:firstLineChars="225"/>
        <w:jc w:val="both"/>
        <w:rPr>
          <w:lang w:val="en-US"/>
        </w:rPr>
      </w:pPr>
      <w:r>
        <w:rPr>
          <w:lang w:val="en-US"/>
        </w:rPr>
        <w:t>2017 年度“三公”经费财政拨款支出决算中，因公出国（境）</w:t>
      </w:r>
      <w:r>
        <w:rPr>
          <w:rFonts w:hint="eastAsia"/>
          <w:lang w:val="en-US"/>
        </w:rPr>
        <w:t>费支出决算</w:t>
      </w:r>
      <w:r>
        <w:rPr>
          <w:lang w:val="en-US"/>
        </w:rPr>
        <w:t xml:space="preserve"> </w:t>
      </w:r>
      <w:r>
        <w:rPr>
          <w:rFonts w:hint="eastAsia"/>
          <w:lang w:val="en-US" w:eastAsia="zh-CN"/>
        </w:rPr>
        <w:t>0</w:t>
      </w:r>
      <w:r>
        <w:rPr>
          <w:lang w:val="en-US"/>
        </w:rPr>
        <w:t>万元，占</w:t>
      </w:r>
      <w:r>
        <w:rPr>
          <w:rFonts w:hint="eastAsia"/>
          <w:lang w:val="en-US" w:eastAsia="zh-CN"/>
        </w:rPr>
        <w:t>0</w:t>
      </w:r>
      <w:r>
        <w:rPr>
          <w:lang w:val="en-US"/>
        </w:rPr>
        <w:t>%，完成预算的</w:t>
      </w:r>
      <w:r>
        <w:rPr>
          <w:rFonts w:hint="eastAsia"/>
          <w:lang w:val="en-US" w:eastAsia="zh-CN"/>
        </w:rPr>
        <w:t>0</w:t>
      </w:r>
      <w:r>
        <w:rPr>
          <w:lang w:val="en-US"/>
        </w:rPr>
        <w:t>%；公务</w:t>
      </w:r>
      <w:r>
        <w:rPr>
          <w:rFonts w:hint="eastAsia"/>
          <w:lang w:val="en-US"/>
        </w:rPr>
        <w:t>用车购置及运行费支出决算</w:t>
      </w:r>
      <w:r>
        <w:rPr>
          <w:rFonts w:hint="eastAsia"/>
          <w:lang w:val="en-US" w:eastAsia="zh-CN"/>
        </w:rPr>
        <w:t>0</w:t>
      </w:r>
      <w:r>
        <w:rPr>
          <w:lang w:val="en-US"/>
        </w:rPr>
        <w:t xml:space="preserve">万元，占 </w:t>
      </w:r>
      <w:r>
        <w:rPr>
          <w:rFonts w:hint="eastAsia"/>
          <w:lang w:val="en-US" w:eastAsia="zh-CN"/>
        </w:rPr>
        <w:t>0</w:t>
      </w:r>
      <w:r>
        <w:rPr>
          <w:lang w:val="en-US"/>
        </w:rPr>
        <w:t>%，完成预算</w:t>
      </w:r>
      <w:r>
        <w:rPr>
          <w:rFonts w:hint="eastAsia"/>
          <w:lang w:val="en-US"/>
        </w:rPr>
        <w:t>的</w:t>
      </w:r>
      <w:r>
        <w:rPr>
          <w:lang w:val="en-US"/>
        </w:rPr>
        <w:t xml:space="preserve"> </w:t>
      </w:r>
      <w:r>
        <w:rPr>
          <w:rFonts w:hint="eastAsia"/>
          <w:lang w:val="en-US" w:eastAsia="zh-CN"/>
        </w:rPr>
        <w:t>0</w:t>
      </w:r>
      <w:r>
        <w:rPr>
          <w:lang w:val="en-US"/>
        </w:rPr>
        <w:t>%；公务接待费支出决算</w:t>
      </w:r>
      <w:r>
        <w:rPr>
          <w:rFonts w:hint="eastAsia"/>
          <w:lang w:val="en-US" w:eastAsia="zh-CN"/>
        </w:rPr>
        <w:t>0.09</w:t>
      </w:r>
      <w:r>
        <w:rPr>
          <w:lang w:val="en-US"/>
        </w:rPr>
        <w:t xml:space="preserve">万元。具体情况如下： </w:t>
      </w:r>
    </w:p>
    <w:p>
      <w:pPr>
        <w:pStyle w:val="2"/>
        <w:numPr>
          <w:ilvl w:val="0"/>
          <w:numId w:val="2"/>
        </w:numPr>
        <w:spacing w:before="2" w:line="520" w:lineRule="exact"/>
        <w:ind w:right="270" w:firstLine="722" w:firstLineChars="225"/>
        <w:jc w:val="both"/>
        <w:rPr>
          <w:lang w:val="en-US"/>
        </w:rPr>
      </w:pPr>
      <w:r>
        <w:rPr>
          <w:b/>
          <w:lang w:val="en-US"/>
        </w:rPr>
        <w:t>因公出国（境）费</w:t>
      </w:r>
      <w:r>
        <w:rPr>
          <w:lang w:val="en-US"/>
        </w:rPr>
        <w:t>支出</w:t>
      </w:r>
      <w:r>
        <w:rPr>
          <w:rFonts w:hint="eastAsia"/>
          <w:lang w:val="en-US" w:eastAsia="zh-CN"/>
        </w:rPr>
        <w:t>0</w:t>
      </w:r>
      <w:r>
        <w:rPr>
          <w:lang w:val="en-US"/>
        </w:rPr>
        <w:t>万元。全年安排</w:t>
      </w:r>
      <w:r>
        <w:rPr>
          <w:rFonts w:hint="eastAsia"/>
          <w:lang w:val="en-US"/>
        </w:rPr>
        <w:t>周口市住建局参团</w:t>
      </w:r>
      <w:r>
        <w:rPr>
          <w:rFonts w:hint="eastAsia"/>
          <w:lang w:val="en-US" w:eastAsia="zh-CN"/>
        </w:rPr>
        <w:t>0</w:t>
      </w:r>
      <w:r>
        <w:rPr>
          <w:lang w:val="en-US"/>
        </w:rPr>
        <w:t>个，累计</w:t>
      </w:r>
      <w:r>
        <w:rPr>
          <w:rFonts w:hint="eastAsia"/>
          <w:lang w:val="en-US" w:eastAsia="zh-CN"/>
        </w:rPr>
        <w:t>0</w:t>
      </w:r>
      <w:r>
        <w:rPr>
          <w:lang w:val="en-US"/>
        </w:rPr>
        <w:t>人次。</w:t>
      </w:r>
    </w:p>
    <w:p>
      <w:pPr>
        <w:pStyle w:val="2"/>
        <w:numPr>
          <w:ilvl w:val="0"/>
          <w:numId w:val="2"/>
        </w:numPr>
        <w:spacing w:before="2" w:line="520" w:lineRule="exact"/>
        <w:ind w:right="270" w:firstLine="722" w:firstLineChars="225"/>
        <w:jc w:val="both"/>
        <w:rPr>
          <w:lang w:val="en-US"/>
        </w:rPr>
      </w:pPr>
      <w:r>
        <w:rPr>
          <w:b/>
          <w:lang w:val="en-US"/>
        </w:rPr>
        <w:t>公务用车购置及运行费</w:t>
      </w:r>
      <w:r>
        <w:rPr>
          <w:rFonts w:hint="eastAsia"/>
          <w:lang w:val="en-US" w:eastAsia="zh-CN"/>
        </w:rPr>
        <w:t>0</w:t>
      </w:r>
      <w:r>
        <w:rPr>
          <w:lang w:val="en-US"/>
        </w:rPr>
        <w:t>万元。</w:t>
      </w:r>
    </w:p>
    <w:p>
      <w:pPr>
        <w:pStyle w:val="2"/>
        <w:numPr>
          <w:ilvl w:val="0"/>
          <w:numId w:val="2"/>
        </w:numPr>
        <w:spacing w:before="2" w:line="520" w:lineRule="exact"/>
        <w:ind w:left="0" w:leftChars="0" w:right="270" w:firstLine="722" w:firstLineChars="225"/>
        <w:jc w:val="both"/>
        <w:rPr>
          <w:lang w:val="en-US"/>
        </w:rPr>
      </w:pPr>
      <w:r>
        <w:rPr>
          <w:b/>
          <w:lang w:val="en-US"/>
        </w:rPr>
        <w:t>公务接待费</w:t>
      </w:r>
      <w:r>
        <w:rPr>
          <w:rFonts w:hint="eastAsia"/>
          <w:lang w:val="en-US" w:eastAsia="zh-CN"/>
        </w:rPr>
        <w:t>0.09</w:t>
      </w:r>
      <w:r>
        <w:rPr>
          <w:lang w:val="en-US"/>
        </w:rPr>
        <w:t>万元</w:t>
      </w:r>
    </w:p>
    <w:p>
      <w:pPr>
        <w:pStyle w:val="2"/>
        <w:spacing w:before="2" w:line="520" w:lineRule="exact"/>
        <w:ind w:right="270" w:firstLine="720" w:firstLineChars="225"/>
        <w:jc w:val="both"/>
        <w:rPr>
          <w:lang w:val="en-US"/>
        </w:rPr>
      </w:pPr>
      <w:r>
        <w:rPr>
          <w:lang w:val="en-US"/>
        </w:rPr>
        <w:t>主要用于</w:t>
      </w:r>
      <w:r>
        <w:rPr>
          <w:rFonts w:hint="eastAsia"/>
          <w:lang w:val="en-US" w:eastAsia="zh-CN"/>
        </w:rPr>
        <w:t>按规定开支的各类公务接待支出，</w:t>
      </w:r>
      <w:r>
        <w:rPr>
          <w:lang w:val="en-US"/>
        </w:rPr>
        <w:t>2017 年度共接待来访团组</w:t>
      </w:r>
      <w:r>
        <w:rPr>
          <w:rFonts w:hint="eastAsia"/>
          <w:lang w:val="en-US" w:eastAsia="zh-CN"/>
        </w:rPr>
        <w:t>2</w:t>
      </w:r>
      <w:r>
        <w:rPr>
          <w:lang w:val="en-US"/>
        </w:rPr>
        <w:t>个、来访</w:t>
      </w:r>
      <w:r>
        <w:rPr>
          <w:rFonts w:hint="eastAsia"/>
          <w:lang w:val="en-US"/>
        </w:rPr>
        <w:t>人员</w:t>
      </w:r>
      <w:r>
        <w:rPr>
          <w:rFonts w:hint="eastAsia"/>
          <w:lang w:val="en-US" w:eastAsia="zh-CN"/>
        </w:rPr>
        <w:t>30</w:t>
      </w:r>
      <w:r>
        <w:rPr>
          <w:lang w:val="en-US"/>
        </w:rPr>
        <w:t xml:space="preserve">人次（不包括陪同人员）。 </w:t>
      </w:r>
    </w:p>
    <w:p>
      <w:pPr>
        <w:pStyle w:val="2"/>
        <w:spacing w:before="2" w:line="520" w:lineRule="exact"/>
        <w:ind w:right="270" w:firstLine="720" w:firstLineChars="225"/>
        <w:jc w:val="both"/>
        <w:rPr>
          <w:rFonts w:ascii="黑体" w:hAnsi="黑体" w:eastAsia="黑体"/>
          <w:color w:val="FF0000"/>
          <w:lang w:val="en-US"/>
        </w:rPr>
      </w:pPr>
      <w:r>
        <w:rPr>
          <w:rFonts w:hint="eastAsia" w:ascii="黑体" w:hAnsi="黑体" w:eastAsia="黑体"/>
          <w:color w:val="FF0000"/>
          <w:lang w:val="en-US"/>
        </w:rPr>
        <w:t>八、</w:t>
      </w:r>
      <w:r>
        <w:rPr>
          <w:rFonts w:hint="eastAsia" w:ascii="黑体" w:hAnsi="黑体" w:eastAsia="黑体"/>
          <w:color w:val="FF0000"/>
          <w:lang w:val="en-US" w:eastAsia="zh-CN"/>
        </w:rPr>
        <w:t>重点绩效评价结果等</w:t>
      </w:r>
      <w:r>
        <w:rPr>
          <w:rFonts w:hint="eastAsia" w:ascii="黑体" w:hAnsi="黑体" w:eastAsia="黑体"/>
          <w:color w:val="FF0000"/>
          <w:lang w:val="en-US"/>
        </w:rPr>
        <w:t>预算绩效情况说明</w:t>
      </w:r>
      <w:r>
        <w:rPr>
          <w:rFonts w:ascii="黑体" w:hAnsi="黑体" w:eastAsia="黑体"/>
          <w:color w:val="FF0000"/>
          <w:lang w:val="en-US"/>
        </w:rPr>
        <w:t xml:space="preserve"> </w:t>
      </w:r>
    </w:p>
    <w:p>
      <w:pPr>
        <w:pStyle w:val="2"/>
        <w:spacing w:before="2" w:line="520" w:lineRule="exact"/>
        <w:ind w:right="270" w:firstLine="1040" w:firstLineChars="325"/>
        <w:jc w:val="both"/>
        <w:rPr>
          <w:rFonts w:hint="eastAsia" w:hAnsi="宋体" w:eastAsia="仿宋_GB2312" w:cs="宋体"/>
          <w:lang w:val="en-US" w:eastAsia="zh-CN"/>
        </w:rPr>
      </w:pPr>
      <w:r>
        <w:rPr>
          <w:rFonts w:hint="eastAsia" w:hAnsi="宋体" w:cs="宋体"/>
          <w:lang w:val="en-US" w:eastAsia="zh-CN"/>
        </w:rPr>
        <w:t>无</w:t>
      </w:r>
    </w:p>
    <w:p>
      <w:pPr>
        <w:pStyle w:val="2"/>
        <w:numPr>
          <w:ilvl w:val="0"/>
          <w:numId w:val="3"/>
        </w:numPr>
        <w:spacing w:before="2" w:line="520" w:lineRule="exact"/>
        <w:ind w:right="270" w:firstLine="720" w:firstLineChars="225"/>
        <w:jc w:val="both"/>
        <w:rPr>
          <w:rFonts w:ascii="黑体" w:hAnsi="黑体" w:eastAsia="黑体"/>
          <w:lang w:val="en-US"/>
        </w:rPr>
      </w:pPr>
      <w:r>
        <w:rPr>
          <w:rFonts w:hint="eastAsia" w:ascii="黑体" w:hAnsi="黑体" w:eastAsia="黑体"/>
          <w:lang w:val="en-US"/>
        </w:rPr>
        <w:t>政府性基金预算财政拨款支出决算情况说明</w:t>
      </w:r>
      <w:r>
        <w:rPr>
          <w:rFonts w:ascii="黑体" w:hAnsi="黑体" w:eastAsia="黑体"/>
          <w:lang w:val="en-US"/>
        </w:rPr>
        <w:t xml:space="preserve"> </w:t>
      </w:r>
    </w:p>
    <w:p>
      <w:pPr>
        <w:pStyle w:val="2"/>
        <w:numPr>
          <w:ilvl w:val="0"/>
          <w:numId w:val="0"/>
        </w:numPr>
        <w:spacing w:before="2" w:line="520" w:lineRule="exact"/>
        <w:ind w:right="270" w:rightChars="0"/>
        <w:jc w:val="both"/>
        <w:rPr>
          <w:rFonts w:hint="eastAsia" w:ascii="黑体" w:hAnsi="黑体" w:eastAsia="黑体"/>
          <w:lang w:val="en-US" w:eastAsia="zh-CN"/>
        </w:rPr>
      </w:pPr>
      <w:r>
        <w:rPr>
          <w:rFonts w:hint="eastAsia" w:ascii="黑体" w:hAnsi="黑体" w:eastAsia="黑体"/>
          <w:lang w:val="en-US" w:eastAsia="zh-CN"/>
        </w:rPr>
        <w:t xml:space="preserve">      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lang w:val="en-US"/>
        </w:rPr>
        <w:t>2017年度机关运行经费支出</w:t>
      </w:r>
      <w:r>
        <w:rPr>
          <w:rFonts w:hint="eastAsia"/>
          <w:lang w:val="en-US" w:eastAsia="zh-CN"/>
        </w:rPr>
        <w:t>55.27</w:t>
      </w:r>
      <w:r>
        <w:rPr>
          <w:lang w:val="en-US"/>
        </w:rPr>
        <w:t>万元，</w:t>
      </w:r>
      <w:r>
        <w:rPr>
          <w:rFonts w:hint="eastAsia"/>
          <w:lang w:val="en-US"/>
        </w:rPr>
        <w:t>认真贯彻落实中央八项规定精神，统筹安排日常办公性支出，厉行节约，反对浪费。</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rFonts w:hint="eastAsia"/>
          <w:lang w:val="en-US" w:eastAsia="zh-CN"/>
        </w:rPr>
        <w:t>无</w:t>
      </w:r>
      <w:r>
        <w:rPr>
          <w:lang w:val="en-US"/>
        </w:rPr>
        <w:t xml:space="preserve"> </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tabs>
          <w:tab w:val="left" w:pos="3993"/>
        </w:tabs>
        <w:spacing w:before="32" w:line="520" w:lineRule="exact"/>
        <w:ind w:firstLine="880" w:firstLineChars="400"/>
        <w:jc w:val="both"/>
        <w:rPr>
          <w:rFonts w:ascii="黑体" w:eastAsia="黑体"/>
          <w:sz w:val="48"/>
        </w:rPr>
      </w:pPr>
      <w:r>
        <w:rPr>
          <w:rFonts w:hint="eastAsia"/>
          <w:lang w:val="en-US" w:eastAsia="zh-CN"/>
        </w:rPr>
        <w:t>无</w:t>
      </w: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both"/>
        <w:rPr>
          <w:rFonts w:ascii="黑体" w:eastAsia="黑体"/>
          <w:sz w:val="48"/>
        </w:rPr>
      </w:pPr>
    </w:p>
    <w:p>
      <w:pPr>
        <w:tabs>
          <w:tab w:val="left" w:pos="3993"/>
        </w:tabs>
        <w:spacing w:before="32" w:line="520" w:lineRule="exact"/>
        <w:ind w:firstLine="1080" w:firstLineChars="225"/>
        <w:jc w:val="center"/>
        <w:rPr>
          <w:rFonts w:hint="eastAsia" w:ascii="黑体" w:eastAsia="黑体"/>
          <w:sz w:val="48"/>
        </w:rPr>
      </w:pPr>
    </w:p>
    <w:p>
      <w:pPr>
        <w:tabs>
          <w:tab w:val="left" w:pos="3993"/>
        </w:tabs>
        <w:spacing w:before="32" w:line="520" w:lineRule="exact"/>
        <w:ind w:firstLine="1080" w:firstLineChars="225"/>
        <w:jc w:val="center"/>
        <w:rPr>
          <w:rFonts w:hint="eastAsia" w:ascii="黑体" w:eastAsia="黑体"/>
          <w:sz w:val="48"/>
        </w:rPr>
      </w:pPr>
    </w:p>
    <w:p>
      <w:pPr>
        <w:tabs>
          <w:tab w:val="left" w:pos="3993"/>
        </w:tabs>
        <w:spacing w:before="32" w:line="520" w:lineRule="exact"/>
        <w:ind w:firstLine="1080" w:firstLineChars="225"/>
        <w:jc w:val="center"/>
        <w:rPr>
          <w:rFonts w:hint="eastAsia" w:ascii="黑体" w:eastAsia="黑体"/>
          <w:sz w:val="48"/>
        </w:rPr>
      </w:pPr>
    </w:p>
    <w:p>
      <w:pPr>
        <w:tabs>
          <w:tab w:val="left" w:pos="3993"/>
        </w:tabs>
        <w:spacing w:before="32" w:line="520" w:lineRule="exact"/>
        <w:ind w:firstLine="1080" w:firstLineChars="225"/>
        <w:jc w:val="center"/>
        <w:rPr>
          <w:rFonts w:hint="eastAsia" w:ascii="黑体" w:eastAsia="黑体"/>
          <w:sz w:val="48"/>
        </w:rPr>
      </w:pPr>
    </w:p>
    <w:p>
      <w:pPr>
        <w:tabs>
          <w:tab w:val="left" w:pos="3993"/>
        </w:tabs>
        <w:spacing w:before="32" w:line="520" w:lineRule="exact"/>
        <w:ind w:firstLine="1080" w:firstLineChars="225"/>
        <w:jc w:val="center"/>
        <w:rPr>
          <w:rFonts w:hint="eastAsia" w:ascii="黑体" w:eastAsia="黑体"/>
          <w:sz w:val="48"/>
        </w:rPr>
      </w:pPr>
    </w:p>
    <w:p>
      <w:pPr>
        <w:tabs>
          <w:tab w:val="left" w:pos="3993"/>
        </w:tabs>
        <w:spacing w:before="32" w:line="520" w:lineRule="exact"/>
        <w:ind w:firstLine="1080" w:firstLineChars="225"/>
        <w:jc w:val="center"/>
        <w:rPr>
          <w:rFonts w:hint="eastAsia" w:ascii="黑体" w:eastAsia="黑体"/>
          <w:sz w:val="48"/>
        </w:rPr>
      </w:pPr>
    </w:p>
    <w:p>
      <w:pPr>
        <w:tabs>
          <w:tab w:val="left" w:pos="3993"/>
        </w:tabs>
        <w:spacing w:before="32" w:line="520" w:lineRule="exact"/>
        <w:ind w:firstLine="1080" w:firstLineChars="225"/>
        <w:jc w:val="center"/>
        <w:rPr>
          <w:rFonts w:ascii="黑体" w:eastAsia="黑体"/>
          <w:sz w:val="48"/>
        </w:rPr>
      </w:pPr>
      <w:r>
        <w:rPr>
          <w:rFonts w:hint="eastAsia" w:ascii="黑体" w:eastAsia="黑体"/>
          <w:sz w:val="48"/>
        </w:rPr>
        <w:t>第</w:t>
      </w:r>
      <w:r>
        <w:rPr>
          <w:rFonts w:hint="eastAsia" w:ascii="黑体" w:eastAsia="黑体"/>
          <w:sz w:val="48"/>
          <w:lang w:val="en-US" w:eastAsia="zh-CN"/>
        </w:rPr>
        <w:t>三</w:t>
      </w:r>
      <w:r>
        <w:rPr>
          <w:rFonts w:hint="eastAsia" w:ascii="黑体" w:eastAsia="黑体"/>
          <w:sz w:val="48"/>
        </w:rPr>
        <w:t>部分</w:t>
      </w:r>
      <w:r>
        <w:rPr>
          <w:rFonts w:ascii="黑体" w:eastAsia="黑体"/>
          <w:sz w:val="48"/>
        </w:rPr>
        <w:t xml:space="preserve"> 名词解释</w:t>
      </w:r>
    </w:p>
    <w:p>
      <w:pPr>
        <w:pStyle w:val="2"/>
        <w:spacing w:before="2" w:line="520" w:lineRule="exact"/>
        <w:ind w:right="270" w:firstLine="722" w:firstLineChars="225"/>
        <w:jc w:val="both"/>
        <w:rPr>
          <w:b/>
          <w:lang w:val="en-US"/>
        </w:rPr>
      </w:pPr>
    </w:p>
    <w:p>
      <w:pPr>
        <w:pStyle w:val="2"/>
        <w:spacing w:before="2" w:line="520" w:lineRule="exact"/>
        <w:ind w:right="270" w:firstLine="642" w:firstLineChars="200"/>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pPr>
        <w:pStyle w:val="2"/>
        <w:spacing w:before="2" w:line="520" w:lineRule="exact"/>
        <w:ind w:right="270" w:firstLine="722" w:firstLineChars="225"/>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2"/>
        <w:spacing w:before="2" w:line="520" w:lineRule="exact"/>
        <w:ind w:right="270" w:firstLine="722" w:firstLineChars="225"/>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2"/>
        <w:spacing w:before="2" w:line="520" w:lineRule="exact"/>
        <w:ind w:right="270" w:firstLine="722" w:firstLineChars="225"/>
        <w:jc w:val="both"/>
        <w:rPr>
          <w:lang w:val="en-US"/>
        </w:rPr>
      </w:pPr>
      <w:r>
        <w:rPr>
          <w:rFonts w:hint="eastAsia"/>
          <w:b/>
          <w:lang w:val="en-US"/>
        </w:rPr>
        <w:t>四、年初结转和结余</w:t>
      </w:r>
      <w:r>
        <w:rPr>
          <w:rFonts w:hint="eastAsia"/>
          <w:lang w:val="en-US"/>
        </w:rPr>
        <w:t>：指以前年度尚未完成、结转到本年</w:t>
      </w:r>
    </w:p>
    <w:p>
      <w:pPr>
        <w:pStyle w:val="2"/>
        <w:spacing w:before="2" w:line="520" w:lineRule="exact"/>
        <w:ind w:right="270" w:firstLine="720" w:firstLineChars="225"/>
        <w:jc w:val="both"/>
        <w:rPr>
          <w:lang w:val="en-US"/>
        </w:rPr>
      </w:pPr>
      <w:r>
        <w:rPr>
          <w:rFonts w:hint="eastAsia"/>
          <w:lang w:val="en-US"/>
        </w:rPr>
        <w:t>按有关规定继续使用的资金。</w:t>
      </w:r>
      <w:r>
        <w:rPr>
          <w:lang w:val="en-US"/>
        </w:rPr>
        <w:t xml:space="preserve"> </w:t>
      </w:r>
    </w:p>
    <w:p>
      <w:pPr>
        <w:pStyle w:val="2"/>
        <w:spacing w:before="2" w:line="520" w:lineRule="exact"/>
        <w:ind w:right="270" w:firstLine="722" w:firstLineChars="225"/>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pPr>
        <w:pStyle w:val="2"/>
        <w:spacing w:before="2" w:line="520" w:lineRule="exact"/>
        <w:ind w:right="270" w:firstLine="722" w:firstLineChars="225"/>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pPr>
        <w:pStyle w:val="2"/>
        <w:spacing w:before="2" w:line="520" w:lineRule="exact"/>
        <w:ind w:right="270" w:firstLine="722" w:firstLineChars="225"/>
        <w:jc w:val="both"/>
        <w:rPr>
          <w:b/>
          <w:lang w:val="en-US"/>
        </w:rPr>
      </w:pPr>
      <w:r>
        <w:rPr>
          <w:rFonts w:hint="eastAsia"/>
          <w:b/>
          <w:lang w:val="en-US"/>
        </w:rPr>
        <w:t>七、社会保障和就业（类）行政事业单位离退休（款）</w:t>
      </w:r>
    </w:p>
    <w:p>
      <w:pPr>
        <w:pStyle w:val="2"/>
        <w:spacing w:before="2" w:line="520" w:lineRule="exact"/>
        <w:ind w:right="270" w:firstLine="720" w:firstLineChars="225"/>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2"/>
        <w:spacing w:before="2" w:line="520" w:lineRule="exact"/>
        <w:ind w:right="270" w:firstLine="722" w:firstLineChars="225"/>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pPr>
        <w:pStyle w:val="2"/>
        <w:spacing w:before="2" w:line="520" w:lineRule="exact"/>
        <w:ind w:right="270" w:firstLine="722" w:firstLineChars="225"/>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pPr>
        <w:pStyle w:val="2"/>
        <w:spacing w:before="2" w:line="520" w:lineRule="exact"/>
        <w:ind w:right="270" w:firstLine="722" w:firstLineChars="225"/>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pPr>
        <w:pStyle w:val="2"/>
        <w:spacing w:before="2" w:line="520" w:lineRule="exact"/>
        <w:ind w:right="270" w:firstLine="722" w:firstLineChars="225"/>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pPr>
        <w:pStyle w:val="2"/>
        <w:spacing w:before="2" w:line="520" w:lineRule="exact"/>
        <w:ind w:right="270" w:firstLine="722" w:firstLineChars="225"/>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2"/>
        <w:spacing w:before="2" w:line="520" w:lineRule="exact"/>
        <w:ind w:right="270" w:firstLine="722" w:firstLineChars="225"/>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pPr>
        <w:pStyle w:val="2"/>
        <w:spacing w:before="2" w:line="520" w:lineRule="exact"/>
        <w:ind w:right="270" w:firstLine="722" w:firstLineChars="225"/>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pPr>
        <w:pStyle w:val="2"/>
        <w:spacing w:before="2" w:line="520" w:lineRule="exact"/>
        <w:ind w:right="270" w:firstLine="722" w:firstLineChars="225"/>
        <w:jc w:val="both"/>
        <w:rPr>
          <w:lang w:val="en-US"/>
        </w:rPr>
      </w:pPr>
      <w:r>
        <w:rPr>
          <w:rFonts w:hint="eastAsia"/>
          <w:b/>
          <w:lang w:val="en-US"/>
        </w:rPr>
        <w:t>十五、“三公”经费</w:t>
      </w:r>
      <w:r>
        <w:rPr>
          <w:rFonts w:hint="eastAsia"/>
          <w:lang w:val="en-US"/>
        </w:rPr>
        <w:t>：指纳入省级财政预算管理，部门使</w:t>
      </w:r>
    </w:p>
    <w:p>
      <w:pPr>
        <w:pStyle w:val="2"/>
        <w:spacing w:before="2" w:line="520" w:lineRule="exact"/>
        <w:ind w:right="270" w:firstLine="720" w:firstLineChars="225"/>
        <w:jc w:val="both"/>
        <w:rPr>
          <w:lang w:val="en-US"/>
        </w:rPr>
      </w:pPr>
      <w:r>
        <w:rPr>
          <w:rFonts w:hint="eastAsia"/>
          <w:lang w:val="en-US"/>
        </w:rPr>
        <w:t>用财政拨款安排的因公出国（境）费、公务用车购置及运行费和公务接待费。其中，因公出国（境）费反映单位公务出国（境）的住宿费、</w:t>
      </w:r>
      <w:r>
        <w:rPr>
          <w:rFonts w:hint="eastAsia"/>
          <w:lang w:val="en-US" w:eastAsia="zh-CN"/>
        </w:rPr>
        <w:t>差</w:t>
      </w:r>
      <w:r>
        <w:rPr>
          <w:rFonts w:hint="eastAsia"/>
          <w:lang w:val="en-US"/>
        </w:rPr>
        <w:t>旅费、伙食补助费、</w:t>
      </w:r>
      <w:r>
        <w:rPr>
          <w:rFonts w:hint="eastAsia"/>
          <w:lang w:val="en-US" w:eastAsia="zh-CN"/>
        </w:rPr>
        <w:t>公</w:t>
      </w:r>
      <w:r>
        <w:rPr>
          <w:rFonts w:hint="eastAsia"/>
          <w:lang w:val="en-US"/>
        </w:rPr>
        <w:t xml:space="preserve">杂费、培训费等支出；公务用车购置及运行费反映单位公务用车购置费及租用费、燃料费、维修费、过路过桥费、保险费、安全奖励费用等支出；公务接待费反映单位按规定开支的各类公务接待（含外宾接待）支出。 </w:t>
      </w:r>
    </w:p>
    <w:p>
      <w:pPr>
        <w:pStyle w:val="2"/>
        <w:numPr>
          <w:ilvl w:val="0"/>
          <w:numId w:val="4"/>
        </w:numPr>
        <w:spacing w:before="2" w:line="520" w:lineRule="exact"/>
        <w:ind w:right="270" w:firstLine="722" w:firstLineChars="225"/>
        <w:jc w:val="both"/>
        <w:rPr>
          <w:rFonts w:hint="eastAsia"/>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numPr>
          <w:ilvl w:val="0"/>
          <w:numId w:val="0"/>
        </w:numPr>
        <w:spacing w:before="2" w:line="520" w:lineRule="exact"/>
        <w:ind w:right="270" w:rightChars="0"/>
        <w:jc w:val="both"/>
        <w:rPr>
          <w:rFonts w:hint="eastAsia"/>
          <w:lang w:val="en-US"/>
        </w:rPr>
      </w:pPr>
    </w:p>
    <w:p>
      <w:pPr>
        <w:pStyle w:val="2"/>
        <w:tabs>
          <w:tab w:val="left" w:pos="2027"/>
        </w:tabs>
        <w:spacing w:line="406" w:lineRule="exact"/>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 w:line="520" w:lineRule="exact"/>
        <w:ind w:left="317" w:right="270" w:firstLine="640" w:firstLineChars="200"/>
        <w:jc w:val="both"/>
        <w:rPr>
          <w:lang w:val="en-US"/>
        </w:rPr>
      </w:pPr>
    </w:p>
    <w:sectPr>
      <w:footerReference r:id="rId5" w:type="default"/>
      <w:pgSz w:w="11910" w:h="16840"/>
      <w:pgMar w:top="1520" w:right="1278" w:bottom="1180" w:left="1480" w:header="0" w:footer="999"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0000000000000000000"/>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仿宋_GB2312" w:hAnsi="仿宋_GB2312" w:eastAsia="仿宋_GB2312" w:cs="仿宋_GB2312"/>
        <w:sz w:val="18"/>
        <w:szCs w:val="18"/>
        <w:lang w:val="zh-CN" w:eastAsia="zh-CN" w:bidi="zh-CN"/>
      </w:rPr>
      <w:pict>
        <v:shape id="_x0000_s4097" o:spid="_x0000_s4097" o:spt="202" type="#_x0000_t202"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w:pict>
        <v:shape id="_x0000_s4098" o:spid="_x0000_s4098" o:spt="202" type="#_x0000_t202" style="position:absolute;left:0pt;margin-top:0pt;height:144pt;width:144pt;mso-position-horizontal:center;mso-position-horizontal-relative:margin;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w:r>
    <w:r>
      <w:rPr>
        <w:rFonts w:ascii="仿宋_GB2312" w:hAnsi="仿宋_GB2312" w:eastAsia="仿宋_GB2312" w:cs="仿宋_GB2312"/>
        <w:sz w:val="32"/>
        <w:szCs w:val="32"/>
        <w:lang w:val="zh-CN" w:eastAsia="zh-CN" w:bidi="zh-CN"/>
      </w:rPr>
      <w:pict>
        <v:shape id="_x0000_s4099" o:spid="_x0000_s4099" o:spt="202" type="#_x0000_t202" style="position:absolute;left:0pt;margin-left:289.15pt;margin-top:794.7pt;height:12pt;width:17.1pt;mso-position-horizontal-relative:page;mso-position-vertical-relative:pag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w:pict>
        <v:shape id="_x0000_s4100" o:spid="_x0000_s4100" o:spt="202" type="#_x0000_t202" style="position:absolute;left:0pt;margin-top:0pt;height:144pt;width:144pt;mso-position-horizontal:center;mso-position-horizontal-relative:margin;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shape>
      </w:pict>
    </w:r>
    <w:r>
      <w:rPr>
        <w:rFonts w:ascii="仿宋_GB2312" w:hAnsi="仿宋_GB2312" w:eastAsia="仿宋_GB2312" w:cs="仿宋_GB2312"/>
        <w:sz w:val="32"/>
        <w:szCs w:val="32"/>
        <w:lang w:val="zh-CN" w:eastAsia="zh-CN" w:bidi="zh-CN"/>
      </w:rPr>
      <w:pict>
        <v:shape id="_x0000_s4101" o:spid="_x0000_s4101" o:spt="202" type="#_x0000_t202" style="position:absolute;left:0pt;margin-left:295.15pt;margin-top:781.05pt;height:12pt;width:6.5pt;mso-position-horizontal-relative:page;mso-position-vertical-relative:page;z-index:-25165721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979FD4"/>
    <w:multiLevelType w:val="singleLevel"/>
    <w:tmpl w:val="D8979FD4"/>
    <w:lvl w:ilvl="0" w:tentative="0">
      <w:start w:val="1"/>
      <w:numFmt w:val="decimal"/>
      <w:lvlText w:val="%1."/>
      <w:lvlJc w:val="left"/>
      <w:pPr>
        <w:tabs>
          <w:tab w:val="left" w:pos="312"/>
        </w:tabs>
      </w:pPr>
    </w:lvl>
  </w:abstractNum>
  <w:abstractNum w:abstractNumId="1">
    <w:nsid w:val="E2B5BBA6"/>
    <w:multiLevelType w:val="singleLevel"/>
    <w:tmpl w:val="E2B5BBA6"/>
    <w:lvl w:ilvl="0" w:tentative="0">
      <w:start w:val="9"/>
      <w:numFmt w:val="chineseCounting"/>
      <w:suff w:val="nothing"/>
      <w:lvlText w:val="%1、"/>
      <w:lvlJc w:val="left"/>
      <w:rPr>
        <w:rFonts w:hint="eastAsia"/>
      </w:rPr>
    </w:lvl>
  </w:abstractNum>
  <w:abstractNum w:abstractNumId="2">
    <w:nsid w:val="4D0359FC"/>
    <w:multiLevelType w:val="singleLevel"/>
    <w:tmpl w:val="4D0359FC"/>
    <w:lvl w:ilvl="0" w:tentative="0">
      <w:start w:val="16"/>
      <w:numFmt w:val="chineseCounting"/>
      <w:suff w:val="nothing"/>
      <w:lvlText w:val="%1、"/>
      <w:lvlJc w:val="left"/>
      <w:rPr>
        <w:rFonts w:hint="eastAsia"/>
      </w:rPr>
    </w:lvl>
  </w:abstractNum>
  <w:abstractNum w:abstractNumId="3">
    <w:nsid w:val="55A12DD7"/>
    <w:multiLevelType w:val="singleLevel"/>
    <w:tmpl w:val="55A12DD7"/>
    <w:lvl w:ilvl="0" w:tentative="0">
      <w:start w:val="1"/>
      <w:numFmt w:val="decimal"/>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drawingGridHorizontalSpacing w:val="110"/>
  <w:displayHorizontalDrawingGridEvery w:val="2"/>
  <w:displayVerticalDrawingGridEvery w:val="1"/>
  <w:characterSpacingControl w:val="doNotCompress"/>
  <w:hdrShapeDefaults>
    <o:shapelayout v:ext="edit">
      <o:idmap v:ext="edit" data="3,4"/>
    </o:shapelayout>
  </w:hdrShapeDefaults>
  <w:compat>
    <w:spaceForUL/>
    <w:doNotLeaveBackslashAlone/>
    <w:ulTrailSpace/>
    <w:doNotExpandShiftReturn/>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0D51FBC"/>
    <w:rsid w:val="018A3126"/>
    <w:rsid w:val="077161FD"/>
    <w:rsid w:val="08295AF8"/>
    <w:rsid w:val="098D75BA"/>
    <w:rsid w:val="16E34B82"/>
    <w:rsid w:val="1B654080"/>
    <w:rsid w:val="1B7C1B8B"/>
    <w:rsid w:val="1BBC44E9"/>
    <w:rsid w:val="23A02CB7"/>
    <w:rsid w:val="261710AD"/>
    <w:rsid w:val="2B0C7B06"/>
    <w:rsid w:val="314F3E97"/>
    <w:rsid w:val="36371B05"/>
    <w:rsid w:val="3652171A"/>
    <w:rsid w:val="4EF745A9"/>
    <w:rsid w:val="567C4AF5"/>
    <w:rsid w:val="5E4A1E32"/>
    <w:rsid w:val="69C1548A"/>
    <w:rsid w:val="6C336D9D"/>
    <w:rsid w:val="73E978A5"/>
    <w:rsid w:val="7FBB5465"/>
    <w:rsid w:val="7FD95E41"/>
    <w:rsid w:val="97BFCC6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sz w:val="32"/>
      <w:szCs w:val="32"/>
    </w:rPr>
  </w:style>
  <w:style w:type="paragraph" w:styleId="3">
    <w:name w:val="footer"/>
    <w:basedOn w:val="1"/>
    <w:link w:val="10"/>
    <w:qFormat/>
    <w:uiPriority w:val="0"/>
    <w:pPr>
      <w:tabs>
        <w:tab w:val="center" w:pos="4153"/>
        <w:tab w:val="right" w:pos="8306"/>
      </w:tabs>
      <w:snapToGrid w:val="0"/>
    </w:pPr>
    <w:rPr>
      <w:rFonts w:ascii="仿宋_GB2312" w:hAnsi="仿宋_GB2312" w:eastAsia="仿宋_GB2312" w:cs="仿宋_GB2312"/>
      <w:sz w:val="18"/>
      <w:szCs w:val="18"/>
      <w:lang w:val="zh-CN" w:eastAsia="zh-CN" w:bidi="zh-CN"/>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rFonts w:ascii="仿宋_GB2312" w:hAnsi="仿宋_GB2312" w:eastAsia="仿宋_GB2312" w:cs="仿宋_GB2312"/>
      <w:sz w:val="18"/>
      <w:szCs w:val="18"/>
      <w:lang w:val="zh-CN" w:eastAsia="zh-CN" w:bidi="zh-CN"/>
    </w:rPr>
  </w:style>
  <w:style w:type="character" w:styleId="7">
    <w:name w:val="FollowedHyperlink"/>
    <w:basedOn w:val="6"/>
    <w:qFormat/>
    <w:uiPriority w:val="0"/>
    <w:rPr>
      <w:color w:val="800080"/>
      <w:u w:val="single"/>
    </w:rPr>
  </w:style>
  <w:style w:type="paragraph" w:customStyle="1" w:styleId="8">
    <w:name w:val="批注框文本1"/>
    <w:basedOn w:val="1"/>
    <w:link w:val="9"/>
    <w:qFormat/>
    <w:uiPriority w:val="0"/>
    <w:rPr>
      <w:rFonts w:ascii="仿宋_GB2312" w:hAnsi="仿宋_GB2312" w:eastAsia="仿宋_GB2312" w:cs="仿宋_GB2312"/>
      <w:sz w:val="18"/>
      <w:szCs w:val="18"/>
      <w:lang w:val="zh-CN" w:bidi="zh-CN"/>
    </w:rPr>
  </w:style>
  <w:style w:type="character" w:customStyle="1" w:styleId="9">
    <w:name w:val="批注框文本 Char"/>
    <w:basedOn w:val="6"/>
    <w:link w:val="8"/>
    <w:semiHidden/>
    <w:qFormat/>
    <w:uiPriority w:val="0"/>
    <w:rPr>
      <w:rFonts w:ascii="仿宋_GB2312" w:hAnsi="仿宋_GB2312" w:eastAsia="仿宋_GB2312" w:cs="仿宋_GB2312"/>
      <w:sz w:val="18"/>
      <w:szCs w:val="18"/>
      <w:lang w:val="zh-CN" w:bidi="zh-CN"/>
    </w:rPr>
  </w:style>
  <w:style w:type="character" w:customStyle="1" w:styleId="10">
    <w:name w:val="页脚 Char"/>
    <w:basedOn w:val="6"/>
    <w:link w:val="3"/>
    <w:semiHidden/>
    <w:qFormat/>
    <w:uiPriority w:val="0"/>
    <w:rPr>
      <w:rFonts w:ascii="仿宋_GB2312" w:hAnsi="仿宋_GB2312" w:eastAsia="仿宋_GB2312" w:cs="仿宋_GB2312"/>
      <w:sz w:val="18"/>
      <w:szCs w:val="18"/>
      <w:lang w:val="zh-CN" w:eastAsia="zh-CN" w:bidi="zh-CN"/>
    </w:rPr>
  </w:style>
  <w:style w:type="character" w:customStyle="1" w:styleId="11">
    <w:name w:val="页眉 Char"/>
    <w:basedOn w:val="6"/>
    <w:link w:val="4"/>
    <w:semiHidden/>
    <w:qFormat/>
    <w:uiPriority w:val="0"/>
    <w:rPr>
      <w:rFonts w:ascii="仿宋_GB2312" w:hAnsi="仿宋_GB2312" w:eastAsia="仿宋_GB2312" w:cs="仿宋_GB2312"/>
      <w:sz w:val="18"/>
      <w:szCs w:val="18"/>
      <w:lang w:val="zh-CN" w:eastAsia="zh-CN" w:bidi="zh-CN"/>
    </w:rPr>
  </w:style>
  <w:style w:type="paragraph" w:customStyle="1" w:styleId="12">
    <w:name w:val="Normal (Web)"/>
    <w:basedOn w:val="1"/>
    <w:qFormat/>
    <w:uiPriority w:val="0"/>
    <w:pPr>
      <w:widowControl/>
      <w:spacing w:before="100" w:beforeAutospacing="1" w:after="100" w:afterAutospacing="1"/>
    </w:pPr>
    <w:rPr>
      <w:rFonts w:ascii="宋体" w:hAnsi="宋体" w:eastAsia="宋体" w:cs="宋体"/>
      <w:sz w:val="24"/>
      <w:szCs w:val="24"/>
      <w:lang w:val="en-US" w:bidi="ar-SA"/>
    </w:rPr>
  </w:style>
  <w:style w:type="paragraph" w:customStyle="1" w:styleId="13">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4">
    <w:name w:val="List Paragraph"/>
    <w:basedOn w:val="1"/>
    <w:qFormat/>
    <w:uiPriority w:val="0"/>
  </w:style>
  <w:style w:type="paragraph" w:customStyle="1" w:styleId="15">
    <w:name w:val="Table Paragraph"/>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3381</Words>
  <Characters>19276</Characters>
  <Lines>160</Lines>
  <Paragraphs>45</Paragraphs>
  <TotalTime>2</TotalTime>
  <ScaleCrop>false</ScaleCrop>
  <LinksUpToDate>false</LinksUpToDate>
  <CharactersWithSpaces>0</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2018-09-07T00:10:00Z</dcterms:created>
  <dc:creator>Administrator</dc:creator>
  <cp:lastModifiedBy>greatwall</cp:lastModifiedBy>
  <dcterms:modified xsi:type="dcterms:W3CDTF">2023-01-18T09:47:49Z</dcterms:modified>
  <dc:title>&lt;4D6963726F736F667420576F7264202D20BAD3C4CFCAA1B2C6D5FECCFC32303137C4EABEF6CBE3B9ABBFAACBB5C3F7205F382E3238B2CCD6F7C8CEB8C45F&gt;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2052-11.8.2.10489</vt:lpwstr>
  </property>
</Properties>
</file>