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  <w:lang w:val="en-US" w:eastAsia="zh-CN"/>
        </w:rPr>
        <w:t>西华县地方史志编纂馆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bookmarkStart w:id="0" w:name="_GoBack"/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bookmarkEnd w:id="0"/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2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360" w:lineRule="auto"/>
        <w:ind w:right="0"/>
        <w:textAlignment w:val="auto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bCs/>
          <w:color w:val="000000"/>
          <w:sz w:val="32"/>
          <w:szCs w:val="32"/>
        </w:rPr>
        <w:t>第一部分</w:t>
      </w:r>
    </w:p>
    <w:p>
      <w:pPr>
        <w:adjustRightInd w:val="0"/>
        <w:snapToGrid w:val="0"/>
        <w:spacing w:line="580" w:lineRule="exact"/>
        <w:jc w:val="center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西华县地方史志编纂馆</w:t>
      </w:r>
      <w:r>
        <w:rPr>
          <w:rFonts w:hint="eastAsia" w:ascii="黑体" w:hAnsi="仿宋_GB2312" w:eastAsia="黑体" w:cs="仿宋_GB2312"/>
          <w:bCs/>
          <w:color w:val="000000"/>
          <w:sz w:val="32"/>
          <w:szCs w:val="32"/>
        </w:rPr>
        <w:t>概况</w:t>
      </w:r>
    </w:p>
    <w:p>
      <w:pPr>
        <w:adjustRightInd w:val="0"/>
        <w:snapToGrid w:val="0"/>
        <w:spacing w:line="58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240" w:lineRule="auto"/>
        <w:ind w:right="3569" w:firstLine="640" w:firstLineChars="200"/>
        <w:jc w:val="both"/>
        <w:textAlignment w:val="auto"/>
        <w:rPr>
          <w:rFonts w:hint="eastAsia" w:ascii="方正黑体_GBK" w:hAnsi="方正黑体_GBK" w:eastAsia="方正黑体_GBK" w:cs="方正黑体_GBK"/>
          <w:color w:val="000000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color w:val="000000"/>
          <w:sz w:val="32"/>
          <w:szCs w:val="32"/>
          <w:lang w:eastAsia="zh-CN"/>
        </w:rPr>
        <w:t>一、主要职能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240" w:lineRule="auto"/>
        <w:ind w:right="3569" w:firstLine="640" w:firstLineChars="200"/>
        <w:jc w:val="both"/>
        <w:textAlignment w:val="auto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（一）机构设置情况</w:t>
      </w:r>
    </w:p>
    <w:p>
      <w:pPr>
        <w:keepNext w:val="0"/>
        <w:keepLines w:val="0"/>
        <w:pageBreakBefore w:val="0"/>
        <w:widowControl w:val="0"/>
        <w:wordWrap/>
        <w:topLinePunct w:val="0"/>
        <w:autoSpaceDE/>
        <w:autoSpaceDN/>
        <w:bidi w:val="0"/>
        <w:spacing w:line="240" w:lineRule="auto"/>
        <w:ind w:firstLine="960" w:firstLineChars="300"/>
        <w:jc w:val="both"/>
        <w:textAlignment w:val="auto"/>
        <w:rPr>
          <w:rFonts w:ascii="仿宋" w:hAnsi="仿宋" w:eastAsia="仿宋" w:cs="宋体"/>
          <w:color w:val="000000"/>
          <w:sz w:val="17"/>
          <w:szCs w:val="17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西华县地方史志编纂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馆</w:t>
      </w:r>
      <w:r>
        <w:rPr>
          <w:rFonts w:hint="eastAsia" w:ascii="仿宋" w:hAnsi="仿宋" w:eastAsia="仿宋" w:cs="仿宋"/>
          <w:bCs/>
          <w:sz w:val="32"/>
          <w:szCs w:val="32"/>
        </w:rPr>
        <w:t>属西华县县政府正科级单位，为全供事业单位，人员编制8人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240" w:lineRule="auto"/>
        <w:ind w:right="3569" w:firstLine="640" w:firstLineChars="200"/>
        <w:jc w:val="both"/>
        <w:textAlignment w:val="auto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（二）部门职责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240" w:lineRule="auto"/>
        <w:ind w:right="-44" w:firstLine="960" w:firstLineChars="3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西华县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</w:rPr>
        <w:t>地方史志编纂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馆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</w:rPr>
        <w:t>，主要是编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</w:rPr>
        <w:t>当地年鉴、修编地方志的部门。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征集、整理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地方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史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志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资料，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</w:rPr>
        <w:t>规划、协调地方史志工作；制定地方史志编纂业务规范；组织、检查、指导地方史志编纂工作；编纂、审查、验收有关地方史志稿件；征集、整理、保存地方史志文献，开展地方史志学术研究；宣传、推广地方史志成果，开展地情研究，建设地情文献库和地情文献网站，为公众读志用志提供服务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240" w:lineRule="auto"/>
        <w:ind w:right="-44" w:firstLine="960" w:firstLineChars="30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240" w:lineRule="auto"/>
        <w:ind w:right="0" w:firstLine="640" w:firstLineChars="200"/>
        <w:jc w:val="both"/>
        <w:textAlignment w:val="auto"/>
        <w:outlineLvl w:val="0"/>
        <w:rPr>
          <w:rFonts w:hint="eastAsia" w:ascii="黑体" w:hAnsi="仿宋_GB2312" w:eastAsia="黑体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  <w:lang w:eastAsia="zh-CN"/>
        </w:rPr>
        <w:t>二</w:t>
      </w:r>
      <w:r>
        <w:rPr>
          <w:rFonts w:hint="eastAsia" w:ascii="黑体" w:hAnsi="仿宋_GB2312" w:eastAsia="黑体" w:cs="仿宋_GB2312"/>
          <w:color w:val="000000"/>
          <w:sz w:val="32"/>
          <w:szCs w:val="32"/>
          <w:lang w:val="en-US" w:eastAsia="zh-CN"/>
        </w:rPr>
        <w:t>、西华县地方史志编纂馆预算单位构成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240" w:lineRule="auto"/>
        <w:ind w:right="0"/>
        <w:jc w:val="both"/>
        <w:textAlignment w:val="auto"/>
        <w:outlineLvl w:val="0"/>
        <w:rPr>
          <w:rFonts w:hint="default" w:ascii="黑体" w:hAnsi="仿宋_GB2312" w:eastAsia="黑体" w:cs="仿宋_GB2312"/>
          <w:color w:val="00000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snapToGrid w:val="0"/>
        <w:spacing w:line="240" w:lineRule="auto"/>
        <w:ind w:right="118" w:firstLine="648" w:firstLineChars="200"/>
        <w:jc w:val="both"/>
        <w:textAlignment w:val="auto"/>
        <w:rPr>
          <w:rFonts w:ascii="仿宋" w:hAnsi="仿宋" w:eastAsia="仿宋" w:cs="宋体"/>
          <w:bCs/>
          <w:color w:val="00000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spacing w:val="2"/>
          <w:sz w:val="32"/>
          <w:szCs w:val="32"/>
          <w:lang w:eastAsia="zh-CN"/>
        </w:rPr>
        <w:t>西华县地方史志编纂馆共设四个股室</w:t>
      </w:r>
      <w:r>
        <w:rPr>
          <w:rFonts w:hint="eastAsia" w:ascii="仿宋" w:hAnsi="仿宋" w:eastAsia="仿宋"/>
          <w:color w:val="000000"/>
          <w:sz w:val="32"/>
          <w:szCs w:val="32"/>
        </w:rPr>
        <w:t>：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办公室、</w:t>
      </w:r>
      <w:r>
        <w:rPr>
          <w:rFonts w:ascii="仿宋" w:hAnsi="仿宋" w:eastAsia="仿宋"/>
          <w:color w:val="000000"/>
          <w:sz w:val="32"/>
          <w:szCs w:val="32"/>
        </w:rPr>
        <w:t xml:space="preserve"> </w:t>
      </w:r>
      <w:r>
        <w:rPr>
          <w:rFonts w:hint="eastAsia" w:ascii="仿宋" w:hAnsi="仿宋" w:eastAsia="仿宋"/>
          <w:color w:val="000000"/>
          <w:sz w:val="32"/>
          <w:szCs w:val="32"/>
        </w:rPr>
        <w:t>人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秘</w:t>
      </w:r>
      <w:r>
        <w:rPr>
          <w:rFonts w:hint="eastAsia" w:ascii="仿宋" w:hAnsi="仿宋" w:eastAsia="仿宋"/>
          <w:color w:val="000000"/>
          <w:sz w:val="32"/>
          <w:szCs w:val="32"/>
        </w:rPr>
        <w:t>股、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编审</w:t>
      </w:r>
      <w:r>
        <w:rPr>
          <w:rFonts w:hint="eastAsia" w:ascii="仿宋" w:hAnsi="仿宋" w:eastAsia="仿宋"/>
          <w:color w:val="000000"/>
          <w:sz w:val="32"/>
          <w:szCs w:val="32"/>
        </w:rPr>
        <w:t>股、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资料信息</w:t>
      </w:r>
      <w:r>
        <w:rPr>
          <w:rFonts w:hint="eastAsia" w:ascii="仿宋" w:hAnsi="仿宋" w:eastAsia="仿宋"/>
          <w:color w:val="000000"/>
          <w:sz w:val="32"/>
          <w:szCs w:val="32"/>
        </w:rPr>
        <w:t>股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。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6"/>
          <w:szCs w:val="36"/>
        </w:rPr>
      </w:pP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bCs/>
          <w:color w:val="000000"/>
          <w:sz w:val="32"/>
          <w:szCs w:val="32"/>
        </w:rPr>
        <w:t>第二部分</w:t>
      </w:r>
    </w:p>
    <w:p>
      <w:pPr>
        <w:widowControl/>
        <w:shd w:val="clear" w:color="auto" w:fill="FFFFFF"/>
        <w:spacing w:line="580" w:lineRule="exact"/>
        <w:jc w:val="center"/>
        <w:rPr>
          <w:rFonts w:ascii="黑体" w:hAnsi="仿宋_GB2312" w:eastAsia="黑体" w:cs="仿宋_GB2312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西华县地方史志编纂馆</w:t>
      </w:r>
      <w:r>
        <w:rPr>
          <w:rFonts w:hint="eastAsia" w:ascii="黑体" w:hAnsi="仿宋_GB2312" w:eastAsia="黑体" w:cs="仿宋_GB2312"/>
          <w:bCs/>
          <w:color w:val="000000"/>
          <w:sz w:val="32"/>
          <w:szCs w:val="32"/>
        </w:rPr>
        <w:t>2021年度部门预算情况说明</w:t>
      </w: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adjustRightInd w:val="0"/>
        <w:snapToGrid w:val="0"/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Arial" w:hAnsi="Arial" w:eastAsia="仿宋_GB2312" w:cs="Arial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万元，支出总计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万元，与2019年相比，收、支总计各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18.39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23.1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%。主要原因：</w:t>
      </w:r>
      <w:r>
        <w:rPr>
          <w:rFonts w:hint="eastAsia" w:ascii="仿宋" w:hAnsi="宋体" w:eastAsia="仿宋" w:cs="宋体"/>
          <w:kern w:val="0"/>
          <w:sz w:val="32"/>
          <w:szCs w:val="32"/>
        </w:rPr>
        <w:t>其中工资福利支出中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5.6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万元，商品服务支出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减少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0.85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万元，对个人家庭福利支出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增加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0.4</w:t>
      </w:r>
      <w:r>
        <w:rPr>
          <w:rFonts w:hint="eastAsia" w:ascii="仿宋" w:hAnsi="宋体" w:eastAsia="仿宋" w:cs="宋体"/>
          <w:kern w:val="0"/>
          <w:sz w:val="32"/>
          <w:szCs w:val="32"/>
        </w:rPr>
        <w:t>万元，收支增加原因是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人员变动。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 xml:space="preserve">  </w:t>
      </w:r>
    </w:p>
    <w:p>
      <w:pPr>
        <w:adjustRightInd w:val="0"/>
        <w:snapToGrid w:val="0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widowControl/>
        <w:shd w:val="clear" w:color="auto" w:fill="FFFFFF"/>
        <w:spacing w:line="580" w:lineRule="exact"/>
        <w:ind w:firstLine="64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2021年收入合计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万元，其中：一般公共预算收入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万元; 政府性基金预算收入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万元；国有资本经营预算收入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万元；其他收入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2021年支出合计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86.19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100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；项目支出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11.54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%。 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2021年一般公共预算收支预算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万元。政府性基金收支预算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与 2020年相比，一般公共预算收支预算增加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18.39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23.1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%，主要原因：</w:t>
      </w:r>
      <w:r>
        <w:rPr>
          <w:rFonts w:hint="eastAsia" w:ascii="仿宋" w:hAnsi="宋体" w:eastAsia="仿宋" w:cs="宋体"/>
          <w:kern w:val="0"/>
          <w:sz w:val="32"/>
          <w:szCs w:val="32"/>
        </w:rPr>
        <w:t>收支增加原因是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人员变动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政府性基金收支增加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万元，增长</w:t>
      </w:r>
      <w:r>
        <w:rPr>
          <w:rFonts w:hint="eastAsia" w:ascii="Arial" w:hAnsi="Arial" w:eastAsia="仿宋_GB2312" w:cs="Arial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</w:t>
      </w:r>
      <w:r>
        <w:rPr>
          <w:rFonts w:hint="eastAsia" w:ascii="Arial" w:hAnsi="Arial" w:eastAsia="仿宋_GB2312" w:cs="Arial"/>
          <w:color w:val="000000"/>
          <w:sz w:val="32"/>
          <w:szCs w:val="32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widowControl/>
        <w:spacing w:line="580" w:lineRule="exact"/>
        <w:ind w:firstLine="622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2021年一般公共预算支出年初预算为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万元。主要用于以下方面：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一般公共服务支出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8.99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8.99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5.33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5.33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%；住房保障支出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4.41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4.41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widowControl/>
        <w:spacing w:line="580" w:lineRule="exact"/>
        <w:ind w:firstLine="622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2021年一般公共预算基本支出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97.73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pacing w:val="-1"/>
          <w:kern w:val="0"/>
          <w:sz w:val="32"/>
          <w:szCs w:val="32"/>
          <w:lang w:val="en-US" w:eastAsia="zh-CN"/>
        </w:rPr>
        <w:t>86.19</w:t>
      </w:r>
      <w:r>
        <w:rPr>
          <w:rFonts w:hint="eastAsia" w:ascii="仿宋_GB2312" w:hAnsi="仿宋_GB2312" w:eastAsia="仿宋_GB2312" w:cs="仿宋_GB2312"/>
          <w:b w:val="0"/>
          <w:bCs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</w:rPr>
        <w:t>公用经费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  <w:lang w:val="en-US" w:eastAsia="zh-CN"/>
        </w:rPr>
        <w:t>11.54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（此处单位根据实际情况选列）</w:t>
      </w:r>
    </w:p>
    <w:p>
      <w:pPr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2021年没有使用政府性基金预算拨款安排的支出。</w:t>
      </w:r>
    </w:p>
    <w:p>
      <w:pPr>
        <w:spacing w:line="580" w:lineRule="exact"/>
        <w:ind w:firstLine="640" w:firstLineChars="200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2021年没有使用国有资本经营预算拨款安排的支出。</w:t>
      </w:r>
    </w:p>
    <w:p>
      <w:pPr>
        <w:spacing w:line="580" w:lineRule="exact"/>
        <w:ind w:firstLine="640" w:firstLineChars="200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widowControl/>
        <w:spacing w:line="560" w:lineRule="atLeast"/>
        <w:ind w:firstLine="640" w:firstLineChars="200"/>
        <w:jc w:val="left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2021年“三公”经费预算为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21</w:t>
      </w:r>
      <w:r>
        <w:rPr>
          <w:rFonts w:hint="eastAsia" w:ascii="仿宋" w:hAnsi="宋体" w:eastAsia="仿宋" w:cs="宋体"/>
          <w:kern w:val="0"/>
          <w:sz w:val="32"/>
          <w:szCs w:val="32"/>
        </w:rPr>
        <w:t>年“三公”经费支出预算数与</w:t>
      </w:r>
      <w:r>
        <w:rPr>
          <w:rFonts w:ascii="仿宋" w:hAnsi="宋体" w:eastAsia="仿宋" w:cs="宋体"/>
          <w:kern w:val="0"/>
          <w:sz w:val="32"/>
          <w:szCs w:val="32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" w:hAnsi="宋体" w:eastAsia="仿宋" w:cs="宋体"/>
          <w:kern w:val="0"/>
          <w:sz w:val="32"/>
          <w:szCs w:val="32"/>
        </w:rPr>
        <w:t>年相比持平。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具体支出情况如下：</w:t>
      </w:r>
    </w:p>
    <w:p>
      <w:pPr>
        <w:numPr>
          <w:ilvl w:val="0"/>
          <w:numId w:val="1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</w:p>
    <w:p>
      <w:pPr>
        <w:numPr>
          <w:ilvl w:val="0"/>
          <w:numId w:val="1"/>
        </w:num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36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元。其中公务车辆购置费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万元，主要用于</w:t>
      </w:r>
      <w:r>
        <w:rPr>
          <w:rFonts w:hint="eastAsia" w:ascii="仿宋" w:hAnsi="宋体" w:eastAsia="仿宋" w:cs="宋体"/>
          <w:kern w:val="0"/>
          <w:sz w:val="32"/>
          <w:szCs w:val="32"/>
        </w:rPr>
        <w:t>用于开展工作所需公务用车的燃料费、维修费、过路过桥费、保险费、安全奖励费用等支出</w:t>
      </w:r>
      <w:r>
        <w:rPr>
          <w:rFonts w:hint="eastAsia" w:ascii="仿宋" w:hAnsi="宋体" w:eastAsia="仿宋" w:cs="宋体"/>
          <w:kern w:val="0"/>
          <w:sz w:val="32"/>
          <w:szCs w:val="32"/>
          <w:lang w:eastAsia="zh-CN"/>
        </w:rPr>
        <w:t>。</w:t>
      </w:r>
    </w:p>
    <w:p>
      <w:pPr>
        <w:spacing w:line="580" w:lineRule="exact"/>
        <w:ind w:firstLine="636" w:firstLineChars="200"/>
        <w:outlineLvl w:val="0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楷体_GB2312" w:hAnsi="仿宋_GB2312" w:eastAsia="楷体_GB2312" w:cs="仿宋_GB2312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11.54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万元，主要保障机关机构正常运转及正常履职需要的办公费、水电费、物业费、维修费、差旅费等支出，比2020年增加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5.19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本单位2021年度未安排重点项目支出资金，所以未开展绩效评价工作。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 </w:t>
      </w:r>
    </w:p>
    <w:p>
      <w:pPr>
        <w:spacing w:line="580" w:lineRule="exact"/>
        <w:ind w:left="420" w:leftChars="200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年期末，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widowControl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项，我部门将按照《预算法》等有关规定，积极做好项目分配前期准备工作，在规定的时间内向财政部门提出资金分配意见，根据有关要求做好项目申报公开等相关工作。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widowControl/>
        <w:spacing w:line="580" w:lineRule="exact"/>
        <w:ind w:firstLine="640" w:firstLineChars="20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西华县地方史志编纂馆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按照市财政预算公开要求，将所属预算单位全部纳入预算公开范围。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2" w:firstLineChars="200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adjustRightInd w:val="0"/>
        <w:snapToGrid w:val="0"/>
        <w:spacing w:line="580" w:lineRule="exact"/>
        <w:jc w:val="center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adjustRightInd w:val="0"/>
        <w:snapToGrid w:val="0"/>
        <w:spacing w:line="580" w:lineRule="exact"/>
        <w:jc w:val="center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sz w:val="32"/>
          <w:szCs w:val="32"/>
        </w:rPr>
        <w:t>第三部分  名词解释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一、财政拨款收入：是指市级财政当年拨付的资金。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 得的收入。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insoku w:val="0"/>
        <w:overflowPunct w:val="0"/>
        <w:autoSpaceDE w:val="0"/>
        <w:autoSpaceDN w:val="0"/>
        <w:adjustRightInd w:val="0"/>
        <w:snapToGrid w:val="0"/>
        <w:spacing w:line="580" w:lineRule="exact"/>
        <w:ind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八、其他（专业性较强的需向社会做出说明的名词）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CESI楷体-GB13000">
    <w:panose1 w:val="02000500000000000000"/>
    <w:charset w:val="86"/>
    <w:family w:val="auto"/>
    <w:pitch w:val="default"/>
    <w:sig w:usb0="800002BF" w:usb1="38CF7CF8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3B7B44"/>
    <w:rsid w:val="25A8021D"/>
    <w:rsid w:val="2AF72228"/>
    <w:rsid w:val="35605B1F"/>
    <w:rsid w:val="46A826A8"/>
    <w:rsid w:val="4FA941C1"/>
    <w:rsid w:val="507B4D30"/>
    <w:rsid w:val="5D226A80"/>
    <w:rsid w:val="5F2719BB"/>
    <w:rsid w:val="75BD517E"/>
    <w:rsid w:val="7690208A"/>
    <w:rsid w:val="7CD97E6A"/>
    <w:rsid w:val="7DDD3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rPr>
      <w:rFonts w:eastAsia="仿宋_GB2312"/>
      <w:sz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2021-11-10T08:50:00Z</dcterms:created>
  <dc:creator>Administrator</dc:creator>
  <cp:lastModifiedBy>greatwall</cp:lastModifiedBy>
  <dcterms:modified xsi:type="dcterms:W3CDTF">2023-01-22T11:33:16Z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5CAA30FC6E8A4C08A750779EA2E4B0F9</vt:lpwstr>
  </property>
</Properties>
</file>