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  <w:r>
        <w:rPr>
          <w:rFonts w:hint="eastAsia" w:ascii="黑体" w:hAnsi="黑体" w:eastAsia="黑体"/>
          <w:color w:val="000000"/>
          <w:sz w:val="52"/>
          <w:szCs w:val="52"/>
          <w:lang w:eastAsia="zh-CN"/>
        </w:rPr>
        <w:t>西华县老干部局</w:t>
      </w: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  <w:r>
        <w:rPr>
          <w:rFonts w:hint="eastAsia" w:ascii="黑体" w:hAnsi="黑体" w:eastAsia="黑体"/>
          <w:color w:val="000000"/>
          <w:sz w:val="52"/>
          <w:szCs w:val="52"/>
        </w:rPr>
        <w:t>2021年度部门预算</w:t>
      </w: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jc w:val="center"/>
        <w:rPr>
          <w:rFonts w:ascii="黑体" w:hAnsi="黑体" w:eastAsia="黑体"/>
          <w:color w:val="000000"/>
          <w:sz w:val="52"/>
          <w:szCs w:val="52"/>
        </w:rPr>
      </w:pPr>
    </w:p>
    <w:p>
      <w:pPr>
        <w:adjustRightInd w:val="0"/>
        <w:snapToGrid w:val="0"/>
        <w:spacing w:line="360" w:lineRule="auto"/>
        <w:jc w:val="center"/>
        <w:rPr>
          <w:rFonts w:ascii="方正小标宋简体" w:hAnsi="方正小标宋简体" w:eastAsia="方正小标宋简体" w:cs="方正小标宋简体"/>
          <w:color w:val="000000"/>
          <w:sz w:val="44"/>
          <w:szCs w:val="44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hint="eastAsia" w:ascii="黑体" w:hAnsi="方正小标宋简体" w:eastAsia="黑体" w:cs="方正小标宋简体"/>
          <w:color w:val="000000"/>
          <w:sz w:val="32"/>
          <w:szCs w:val="32"/>
        </w:rPr>
      </w:pPr>
    </w:p>
    <w:p>
      <w:pPr>
        <w:adjustRightInd w:val="0"/>
        <w:snapToGrid w:val="0"/>
        <w:spacing w:line="360" w:lineRule="auto"/>
        <w:jc w:val="center"/>
        <w:rPr>
          <w:rFonts w:ascii="黑体" w:hAnsi="方正小标宋简体" w:eastAsia="黑体" w:cs="方正小标宋简体"/>
          <w:color w:val="000000"/>
          <w:sz w:val="44"/>
          <w:szCs w:val="44"/>
        </w:rPr>
      </w:pPr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二○二一年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  <w:lang w:val="en-US" w:eastAsia="zh-CN"/>
        </w:rPr>
        <w:t>十</w:t>
      </w:r>
      <w:r>
        <w:rPr>
          <w:rFonts w:hint="eastAsia" w:ascii="黑体" w:hAnsi="方正小标宋简体" w:eastAsia="黑体" w:cs="方正小标宋简体"/>
          <w:color w:val="000000"/>
          <w:sz w:val="32"/>
          <w:szCs w:val="32"/>
        </w:rPr>
        <w:t>月</w:t>
      </w:r>
    </w:p>
    <w:p>
      <w:pPr>
        <w:kinsoku w:val="0"/>
        <w:overflowPunct w:val="0"/>
        <w:adjustRightInd w:val="0"/>
        <w:snapToGrid w:val="0"/>
        <w:spacing w:line="360" w:lineRule="auto"/>
        <w:ind w:left="101" w:right="3569" w:firstLine="640" w:firstLineChars="20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right="51"/>
        <w:rPr>
          <w:rFonts w:ascii="仿宋_GB2312" w:hAnsi="仿宋_GB2312" w:eastAsia="仿宋_GB2312" w:cs="仿宋_GB2312"/>
          <w:color w:val="000000"/>
          <w:sz w:val="44"/>
          <w:szCs w:val="44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left="-142" w:right="51" w:firstLine="30" w:firstLineChars="7"/>
        <w:jc w:val="center"/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</w:pPr>
    </w:p>
    <w:p>
      <w:pPr>
        <w:kinsoku w:val="0"/>
        <w:overflowPunct w:val="0"/>
        <w:adjustRightInd w:val="0"/>
        <w:snapToGrid w:val="0"/>
        <w:spacing w:line="580" w:lineRule="exact"/>
        <w:ind w:left="-142" w:right="51" w:firstLine="30" w:firstLineChars="7"/>
        <w:jc w:val="center"/>
        <w:rPr>
          <w:rFonts w:ascii="方正小标宋简体" w:hAnsi="仿宋_GB2312" w:eastAsia="方正小标宋简体" w:cs="仿宋_GB2312"/>
          <w:color w:val="000000"/>
          <w:sz w:val="44"/>
          <w:szCs w:val="44"/>
        </w:rPr>
      </w:pPr>
      <w:r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  <w:t>目</w:t>
      </w:r>
      <w:r>
        <w:rPr>
          <w:rFonts w:hint="eastAsia" w:ascii="方正小标宋简体" w:hAnsi="仿宋_GB2312" w:eastAsia="方正小标宋简体" w:cs="仿宋_GB2312"/>
          <w:color w:val="000000"/>
          <w:spacing w:val="2"/>
          <w:sz w:val="44"/>
          <w:szCs w:val="44"/>
        </w:rPr>
        <w:t xml:space="preserve"> </w:t>
      </w:r>
      <w:r>
        <w:rPr>
          <w:rFonts w:hint="eastAsia" w:ascii="方正小标宋简体" w:hAnsi="仿宋_GB2312" w:eastAsia="方正小标宋简体" w:cs="仿宋_GB2312"/>
          <w:color w:val="000000"/>
          <w:sz w:val="44"/>
          <w:szCs w:val="44"/>
        </w:rPr>
        <w:t>录</w:t>
      </w:r>
    </w:p>
    <w:p>
      <w:pPr>
        <w:kinsoku w:val="0"/>
        <w:overflowPunct w:val="0"/>
        <w:adjustRightInd w:val="0"/>
        <w:snapToGrid w:val="0"/>
        <w:spacing w:line="580" w:lineRule="exact"/>
        <w:ind w:right="3569" w:firstLine="642" w:firstLineChars="200"/>
        <w:rPr>
          <w:rFonts w:ascii="仿宋_GB2312" w:hAnsi="仿宋_GB2312" w:eastAsia="仿宋_GB2312" w:cs="仿宋_GB2312"/>
          <w:b/>
          <w:bCs/>
          <w:color w:val="000000"/>
          <w:sz w:val="32"/>
          <w:szCs w:val="32"/>
        </w:rPr>
      </w:pPr>
    </w:p>
    <w:p>
      <w:pPr>
        <w:kinsoku w:val="0"/>
        <w:overflowPunct w:val="0"/>
        <w:adjustRightInd w:val="0"/>
        <w:snapToGrid w:val="0"/>
        <w:spacing w:line="360" w:lineRule="auto"/>
        <w:ind w:right="3569" w:firstLine="642" w:firstLineChars="200"/>
        <w:rPr>
          <w:rFonts w:ascii="仿宋_GB2312" w:hAnsi="仿宋_GB2312" w:eastAsia="仿宋_GB2312" w:cs="仿宋_GB2312"/>
          <w:w w:val="99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第一部分  概况</w:t>
      </w:r>
      <w:r>
        <w:rPr>
          <w:rFonts w:hint="eastAsia" w:ascii="仿宋_GB2312" w:hAnsi="仿宋_GB2312" w:eastAsia="仿宋_GB2312" w:cs="仿宋_GB2312"/>
          <w:w w:val="99"/>
          <w:sz w:val="32"/>
          <w:szCs w:val="32"/>
        </w:rPr>
        <w:t xml:space="preserve"> 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一、主要职能</w:t>
      </w:r>
    </w:p>
    <w:p>
      <w:pPr>
        <w:kinsoku w:val="0"/>
        <w:overflowPunct w:val="0"/>
        <w:adjustRightInd w:val="0"/>
        <w:snapToGrid w:val="0"/>
        <w:spacing w:line="360" w:lineRule="auto"/>
        <w:ind w:right="3569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二、部门预算单位构成</w:t>
      </w:r>
    </w:p>
    <w:p>
      <w:pPr>
        <w:kinsoku w:val="0"/>
        <w:overflowPunct w:val="0"/>
        <w:adjustRightInd w:val="0"/>
        <w:snapToGrid w:val="0"/>
        <w:spacing w:line="360" w:lineRule="auto"/>
        <w:ind w:right="521" w:firstLine="642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 xml:space="preserve">第二部分 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eastAsia="zh-CN"/>
        </w:rPr>
        <w:t>老干部局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2021年部门预算情况说明</w:t>
      </w:r>
    </w:p>
    <w:p>
      <w:pPr>
        <w:kinsoku w:val="0"/>
        <w:overflowPunct w:val="0"/>
        <w:adjustRightInd w:val="0"/>
        <w:snapToGrid w:val="0"/>
        <w:spacing w:line="360" w:lineRule="auto"/>
        <w:ind w:right="521" w:firstLine="642" w:firstLineChars="200"/>
        <w:rPr>
          <w:rFonts w:ascii="仿宋_GB2312" w:hAnsi="仿宋_GB2312" w:eastAsia="仿宋_GB2312" w:cs="仿宋_GB2312"/>
          <w:b/>
          <w:bCs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第三部分 名词解释</w:t>
      </w:r>
    </w:p>
    <w:p>
      <w:pPr>
        <w:kinsoku w:val="0"/>
        <w:overflowPunct w:val="0"/>
        <w:adjustRightInd w:val="0"/>
        <w:snapToGrid w:val="0"/>
        <w:spacing w:line="360" w:lineRule="auto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附件：</w:t>
      </w:r>
      <w:r>
        <w:rPr>
          <w:rFonts w:hint="eastAsia" w:ascii="仿宋_GB2312" w:hAnsi="仿宋_GB2312" w:eastAsia="仿宋_GB2312" w:cs="仿宋_GB2312"/>
          <w:spacing w:val="-3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老干部局</w:t>
      </w:r>
      <w:r>
        <w:rPr>
          <w:rFonts w:hint="eastAsia" w:ascii="仿宋_GB2312" w:hAnsi="仿宋_GB2312" w:eastAsia="仿宋_GB2312" w:cs="仿宋_GB2312"/>
          <w:sz w:val="32"/>
          <w:szCs w:val="32"/>
        </w:rPr>
        <w:t>2021年度部门预算表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一、部门收支总体情况表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二、部门收入总体情况表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三、部门支出总体情况表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四、财政拨款收支总体情况表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五、一般公共预算支出情况表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六、一般公共预算基本支出情况表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七、一般公共预算“三公”经费支出情况表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八、政府性基金预算支出情况表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九、国有资本经营预算收支情况表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十、机关运行经费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十一、部门（单位）整体绩效目标表</w:t>
      </w:r>
    </w:p>
    <w:p>
      <w:pPr>
        <w:kinsoku w:val="0"/>
        <w:overflowPunct w:val="0"/>
        <w:adjustRightInd w:val="0"/>
        <w:snapToGrid w:val="0"/>
        <w:spacing w:line="360" w:lineRule="auto"/>
        <w:ind w:right="51" w:firstLine="960" w:firstLineChars="300"/>
        <w:jc w:val="lef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十二、项目（政策）绩效目标表</w:t>
      </w:r>
    </w:p>
    <w:p>
      <w:pPr>
        <w:keepNext w:val="0"/>
        <w:keepLines w:val="0"/>
        <w:pageBreakBefore w:val="0"/>
        <w:wordWrap/>
        <w:topLinePunct w:val="0"/>
        <w:bidi w:val="0"/>
        <w:adjustRightInd w:val="0"/>
        <w:snapToGrid w:val="0"/>
        <w:spacing w:line="240" w:lineRule="auto"/>
        <w:jc w:val="center"/>
        <w:textAlignment w:val="auto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第一部分</w:t>
      </w:r>
    </w:p>
    <w:p>
      <w:pPr>
        <w:keepNext w:val="0"/>
        <w:keepLines w:val="0"/>
        <w:pageBreakBefore w:val="0"/>
        <w:wordWrap/>
        <w:topLinePunct w:val="0"/>
        <w:bidi w:val="0"/>
        <w:adjustRightInd w:val="0"/>
        <w:snapToGrid w:val="0"/>
        <w:spacing w:line="240" w:lineRule="auto"/>
        <w:jc w:val="center"/>
        <w:textAlignment w:val="auto"/>
        <w:rPr>
          <w:rFonts w:ascii="黑体" w:hAnsi="仿宋_GB2312" w:eastAsia="黑体" w:cs="仿宋_GB2312"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  <w:lang w:eastAsia="zh-CN"/>
        </w:rPr>
        <w:t>老干部局</w:t>
      </w: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概况</w:t>
      </w:r>
    </w:p>
    <w:p>
      <w:pPr>
        <w:keepNext w:val="0"/>
        <w:keepLines w:val="0"/>
        <w:pageBreakBefore w:val="0"/>
        <w:wordWrap/>
        <w:topLinePunct w:val="0"/>
        <w:bidi w:val="0"/>
        <w:adjustRightInd w:val="0"/>
        <w:snapToGrid w:val="0"/>
        <w:spacing w:line="240" w:lineRule="auto"/>
        <w:ind w:firstLine="640" w:firstLineChars="200"/>
        <w:jc w:val="center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numPr>
          <w:ilvl w:val="0"/>
          <w:numId w:val="1"/>
        </w:numPr>
        <w:wordWrap/>
        <w:topLinePunct w:val="0"/>
        <w:bidi w:val="0"/>
        <w:adjustRightInd w:val="0"/>
        <w:snapToGrid w:val="0"/>
        <w:spacing w:line="240" w:lineRule="auto"/>
        <w:ind w:firstLine="640" w:firstLineChars="200"/>
        <w:textAlignment w:val="auto"/>
        <w:outlineLvl w:val="0"/>
        <w:rPr>
          <w:rFonts w:ascii="黑体" w:hAnsi="仿宋_GB2312" w:eastAsia="黑体" w:cs="仿宋_GB2312"/>
          <w:color w:val="000000"/>
          <w:sz w:val="32"/>
          <w:szCs w:val="32"/>
        </w:rPr>
      </w:pPr>
      <w:r>
        <w:rPr>
          <w:rFonts w:hint="eastAsia" w:ascii="黑体" w:hAnsi="仿宋_GB2312" w:eastAsia="黑体" w:cs="仿宋_GB2312"/>
          <w:color w:val="000000"/>
          <w:sz w:val="32"/>
          <w:szCs w:val="32"/>
        </w:rPr>
        <w:t>主要职能</w:t>
      </w:r>
    </w:p>
    <w:p>
      <w:pPr>
        <w:keepNext w:val="0"/>
        <w:keepLines w:val="0"/>
        <w:pageBreakBefore w:val="0"/>
        <w:numPr>
          <w:ilvl w:val="0"/>
          <w:numId w:val="2"/>
        </w:numPr>
        <w:kinsoku w:val="0"/>
        <w:wordWrap/>
        <w:overflowPunct w:val="0"/>
        <w:topLinePunct w:val="0"/>
        <w:bidi w:val="0"/>
        <w:adjustRightInd w:val="0"/>
        <w:snapToGrid w:val="0"/>
        <w:spacing w:line="240" w:lineRule="auto"/>
        <w:ind w:right="3569" w:firstLine="640" w:firstLineChars="200"/>
        <w:jc w:val="left"/>
        <w:textAlignment w:val="auto"/>
        <w:rPr>
          <w:rFonts w:hint="eastAsia"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z w:val="32"/>
          <w:szCs w:val="32"/>
        </w:rPr>
        <w:t>机构设置情况</w:t>
      </w:r>
    </w:p>
    <w:p>
      <w:pPr>
        <w:keepNext w:val="0"/>
        <w:keepLines w:val="0"/>
        <w:pageBreakBefore w:val="0"/>
        <w:widowControl w:val="0"/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both"/>
        <w:textAlignment w:val="auto"/>
        <w:rPr>
          <w:rFonts w:hint="default" w:ascii="楷体_GB2312" w:hAnsi="仿宋_GB2312" w:eastAsia="楷体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楷体_GB2312" w:hAnsi="仿宋_GB2312" w:eastAsia="楷体_GB2312" w:cs="仿宋_GB2312"/>
          <w:color w:val="000000"/>
          <w:sz w:val="32"/>
          <w:szCs w:val="32"/>
          <w:lang w:val="en-US" w:eastAsia="zh-CN"/>
        </w:rPr>
        <w:t xml:space="preserve">   </w:t>
      </w:r>
      <w:r>
        <w:rPr>
          <w:rFonts w:hint="eastAsia" w:ascii="仿宋" w:hAnsi="仿宋" w:eastAsia="仿宋" w:cs="宋体"/>
          <w:color w:val="353535"/>
          <w:sz w:val="32"/>
          <w:szCs w:val="32"/>
        </w:rPr>
        <w:t>西华县</w:t>
      </w:r>
      <w:r>
        <w:rPr>
          <w:rFonts w:hint="eastAsia" w:ascii="仿宋" w:hAnsi="仿宋" w:eastAsia="仿宋" w:cs="宋体"/>
          <w:color w:val="353535"/>
          <w:sz w:val="32"/>
          <w:szCs w:val="32"/>
          <w:lang w:val="en-US" w:eastAsia="zh-CN"/>
        </w:rPr>
        <w:t>老干部局</w:t>
      </w:r>
      <w:r>
        <w:rPr>
          <w:rFonts w:hint="eastAsia" w:ascii="仿宋" w:hAnsi="仿宋" w:eastAsia="仿宋" w:cs="宋体"/>
          <w:color w:val="353535"/>
          <w:sz w:val="32"/>
          <w:szCs w:val="32"/>
        </w:rPr>
        <w:t>为县政府组成部门，局机关共设行政股室</w:t>
      </w:r>
      <w:r>
        <w:rPr>
          <w:rFonts w:hint="eastAsia" w:ascii="仿宋" w:hAnsi="仿宋" w:eastAsia="仿宋" w:cs="宋体"/>
          <w:color w:val="353535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宋体"/>
          <w:color w:val="353535"/>
          <w:sz w:val="32"/>
          <w:szCs w:val="32"/>
        </w:rPr>
        <w:t>个、事业股室</w:t>
      </w:r>
      <w:r>
        <w:rPr>
          <w:rFonts w:hint="eastAsia" w:ascii="仿宋" w:hAnsi="仿宋" w:eastAsia="仿宋" w:cs="宋体"/>
          <w:color w:val="353535"/>
          <w:sz w:val="32"/>
          <w:szCs w:val="32"/>
          <w:lang w:val="en-US" w:eastAsia="zh-CN"/>
        </w:rPr>
        <w:t>0</w:t>
      </w:r>
      <w:r>
        <w:rPr>
          <w:rFonts w:hint="eastAsia" w:ascii="仿宋" w:hAnsi="仿宋" w:eastAsia="仿宋" w:cs="宋体"/>
          <w:color w:val="353535"/>
          <w:sz w:val="32"/>
          <w:szCs w:val="32"/>
        </w:rPr>
        <w:t>个，局属二级</w:t>
      </w:r>
      <w:r>
        <w:rPr>
          <w:rFonts w:hint="eastAsia" w:ascii="仿宋" w:hAnsi="仿宋" w:eastAsia="仿宋" w:cs="宋体"/>
          <w:color w:val="353535"/>
          <w:sz w:val="32"/>
          <w:szCs w:val="32"/>
          <w:lang w:val="en-US" w:eastAsia="zh-CN"/>
        </w:rPr>
        <w:t>机构2</w:t>
      </w:r>
      <w:r>
        <w:rPr>
          <w:rFonts w:hint="eastAsia" w:ascii="仿宋" w:hAnsi="仿宋" w:eastAsia="仿宋" w:cs="宋体"/>
          <w:color w:val="353535"/>
          <w:sz w:val="32"/>
          <w:szCs w:val="32"/>
        </w:rPr>
        <w:t>个。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西华县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老干部局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共有编制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24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人，其中：行政编制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人，事业编制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18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人。目前，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老干部局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在职人员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20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人，离休人员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</w:t>
      </w:r>
      <w:r>
        <w:rPr>
          <w:rFonts w:ascii="仿宋" w:hAnsi="仿宋" w:eastAsia="仿宋" w:cs="宋体"/>
          <w:color w:val="000000"/>
          <w:sz w:val="32"/>
          <w:szCs w:val="32"/>
        </w:rPr>
        <w:t>,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退休人员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13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</w:t>
      </w:r>
      <w:r>
        <w:rPr>
          <w:rFonts w:ascii="仿宋" w:hAnsi="仿宋" w:eastAsia="仿宋" w:cs="宋体"/>
          <w:color w:val="000000"/>
          <w:sz w:val="32"/>
          <w:szCs w:val="32"/>
        </w:rPr>
        <w:t>,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遗嘱人员</w:t>
      </w:r>
      <w:r>
        <w:rPr>
          <w:rFonts w:hint="eastAsia" w:ascii="仿宋" w:hAnsi="仿宋" w:eastAsia="仿宋" w:cs="宋体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宋体"/>
          <w:color w:val="000000"/>
          <w:sz w:val="32"/>
          <w:szCs w:val="32"/>
        </w:rPr>
        <w:t>人。</w:t>
      </w:r>
    </w:p>
    <w:p>
      <w:pPr>
        <w:keepNext w:val="0"/>
        <w:keepLines w:val="0"/>
        <w:pageBreakBefore w:val="0"/>
        <w:numPr>
          <w:ilvl w:val="0"/>
          <w:numId w:val="2"/>
        </w:numPr>
        <w:kinsoku w:val="0"/>
        <w:wordWrap/>
        <w:overflowPunct w:val="0"/>
        <w:topLinePunct w:val="0"/>
        <w:bidi w:val="0"/>
        <w:adjustRightInd w:val="0"/>
        <w:snapToGrid w:val="0"/>
        <w:spacing w:line="240" w:lineRule="auto"/>
        <w:ind w:left="0" w:leftChars="0" w:right="3569" w:firstLine="640" w:firstLineChars="200"/>
        <w:jc w:val="left"/>
        <w:textAlignment w:val="auto"/>
        <w:rPr>
          <w:rFonts w:hint="eastAsia"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z w:val="32"/>
          <w:szCs w:val="32"/>
        </w:rPr>
        <w:t>部门职责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0" w:firstLineChars="0"/>
        <w:jc w:val="both"/>
        <w:textAlignment w:val="auto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sz w:val="32"/>
          <w:szCs w:val="32"/>
          <w:lang w:val="en-US" w:eastAsia="zh-CN"/>
        </w:rPr>
        <w:t xml:space="preserve">    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（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）贯彻落实党中央、国务院和省委、省政府关于老干部工作的方针、政策以及市委、市政府、县委、县政府有关文件规定，会同有关部门研究制定全县老干部工作的有关政策、规定。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（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2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）指导落实全县老干部政治、生活待遇各项政策规定；负责离休干部提高待遇、增加护理费、调整离休费以及县管干部退休等审批工作。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（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）抓好全县离退休干部政治建设、思想建设和党组织建设，做好老干部思想政治工作。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（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4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）负责指导全县离退休干部发挥作用工作，组织离退休干部开展为党和人民事业增添正能量活动。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（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）负责离退休干部出席重要会议、重大活动，开展调研参观考察、走访看望以及通报工作的组织服务工作。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（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6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）协同有关部门加强离退休干部学习、活动阵地建设，组织指导全县离退休干部开展文化体育活动。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（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7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）负责全县离退休干部信息、宣传指导工作。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（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）做好县级以上离退休干部外出参观考察、慰问看望易地安置（异地居住）离休干部以及外地老干部工作部门来西华的接待服务工作。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(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9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)会同有关部门研究制定老干部医疗和健康管理的规定、办法，协调有关部门做好老干部医疗和健康管理服务工作。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（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10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）按规定看望慰问老干部，协同有关部门做好老干部逝世后丧事处理有关工作。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（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11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）指导全县老干部关心教育下一代工作。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eastAsia" w:ascii="仿宋" w:hAnsi="仿宋" w:eastAsia="仿宋" w:cs="仿宋"/>
          <w:color w:val="333333"/>
          <w:kern w:val="0"/>
          <w:sz w:val="32"/>
          <w:szCs w:val="32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（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12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）指导全县老干部学校教学管理和建设工作。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shd w:val="clear" w:color="auto" w:fill="FFFFFF"/>
        <w:kinsoku/>
        <w:wordWrap/>
        <w:overflowPunct/>
        <w:topLinePunct w:val="0"/>
        <w:autoSpaceDE/>
        <w:autoSpaceDN/>
        <w:bidi w:val="0"/>
        <w:adjustRightInd/>
        <w:snapToGrid/>
        <w:spacing w:line="240" w:lineRule="auto"/>
        <w:ind w:firstLine="640" w:firstLineChars="200"/>
        <w:jc w:val="both"/>
        <w:textAlignment w:val="auto"/>
        <w:rPr>
          <w:rFonts w:hint="default" w:ascii="楷体_GB2312" w:hAnsi="仿宋_GB2312" w:eastAsia="楷体_GB2312" w:cs="仿宋_GB2312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（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  <w:lang w:val="en-US" w:eastAsia="zh-CN"/>
        </w:rPr>
        <w:t>13</w:t>
      </w:r>
      <w:r>
        <w:rPr>
          <w:rFonts w:hint="eastAsia" w:ascii="仿宋" w:hAnsi="仿宋" w:eastAsia="仿宋" w:cs="仿宋"/>
          <w:color w:val="333333"/>
          <w:kern w:val="0"/>
          <w:sz w:val="32"/>
          <w:szCs w:val="32"/>
        </w:rPr>
        <w:t>）完成县委交办的其他任务。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/>
        <w:autoSpaceDN/>
        <w:bidi w:val="0"/>
        <w:adjustRightInd w:val="0"/>
        <w:snapToGrid w:val="0"/>
        <w:spacing w:line="240" w:lineRule="auto"/>
        <w:ind w:right="0" w:firstLine="640" w:firstLineChars="200"/>
        <w:jc w:val="left"/>
        <w:textAlignment w:val="auto"/>
        <w:outlineLvl w:val="0"/>
        <w:rPr>
          <w:rFonts w:hint="eastAsia" w:ascii="黑体" w:hAnsi="仿宋_GB2312" w:eastAsia="黑体" w:cs="仿宋_GB2312"/>
          <w:color w:val="000000"/>
          <w:sz w:val="32"/>
          <w:szCs w:val="32"/>
        </w:rPr>
      </w:pPr>
      <w:r>
        <w:rPr>
          <w:rFonts w:hint="eastAsia" w:ascii="黑体" w:hAnsi="仿宋_GB2312" w:eastAsia="黑体" w:cs="仿宋_GB2312"/>
          <w:color w:val="000000"/>
          <w:sz w:val="32"/>
          <w:szCs w:val="32"/>
        </w:rPr>
        <w:t>二、</w:t>
      </w:r>
      <w:r>
        <w:rPr>
          <w:rFonts w:hint="eastAsia" w:ascii="黑体" w:hAnsi="仿宋_GB2312" w:eastAsia="黑体" w:cs="仿宋_GB2312"/>
          <w:color w:val="000000"/>
          <w:sz w:val="32"/>
          <w:szCs w:val="32"/>
          <w:lang w:eastAsia="zh-CN"/>
        </w:rPr>
        <w:t>老干部局</w:t>
      </w:r>
      <w:r>
        <w:rPr>
          <w:rFonts w:hint="eastAsia" w:ascii="黑体" w:hAnsi="仿宋_GB2312" w:eastAsia="黑体" w:cs="仿宋_GB2312"/>
          <w:color w:val="000000"/>
          <w:sz w:val="32"/>
          <w:szCs w:val="32"/>
        </w:rPr>
        <w:t>部门预算单位构成</w:t>
      </w:r>
    </w:p>
    <w:p>
      <w:pPr>
        <w:keepNext w:val="0"/>
        <w:keepLines w:val="0"/>
        <w:pageBreakBefore w:val="0"/>
        <w:widowControl/>
        <w:shd w:val="clear" w:color="auto" w:fill="FFFFFF"/>
        <w:wordWrap/>
        <w:topLinePunct w:val="0"/>
        <w:bidi w:val="0"/>
        <w:spacing w:line="24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老干部局部门预算包括局机关本级预算和局属事业单</w:t>
      </w:r>
    </w:p>
    <w:p>
      <w:pPr>
        <w:keepNext w:val="0"/>
        <w:keepLines w:val="0"/>
        <w:pageBreakBefore w:val="0"/>
        <w:widowControl/>
        <w:shd w:val="clear" w:color="auto" w:fill="FFFFFF"/>
        <w:wordWrap/>
        <w:topLinePunct w:val="0"/>
        <w:bidi w:val="0"/>
        <w:spacing w:line="240" w:lineRule="auto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位预算。局机关共设行政股室3个、事业单位2个。本预算为汇总预算，纳入本部门 2021年度部门预算编报范围的预算单位名单如下： </w:t>
      </w:r>
    </w:p>
    <w:p>
      <w:pPr>
        <w:keepNext w:val="0"/>
        <w:keepLines w:val="0"/>
        <w:pageBreakBefore w:val="0"/>
        <w:widowControl/>
        <w:shd w:val="clear" w:color="auto" w:fill="FFFFFF"/>
        <w:wordWrap/>
        <w:topLinePunct w:val="0"/>
        <w:bidi w:val="0"/>
        <w:spacing w:line="240" w:lineRule="auto"/>
        <w:ind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行政股室3个：办公室、政治待遇股、生活待遇股。</w:t>
      </w:r>
    </w:p>
    <w:p>
      <w:pPr>
        <w:keepNext w:val="0"/>
        <w:keepLines w:val="0"/>
        <w:pageBreakBefore w:val="0"/>
        <w:widowControl/>
        <w:shd w:val="clear" w:color="auto" w:fill="FFFFFF"/>
        <w:wordWrap/>
        <w:topLinePunct w:val="0"/>
        <w:bidi w:val="0"/>
        <w:spacing w:line="240" w:lineRule="auto"/>
        <w:ind w:firstLine="640" w:firstLineChars="200"/>
        <w:jc w:val="left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事业单位2个：西华县老干部活动中心、关心下一代活动委员会办公室。 </w:t>
      </w:r>
    </w:p>
    <w:p>
      <w:pPr>
        <w:keepNext w:val="0"/>
        <w:keepLines w:val="0"/>
        <w:pageBreakBefore w:val="0"/>
        <w:widowControl/>
        <w:shd w:val="clear" w:color="auto" w:fill="FFFFFF"/>
        <w:wordWrap/>
        <w:topLinePunct w:val="0"/>
        <w:bidi w:val="0"/>
        <w:spacing w:line="240" w:lineRule="auto"/>
        <w:jc w:val="center"/>
        <w:textAlignment w:val="auto"/>
        <w:rPr>
          <w:rFonts w:ascii="黑体" w:hAnsi="仿宋_GB2312" w:eastAsia="黑体" w:cs="仿宋_GB2312"/>
          <w:bCs/>
          <w:color w:val="000000"/>
          <w:sz w:val="36"/>
          <w:szCs w:val="36"/>
        </w:rPr>
      </w:pPr>
    </w:p>
    <w:p>
      <w:pPr>
        <w:keepNext w:val="0"/>
        <w:keepLines w:val="0"/>
        <w:pageBreakBefore w:val="0"/>
        <w:widowControl/>
        <w:shd w:val="clear" w:color="auto" w:fill="FFFFFF"/>
        <w:wordWrap/>
        <w:topLinePunct w:val="0"/>
        <w:bidi w:val="0"/>
        <w:spacing w:line="240" w:lineRule="auto"/>
        <w:jc w:val="center"/>
        <w:textAlignment w:val="auto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第二部分</w:t>
      </w:r>
    </w:p>
    <w:p>
      <w:pPr>
        <w:keepNext w:val="0"/>
        <w:keepLines w:val="0"/>
        <w:pageBreakBefore w:val="0"/>
        <w:widowControl/>
        <w:shd w:val="clear" w:color="auto" w:fill="FFFFFF"/>
        <w:wordWrap/>
        <w:topLinePunct w:val="0"/>
        <w:bidi w:val="0"/>
        <w:spacing w:line="240" w:lineRule="auto"/>
        <w:jc w:val="center"/>
        <w:textAlignment w:val="auto"/>
        <w:rPr>
          <w:rFonts w:ascii="黑体" w:hAnsi="仿宋_GB2312" w:eastAsia="黑体" w:cs="仿宋_GB2312"/>
          <w:bCs/>
          <w:color w:val="000000"/>
          <w:sz w:val="36"/>
          <w:szCs w:val="36"/>
        </w:rPr>
      </w:pPr>
      <w:r>
        <w:rPr>
          <w:rFonts w:hint="eastAsia" w:ascii="黑体" w:hAnsi="仿宋_GB2312" w:eastAsia="黑体" w:cs="仿宋_GB2312"/>
          <w:bCs/>
          <w:color w:val="000000"/>
          <w:sz w:val="36"/>
          <w:szCs w:val="36"/>
          <w:lang w:eastAsia="zh-CN"/>
        </w:rPr>
        <w:t>老干部局</w:t>
      </w:r>
      <w:r>
        <w:rPr>
          <w:rFonts w:hint="eastAsia" w:ascii="黑体" w:hAnsi="仿宋_GB2312" w:eastAsia="黑体" w:cs="仿宋_GB2312"/>
          <w:bCs/>
          <w:color w:val="000000"/>
          <w:sz w:val="36"/>
          <w:szCs w:val="36"/>
        </w:rPr>
        <w:t>2021年度部门预算情况说明</w:t>
      </w:r>
    </w:p>
    <w:p>
      <w:pPr>
        <w:keepNext w:val="0"/>
        <w:keepLines w:val="0"/>
        <w:pageBreakBefore w:val="0"/>
        <w:wordWrap/>
        <w:topLinePunct w:val="0"/>
        <w:bidi w:val="0"/>
        <w:adjustRightInd w:val="0"/>
        <w:snapToGrid w:val="0"/>
        <w:spacing w:line="240" w:lineRule="auto"/>
        <w:ind w:firstLine="640" w:firstLineChars="200"/>
        <w:textAlignment w:val="auto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wordWrap/>
        <w:topLinePunct w:val="0"/>
        <w:bidi w:val="0"/>
        <w:adjustRightInd w:val="0"/>
        <w:snapToGrid w:val="0"/>
        <w:spacing w:line="240" w:lineRule="auto"/>
        <w:ind w:firstLine="640" w:firstLineChars="200"/>
        <w:textAlignment w:val="auto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一、收入支出预算总体情况说明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240" w:lineRule="auto"/>
        <w:ind w:firstLine="640" w:firstLineChars="200"/>
        <w:textAlignment w:val="auto"/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eastAsia="zh-CN"/>
        </w:rPr>
        <w:t>老干部局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2021年收入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>438.52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万元，支出总计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>438.52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万元，与20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>20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年相比，收、支总计各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eastAsia="zh-CN"/>
        </w:rPr>
        <w:t>减少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>43.83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万元，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eastAsia="zh-CN"/>
        </w:rPr>
        <w:t>减少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>9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%。主要原因：</w:t>
      </w: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eastAsia="zh-CN"/>
        </w:rPr>
        <w:t>对个人和家庭的补助减少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 xml:space="preserve"> 。  </w:t>
      </w:r>
    </w:p>
    <w:p>
      <w:pPr>
        <w:keepNext w:val="0"/>
        <w:keepLines w:val="0"/>
        <w:pageBreakBefore w:val="0"/>
        <w:wordWrap/>
        <w:topLinePunct w:val="0"/>
        <w:bidi w:val="0"/>
        <w:adjustRightInd w:val="0"/>
        <w:snapToGrid w:val="0"/>
        <w:spacing w:line="240" w:lineRule="auto"/>
        <w:ind w:firstLine="640" w:firstLineChars="200"/>
        <w:textAlignment w:val="auto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二、收入预算总体情况说明</w:t>
      </w:r>
    </w:p>
    <w:p>
      <w:pPr>
        <w:keepNext w:val="0"/>
        <w:keepLines w:val="0"/>
        <w:pageBreakBefore w:val="0"/>
        <w:widowControl/>
        <w:shd w:val="clear" w:color="auto" w:fill="FFFFFF"/>
        <w:wordWrap/>
        <w:topLinePunct w:val="0"/>
        <w:bidi w:val="0"/>
        <w:spacing w:line="240" w:lineRule="auto"/>
        <w:ind w:firstLine="640"/>
        <w:textAlignment w:val="auto"/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eastAsia="zh-CN"/>
        </w:rPr>
        <w:t>老干部局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2021年收入合计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>438.52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万元，其中：一般公共预算收入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>438.52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万元; 政府性基金预算收入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万元；国有资本经营预算收入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万元；其他收入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 xml:space="preserve">万元。 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firstLine="640" w:firstLineChars="200"/>
        <w:textAlignment w:val="auto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三、支出预算总体情况说明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firstLine="640" w:firstLineChars="200"/>
        <w:textAlignment w:val="auto"/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eastAsia="zh-CN"/>
        </w:rPr>
        <w:t>老干部局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2021年支出合计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>438.52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万元，其中：基本支出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>438.52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万元，占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>100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%；项目支出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万元，占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 xml:space="preserve">%。 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firstLine="640" w:firstLineChars="200"/>
        <w:textAlignment w:val="auto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四、财政拨款收入支出预算总体情况说明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firstLine="640" w:firstLineChars="200"/>
        <w:textAlignment w:val="auto"/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eastAsia="zh-CN"/>
        </w:rPr>
        <w:t>老干部局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2021年一般公共预算收支预算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>438.52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万元。政府性基金收支预算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万元，与 2020年相比，一般公共预算收支预算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eastAsia="zh-CN"/>
        </w:rPr>
        <w:t>减少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>43.83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万元，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eastAsia="zh-CN"/>
        </w:rPr>
        <w:t>减少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>9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%，主要原因：</w:t>
      </w:r>
      <w:r>
        <w:rPr>
          <w:rFonts w:hint="eastAsia" w:ascii="方正仿宋_GBK" w:hAnsi="方正仿宋_GBK" w:eastAsia="方正仿宋_GBK" w:cs="方正仿宋_GBK"/>
          <w:kern w:val="0"/>
          <w:sz w:val="32"/>
          <w:szCs w:val="32"/>
          <w:lang w:eastAsia="zh-CN"/>
        </w:rPr>
        <w:t>对个人和家庭的补助减少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；政府性基金收支增加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万元，增长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%，主要原因：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eastAsia="zh-CN"/>
        </w:rPr>
        <w:t>无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firstLine="640" w:firstLineChars="200"/>
        <w:textAlignment w:val="auto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五、一般公共预算支出预算情况说明</w:t>
      </w:r>
    </w:p>
    <w:p>
      <w:pPr>
        <w:keepNext w:val="0"/>
        <w:keepLines w:val="0"/>
        <w:pageBreakBefore w:val="0"/>
        <w:widowControl/>
        <w:wordWrap/>
        <w:topLinePunct w:val="0"/>
        <w:bidi w:val="0"/>
        <w:spacing w:line="240" w:lineRule="auto"/>
        <w:ind w:firstLine="622"/>
        <w:textAlignment w:val="auto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eastAsia="zh-CN"/>
        </w:rPr>
        <w:t>老干部局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2021年一般公共预算支出年初预算为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>438.52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万元。主要用于以下方面：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一般公共服务支出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>438.52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万元，占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100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%；国防支出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万元，占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%；教育支出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万元，占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%；科学技术支出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万元，占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%；文化体育与传媒支出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万元，占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%；社会保障和就业支出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万元，占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%；医疗卫生与计划生育支出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万元，占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%；农林水支出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万元，占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%；住房保障支出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万元，占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%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eastAsia="zh-CN"/>
        </w:rPr>
        <w:t>。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firstLine="640" w:firstLineChars="200"/>
        <w:textAlignment w:val="auto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六、一般公共预算基本支出预算情况说明</w:t>
      </w:r>
    </w:p>
    <w:p>
      <w:pPr>
        <w:keepNext w:val="0"/>
        <w:keepLines w:val="0"/>
        <w:pageBreakBefore w:val="0"/>
        <w:widowControl/>
        <w:wordWrap/>
        <w:topLinePunct w:val="0"/>
        <w:bidi w:val="0"/>
        <w:spacing w:line="240" w:lineRule="auto"/>
        <w:ind w:firstLine="622"/>
        <w:textAlignment w:val="auto"/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eastAsia="zh-CN"/>
        </w:rPr>
        <w:t>老干部局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2021年一般公共预算基本支出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438.52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万元，其中：</w:t>
      </w:r>
      <w:r>
        <w:rPr>
          <w:rFonts w:hint="eastAsia" w:ascii="方正仿宋_GBK" w:hAnsi="方正仿宋_GBK" w:eastAsia="方正仿宋_GBK" w:cs="方正仿宋_GBK"/>
          <w:b/>
          <w:color w:val="000000"/>
          <w:spacing w:val="-1"/>
          <w:kern w:val="0"/>
          <w:sz w:val="32"/>
          <w:szCs w:val="32"/>
        </w:rPr>
        <w:t>人员经费</w:t>
      </w:r>
      <w:r>
        <w:rPr>
          <w:rFonts w:hint="eastAsia" w:ascii="方正仿宋_GBK" w:hAnsi="方正仿宋_GBK" w:eastAsia="方正仿宋_GBK" w:cs="方正仿宋_GBK"/>
          <w:b/>
          <w:color w:val="000000"/>
          <w:kern w:val="0"/>
          <w:sz w:val="32"/>
          <w:szCs w:val="32"/>
          <w:lang w:val="en-US" w:eastAsia="zh-CN"/>
        </w:rPr>
        <w:t>415.2</w:t>
      </w:r>
      <w:r>
        <w:rPr>
          <w:rFonts w:hint="eastAsia" w:ascii="方正仿宋_GBK" w:hAnsi="方正仿宋_GBK" w:eastAsia="方正仿宋_GBK" w:cs="方正仿宋_GBK"/>
          <w:b/>
          <w:color w:val="000000"/>
          <w:sz w:val="32"/>
          <w:szCs w:val="32"/>
        </w:rPr>
        <w:t>万元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，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基本工资、津贴补贴、奖金、绩效工资、机关事业单位基本养老保险缴费、职业年金缴费、医疗保险缴费、其他社会保障缴费、住房公积金、其他工资福利支出、离休费、退休费、其他对个人和家庭的补助支出；</w:t>
      </w:r>
      <w:r>
        <w:rPr>
          <w:rFonts w:hint="eastAsia" w:ascii="方正仿宋_GBK" w:hAnsi="方正仿宋_GBK" w:eastAsia="方正仿宋_GBK" w:cs="方正仿宋_GBK"/>
          <w:b/>
          <w:bCs/>
          <w:color w:val="000000"/>
          <w:kern w:val="0"/>
          <w:sz w:val="32"/>
          <w:szCs w:val="32"/>
        </w:rPr>
        <w:t>公用经费</w:t>
      </w:r>
      <w:r>
        <w:rPr>
          <w:rFonts w:hint="eastAsia" w:ascii="方正仿宋_GBK" w:hAnsi="方正仿宋_GBK" w:eastAsia="方正仿宋_GBK" w:cs="方正仿宋_GBK"/>
          <w:b/>
          <w:bCs/>
          <w:color w:val="000000"/>
          <w:kern w:val="0"/>
          <w:sz w:val="32"/>
          <w:szCs w:val="32"/>
          <w:lang w:val="en-US" w:eastAsia="zh-CN"/>
        </w:rPr>
        <w:t>23.32</w:t>
      </w:r>
      <w:r>
        <w:rPr>
          <w:rFonts w:hint="eastAsia" w:ascii="方正仿宋_GBK" w:hAnsi="方正仿宋_GBK" w:eastAsia="方正仿宋_GBK" w:cs="方正仿宋_GBK"/>
          <w:b/>
          <w:bCs/>
          <w:color w:val="000000"/>
          <w:kern w:val="0"/>
          <w:sz w:val="32"/>
          <w:szCs w:val="32"/>
        </w:rPr>
        <w:t>万元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，主要包括：办公费、印刷费、咨询费、手续费、水费、电费、邮电费、取暖费、物业管理费、差旅费、因公出国（境）费、维修（护）费、租赁费、会议费、培训费、公务接待费、专用材料费、专用燃料费、劳务费、委托业务费、福利费、公务用车运行维护费、其他交通费用、税金及附加费用、其他商品和服务支出、债务利息、办公设备购置、专用设备购置、基础设施建设、大型修缮、信息网络及软件购置更新、公务用车购置、其他资本性支出和其他支出。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firstLine="640" w:firstLineChars="200"/>
        <w:textAlignment w:val="auto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七、政府性基金预算支出预算情况说明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我单位2021年没有使用政府性基金预算拨款安排的支出。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firstLine="640" w:firstLineChars="200"/>
        <w:textAlignment w:val="auto"/>
        <w:rPr>
          <w:rFonts w:ascii="黑体" w:hAnsi="黑体" w:eastAsia="黑体"/>
          <w:color w:val="000000"/>
          <w:kern w:val="0"/>
          <w:sz w:val="32"/>
          <w:szCs w:val="32"/>
        </w:rPr>
      </w:pPr>
      <w:r>
        <w:rPr>
          <w:rFonts w:hint="eastAsia" w:ascii="黑体" w:hAnsi="黑体" w:eastAsia="黑体"/>
          <w:color w:val="000000"/>
          <w:sz w:val="32"/>
          <w:szCs w:val="32"/>
        </w:rPr>
        <w:t>八、</w:t>
      </w: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国有资本经营预算支出预算情况说明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我单位2021年没有使用国有资本经营预算拨款安排的支出。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firstLine="640" w:firstLineChars="200"/>
        <w:textAlignment w:val="auto"/>
        <w:outlineLvl w:val="0"/>
        <w:rPr>
          <w:rFonts w:ascii="黑体" w:hAnsi="黑体" w:eastAsia="黑体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>九、“三公”经费支出预算情况说明</w:t>
      </w:r>
    </w:p>
    <w:p>
      <w:pPr>
        <w:keepNext w:val="0"/>
        <w:keepLines w:val="0"/>
        <w:pageBreakBefore w:val="0"/>
        <w:widowControl/>
        <w:wordWrap/>
        <w:topLinePunct w:val="0"/>
        <w:bidi w:val="0"/>
        <w:spacing w:line="240" w:lineRule="auto"/>
        <w:ind w:firstLine="640" w:firstLineChars="200"/>
        <w:textAlignment w:val="auto"/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eastAsia="zh-CN"/>
        </w:rPr>
        <w:t>老干部局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2021年“三公”经费预算为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4.2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万元。 比 20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>20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年预算数减少（增加）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万元。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textAlignment w:val="auto"/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具体支出情况如下：</w:t>
      </w:r>
    </w:p>
    <w:p>
      <w:pPr>
        <w:keepNext w:val="0"/>
        <w:keepLines w:val="0"/>
        <w:pageBreakBefore w:val="0"/>
        <w:numPr>
          <w:ilvl w:val="0"/>
          <w:numId w:val="3"/>
        </w:numPr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36" w:firstLineChars="200"/>
        <w:textAlignment w:val="auto"/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1"/>
          <w:kern w:val="0"/>
          <w:sz w:val="32"/>
          <w:szCs w:val="32"/>
        </w:rPr>
        <w:t>因公出国（境）费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 xml:space="preserve"> 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万元。预算数比2020年减少（增加）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万元，下降（增长）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%，主要原因：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eastAsia="zh-CN"/>
        </w:rPr>
        <w:t>无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numPr>
          <w:ilvl w:val="0"/>
          <w:numId w:val="3"/>
        </w:numPr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36" w:firstLineChars="200"/>
        <w:textAlignment w:val="auto"/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1"/>
          <w:kern w:val="0"/>
          <w:sz w:val="32"/>
          <w:szCs w:val="32"/>
        </w:rPr>
        <w:t>公务用车购置及运行费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万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元。其中公务车辆购置费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万元，主要用于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eastAsia="zh-CN"/>
        </w:rPr>
        <w:t>无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,比2020年减少（增减）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万元，较上年下降（增长）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%，主要原因：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eastAsia="zh-CN"/>
        </w:rPr>
        <w:t>无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；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公务用车运行维护费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val="en-US" w:eastAsia="zh-CN"/>
        </w:rPr>
        <w:t>1.8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万元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，主要用于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lang w:eastAsia="zh-CN"/>
        </w:rPr>
        <w:t>：无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,比2020年减少（增减）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万元，较上年下降（增长）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%，主要原因：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eastAsia="zh-CN"/>
        </w:rPr>
        <w:t>无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firstLine="636" w:firstLineChars="200"/>
        <w:textAlignment w:val="auto"/>
        <w:outlineLvl w:val="0"/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</w:pPr>
      <w:r>
        <w:rPr>
          <w:rFonts w:hint="eastAsia" w:ascii="方正仿宋_GBK" w:hAnsi="方正仿宋_GBK" w:eastAsia="方正仿宋_GBK" w:cs="方正仿宋_GBK"/>
          <w:color w:val="000000"/>
          <w:spacing w:val="-1"/>
          <w:kern w:val="0"/>
          <w:sz w:val="32"/>
          <w:szCs w:val="32"/>
        </w:rPr>
        <w:t>（三）公务接待费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2.4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</w:rPr>
        <w:t>万元，主要用于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eastAsia="zh-CN"/>
        </w:rPr>
        <w:t>公务接待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，比2020年预算数减少（增加）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万元，下降（增长）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%，主要原因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  <w:lang w:eastAsia="zh-CN"/>
        </w:rPr>
        <w:t>无</w:t>
      </w:r>
      <w:r>
        <w:rPr>
          <w:rFonts w:hint="eastAsia" w:ascii="方正仿宋_GBK" w:hAnsi="方正仿宋_GBK" w:eastAsia="方正仿宋_GBK" w:cs="方正仿宋_GBK"/>
          <w:color w:val="000000"/>
          <w:kern w:val="0"/>
          <w:sz w:val="32"/>
          <w:szCs w:val="32"/>
        </w:rPr>
        <w:t>。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textAlignment w:val="auto"/>
        <w:outlineLvl w:val="0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黑体" w:hAnsi="黑体" w:eastAsia="黑体"/>
          <w:color w:val="000000"/>
          <w:kern w:val="0"/>
          <w:sz w:val="32"/>
          <w:szCs w:val="32"/>
        </w:rPr>
        <w:t xml:space="preserve"> </w:t>
      </w:r>
      <w:r>
        <w:rPr>
          <w:rFonts w:hint="eastAsia" w:ascii="黑体" w:hAnsi="黑体" w:eastAsia="黑体"/>
          <w:color w:val="000000"/>
          <w:spacing w:val="-1"/>
          <w:kern w:val="0"/>
          <w:sz w:val="32"/>
          <w:szCs w:val="32"/>
        </w:rPr>
        <w:t>十、其他重要事项的情况说明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textAlignment w:val="auto"/>
        <w:outlineLvl w:val="0"/>
        <w:rPr>
          <w:rFonts w:ascii="楷体_GB2312" w:hAnsi="仿宋_GB2312" w:eastAsia="楷体_GB2312" w:cs="仿宋_GB2312"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（一）机关运行经费支出情况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老干部局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2021年机关运行经费支出预算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23.32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万元，主要保障机关机构正常运转及正常履职需要的办公费、水电费、物业费、维修费、差旅费等支出，比2020年减少（增加）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3.39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万元，下降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14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%，主要原因：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人员减少，节能减排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textAlignment w:val="auto"/>
        <w:outlineLvl w:val="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（二）政府采购支出情况</w:t>
      </w:r>
    </w:p>
    <w:p>
      <w:pPr>
        <w:keepNext w:val="0"/>
        <w:keepLines w:val="0"/>
        <w:pageBreakBefore w:val="0"/>
        <w:widowControl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2021年政府采购预算安排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万元，其中：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政府采购货物预算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万元、政府采购工程预算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万元、政府采购服务预算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万元。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textAlignment w:val="auto"/>
        <w:outlineLvl w:val="0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（三）关于预算绩效管理工作开展情况说明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年,我部门对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个项目进行了预算绩效评价，涉及资金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万元。</w:t>
      </w:r>
      <w:r>
        <w:rPr>
          <w:rFonts w:hint="eastAsia"/>
          <w:color w:val="000000"/>
          <w:sz w:val="28"/>
          <w:szCs w:val="28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2021年，我部门纳入预算绩效管理的支出总额为</w:t>
      </w:r>
      <w:r>
        <w:rPr>
          <w:rFonts w:hint="eastAsia" w:ascii="宋体" w:hAnsi="宋体" w:cs="宋体"/>
          <w:color w:val="000000"/>
          <w:kern w:val="0"/>
          <w:sz w:val="24"/>
          <w:szCs w:val="24"/>
        </w:rPr>
        <w:t xml:space="preserve"> 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438.52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万元，其中人员经费支出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415.2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万元，公用经费支出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23.32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万元，支出项目共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个，支出总额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万元，其中预算支出100万元及100万元以上项目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个，支出总额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万元。 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ind w:left="420" w:leftChars="200"/>
        <w:textAlignment w:val="auto"/>
        <w:rPr>
          <w:rFonts w:ascii="楷体_GB2312" w:hAnsi="仿宋_GB2312" w:eastAsia="楷体_GB2312" w:cs="仿宋_GB2312"/>
          <w:bCs/>
          <w:color w:val="000000"/>
          <w:sz w:val="32"/>
          <w:szCs w:val="32"/>
        </w:rPr>
      </w:pPr>
      <w:r>
        <w:rPr>
          <w:rFonts w:hint="eastAsia" w:ascii="楷体_GB2312" w:hAnsi="仿宋_GB2312" w:eastAsia="楷体_GB2312" w:cs="仿宋_GB2312"/>
          <w:bCs/>
          <w:color w:val="000000"/>
          <w:sz w:val="32"/>
          <w:szCs w:val="32"/>
        </w:rPr>
        <w:t>（四）国有资产占用情况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kern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年期末，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eastAsia="zh-CN"/>
        </w:rPr>
        <w:t>老干部局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固定资产总额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278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万元，其中，房屋建筑物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150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万元，车辆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14.99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万元。共有车辆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辆，其中：一般公务用车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辆，执法执勤车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</w:rPr>
        <w:t>辆；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单价50万元以上通用设备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台（套），单位价值100万元以上专用设备</w:t>
      </w: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台（套）</w:t>
      </w:r>
      <w:r>
        <w:rPr>
          <w:rFonts w:hint="eastAsia" w:ascii="仿宋_GB2312" w:hAnsi="宋体" w:eastAsia="仿宋_GB2312" w:cs="仿宋_GB2312"/>
          <w:color w:val="000000"/>
          <w:sz w:val="32"/>
          <w:szCs w:val="32"/>
        </w:rPr>
        <w:t>。</w:t>
      </w:r>
    </w:p>
    <w:p>
      <w:pPr>
        <w:keepNext w:val="0"/>
        <w:keepLines w:val="0"/>
        <w:pageBreakBefore w:val="0"/>
        <w:widowControl/>
        <w:wordWrap/>
        <w:topLinePunct w:val="0"/>
        <w:bidi w:val="0"/>
        <w:spacing w:line="240" w:lineRule="auto"/>
        <w:ind w:firstLine="640" w:firstLineChars="200"/>
        <w:textAlignment w:val="auto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（五）专项转移支付项目情况</w:t>
      </w:r>
    </w:p>
    <w:p>
      <w:pPr>
        <w:keepNext w:val="0"/>
        <w:keepLines w:val="0"/>
        <w:pageBreakBefore w:val="0"/>
        <w:widowControl/>
        <w:wordWrap/>
        <w:topLinePunct w:val="0"/>
        <w:bidi w:val="0"/>
        <w:spacing w:line="240" w:lineRule="auto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我部门负责管理的专项转移支付项目共有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项，主要是：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万元、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项目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 w:eastAsia="zh-CN"/>
        </w:rPr>
        <w:t>0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万元等；我部门将按照《预算法》等有关规定，积极做好项目分配前期准备工作，在规定的时间内向财政部门提出资金分配意见，根据有关要求做好项目申报公开等相关工作。</w:t>
      </w:r>
    </w:p>
    <w:p>
      <w:pPr>
        <w:keepNext w:val="0"/>
        <w:keepLines w:val="0"/>
        <w:pageBreakBefore w:val="0"/>
        <w:widowControl/>
        <w:wordWrap/>
        <w:topLinePunct w:val="0"/>
        <w:bidi w:val="0"/>
        <w:spacing w:line="240" w:lineRule="auto"/>
        <w:ind w:firstLine="640" w:firstLineChars="200"/>
        <w:textAlignment w:val="auto"/>
        <w:rPr>
          <w:rFonts w:ascii="楷体_GB2312" w:hAnsi="仿宋_GB2312" w:eastAsia="楷体_GB2312" w:cs="仿宋_GB2312"/>
          <w:color w:val="000000"/>
          <w:kern w:val="0"/>
          <w:sz w:val="32"/>
          <w:szCs w:val="32"/>
        </w:rPr>
      </w:pPr>
      <w:r>
        <w:rPr>
          <w:rFonts w:hint="eastAsia" w:ascii="楷体_GB2312" w:hAnsi="仿宋_GB2312" w:eastAsia="楷体_GB2312" w:cs="仿宋_GB2312"/>
          <w:color w:val="000000"/>
          <w:kern w:val="0"/>
          <w:sz w:val="32"/>
          <w:szCs w:val="32"/>
        </w:rPr>
        <w:t>（六）关于预算部门构成说明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2021年我单位按照市财政预算公开要求，将所属预算单位全部纳入预算公开范围。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2" w:firstLineChars="200"/>
        <w:textAlignment w:val="auto"/>
        <w:rPr>
          <w:rFonts w:ascii="仿宋_GB2312" w:hAnsi="仿宋_GB2312" w:eastAsia="仿宋_GB2312" w:cs="仿宋_GB2312"/>
          <w:b/>
          <w:color w:val="000000"/>
          <w:kern w:val="0"/>
          <w:sz w:val="32"/>
          <w:szCs w:val="32"/>
        </w:rPr>
      </w:pPr>
    </w:p>
    <w:p>
      <w:pPr>
        <w:keepNext w:val="0"/>
        <w:keepLines w:val="0"/>
        <w:pageBreakBefore w:val="0"/>
        <w:wordWrap/>
        <w:topLinePunct w:val="0"/>
        <w:bidi w:val="0"/>
        <w:adjustRightInd w:val="0"/>
        <w:snapToGrid w:val="0"/>
        <w:spacing w:line="240" w:lineRule="auto"/>
        <w:jc w:val="center"/>
        <w:textAlignment w:val="auto"/>
        <w:rPr>
          <w:rFonts w:hint="eastAsia" w:ascii="黑体" w:hAnsi="黑体" w:eastAsia="黑体"/>
          <w:bCs/>
          <w:color w:val="000000"/>
          <w:sz w:val="36"/>
          <w:szCs w:val="36"/>
        </w:rPr>
      </w:pPr>
    </w:p>
    <w:p>
      <w:pPr>
        <w:keepNext w:val="0"/>
        <w:keepLines w:val="0"/>
        <w:pageBreakBefore w:val="0"/>
        <w:wordWrap/>
        <w:topLinePunct w:val="0"/>
        <w:bidi w:val="0"/>
        <w:adjustRightInd w:val="0"/>
        <w:snapToGrid w:val="0"/>
        <w:spacing w:line="240" w:lineRule="auto"/>
        <w:jc w:val="center"/>
        <w:textAlignment w:val="auto"/>
        <w:rPr>
          <w:rFonts w:ascii="黑体" w:hAnsi="黑体" w:eastAsia="黑体"/>
          <w:bCs/>
          <w:color w:val="000000"/>
          <w:sz w:val="36"/>
          <w:szCs w:val="36"/>
        </w:rPr>
      </w:pPr>
      <w:r>
        <w:rPr>
          <w:rFonts w:hint="eastAsia" w:ascii="黑体" w:hAnsi="黑体" w:eastAsia="黑体"/>
          <w:bCs/>
          <w:color w:val="000000"/>
          <w:sz w:val="36"/>
          <w:szCs w:val="36"/>
        </w:rPr>
        <w:t>第三部分  名词解释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一、财政拨款收入：是指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lang w:eastAsia="zh-CN"/>
        </w:rPr>
        <w:t>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级财政当年拨付的资金。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二、事业收入：是指事业单位开展专业活动及辅助活动所取得的收入。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 xml:space="preserve">三、其他收入：是指部门取得的除“财政拨款”、“事业收入”、“事业单位经营收入”等以外的收入。 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四、基本支出：是指为保障机构正常运转、完成日常工作任务所必需的开支，其内容包括人员经费和日常公用经费两部分。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五、项目支出：是指在基本支出之外，为完成特定的行政工作任务或事业发展目标所发生的支出。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六、“三公”经费：是指纳入市级财政预算管理，部门使用财政拨款安排的因公出国（境）费、公务用车购置及运行费和公务接待费。其中，因公出国（境）费反映单位公务出国（境）的住宿费、旅费、伙食补助费、杂费、培训费等支出；公务用车购置及运行费反映单位公务用车购置费及租用费、燃料费、维修费、过路过桥费、保险费、安全奖励费用等支出；公务接待费反映单位按规定开支的各类公务接待（含外宾接待）支出。</w:t>
      </w:r>
    </w:p>
    <w:p>
      <w:pPr>
        <w:keepNext w:val="0"/>
        <w:keepLines w:val="0"/>
        <w:pageBreakBefore w:val="0"/>
        <w:kinsoku w:val="0"/>
        <w:wordWrap/>
        <w:overflowPunct w:val="0"/>
        <w:topLinePunct w:val="0"/>
        <w:autoSpaceDE w:val="0"/>
        <w:autoSpaceDN w:val="0"/>
        <w:bidi w:val="0"/>
        <w:adjustRightInd w:val="0"/>
        <w:snapToGrid w:val="0"/>
        <w:spacing w:line="240" w:lineRule="auto"/>
        <w:ind w:firstLine="640" w:firstLineChars="200"/>
        <w:textAlignment w:val="auto"/>
        <w:rPr>
          <w:rFonts w:ascii="仿宋_GB2312" w:hAnsi="仿宋_GB2312" w:eastAsia="仿宋_GB2312" w:cs="仿宋_GB2312"/>
          <w:color w:val="000000"/>
          <w:sz w:val="32"/>
          <w:szCs w:val="32"/>
        </w:rPr>
      </w:pP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七、机关运行经费：是指为保障行政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机构正常运转及正常履职需要的办公费、水电费、日常维修、物业费、维修费、差旅费、</w:t>
      </w:r>
      <w:r>
        <w:rPr>
          <w:rFonts w:hint="eastAsia" w:ascii="仿宋_GB2312" w:hAnsi="宋体" w:eastAsia="仿宋_GB2312" w:cs="Courier New"/>
          <w:color w:val="000000"/>
          <w:sz w:val="32"/>
          <w:szCs w:val="32"/>
        </w:rPr>
        <w:t>公务用车运行维护费以及其他费用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</w:rPr>
        <w:t>等支出。</w:t>
      </w:r>
    </w:p>
    <w:p>
      <w:pPr>
        <w:keepNext w:val="0"/>
        <w:keepLines w:val="0"/>
        <w:pageBreakBefore w:val="0"/>
        <w:wordWrap/>
        <w:topLinePunct w:val="0"/>
        <w:bidi w:val="0"/>
        <w:spacing w:line="240" w:lineRule="auto"/>
        <w:textAlignment w:val="auto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altName w:val="方正仿宋_GBK"/>
    <w:panose1 w:val="02010609030101010101"/>
    <w:charset w:val="86"/>
    <w:family w:val="swiss"/>
    <w:pitch w:val="default"/>
    <w:sig w:usb0="00000000" w:usb1="00000000" w:usb2="00000010" w:usb3="00000000" w:csb0="00040000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楷体_GB2312">
    <w:altName w:val="方正楷体_GBK"/>
    <w:panose1 w:val="02010609030101010101"/>
    <w:charset w:val="86"/>
    <w:family w:val="swiss"/>
    <w:pitch w:val="default"/>
    <w:sig w:usb0="00000000" w:usb1="00000000" w:usb2="00000010" w:usb3="00000000" w:csb0="00040000" w:csb1="00000000"/>
  </w:font>
  <w:font w:name="仿宋">
    <w:altName w:val="方正仿宋_GBK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  <w:font w:name="CESI楷体-GB13000">
    <w:panose1 w:val="02000500000000000000"/>
    <w:charset w:val="86"/>
    <w:family w:val="auto"/>
    <w:pitch w:val="default"/>
    <w:sig w:usb0="800002BF" w:usb1="38CF7CF8" w:usb2="00000016" w:usb3="00000000" w:csb0="0004000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941F8B9"/>
    <w:multiLevelType w:val="singleLevel"/>
    <w:tmpl w:val="E941F8B9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1">
    <w:nsid w:val="5A4F2DAA"/>
    <w:multiLevelType w:val="singleLevel"/>
    <w:tmpl w:val="5A4F2DAA"/>
    <w:lvl w:ilvl="0" w:tentative="0">
      <w:start w:val="1"/>
      <w:numFmt w:val="chineseCounting"/>
      <w:suff w:val="nothing"/>
      <w:lvlText w:val="（%1）"/>
      <w:lvlJc w:val="left"/>
    </w:lvl>
  </w:abstractNum>
  <w:abstractNum w:abstractNumId="2">
    <w:nsid w:val="5A796DEC"/>
    <w:multiLevelType w:val="singleLevel"/>
    <w:tmpl w:val="5A796DEC"/>
    <w:lvl w:ilvl="0" w:tentative="0">
      <w:start w:val="1"/>
      <w:numFmt w:val="chineseCounting"/>
      <w:suff w:val="nothing"/>
      <w:lvlText w:val="%1、"/>
      <w:lvlJc w:val="left"/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9"/>
  <w:embedSystemFonts/>
  <w:bordersDoNotSurroundHeader w:val="true"/>
  <w:bordersDoNotSurroundFooter w:val="true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A97AD5"/>
    <w:rsid w:val="05786585"/>
    <w:rsid w:val="2FDFDAD8"/>
    <w:rsid w:val="34735D85"/>
    <w:rsid w:val="377648AD"/>
    <w:rsid w:val="42336B2A"/>
    <w:rsid w:val="507B4D30"/>
    <w:rsid w:val="7CEB9327"/>
    <w:rsid w:val="FE7FEC5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rPr>
      <w:rFonts w:eastAsia="仿宋_GB2312"/>
      <w:sz w:val="2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Office_11.8.2.10489_F1E327BC-269C-435d-A152-05C5408002CA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2021-11-10T08:50:00Z</dcterms:created>
  <dc:creator>Administrator</dc:creator>
  <cp:lastModifiedBy>greatwall</cp:lastModifiedBy>
  <dcterms:modified xsi:type="dcterms:W3CDTF">2023-01-22T16:56:15Z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2052-11.8.2.10489</vt:lpwstr>
  </property>
  <property fmtid="{D5CDD505-2E9C-101B-9397-08002B2CF9AE}" pid="3" name="ICV">
    <vt:lpwstr>E1C1ABF037034F0BB950B5785A20896F</vt:lpwstr>
  </property>
</Properties>
</file>