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kinsoku w:val="0"/>
        <w:autoSpaceDE w:val="0"/>
        <w:autoSpaceDN w:val="0"/>
        <w:adjustRightInd w:val="0"/>
        <w:snapToGrid w:val="0"/>
        <w:spacing w:before="127" w:line="219" w:lineRule="auto"/>
        <w:jc w:val="center"/>
        <w:textAlignment w:val="baseline"/>
        <w:rPr>
          <w:rFonts w:ascii="宋体" w:hAnsi="宋体" w:eastAsia="宋体" w:cs="宋体"/>
          <w:b/>
          <w:bCs/>
          <w:snapToGrid w:val="0"/>
          <w:color w:val="000000" w:themeColor="text1"/>
          <w:spacing w:val="4"/>
          <w:kern w:val="0"/>
          <w:sz w:val="52"/>
          <w:szCs w:val="52"/>
          <w:lang w:eastAsia="en-US"/>
          <w14:textFill>
            <w14:solidFill>
              <w14:schemeClr w14:val="tx1"/>
            </w14:solidFill>
          </w14:textFill>
        </w:rPr>
      </w:pPr>
      <w:r>
        <w:rPr>
          <w:rFonts w:hint="eastAsia" w:ascii="宋体" w:hAnsi="宋体" w:eastAsia="宋体" w:cs="宋体"/>
          <w:b/>
          <w:bCs/>
          <w:snapToGrid w:val="0"/>
          <w:color w:val="000000" w:themeColor="text1"/>
          <w:spacing w:val="4"/>
          <w:kern w:val="0"/>
          <w:sz w:val="44"/>
          <w:szCs w:val="44"/>
          <w:lang w:val="en-US" w:eastAsia="zh-CN"/>
          <w14:textFill>
            <w14:solidFill>
              <w14:schemeClr w14:val="tx1"/>
            </w14:solidFill>
          </w14:textFill>
        </w:rPr>
        <w:t>西华县</w:t>
      </w:r>
      <w:r>
        <w:rPr>
          <w:rFonts w:ascii="宋体" w:hAnsi="宋体" w:eastAsia="宋体" w:cs="宋体"/>
          <w:b/>
          <w:bCs/>
          <w:snapToGrid w:val="0"/>
          <w:color w:val="000000" w:themeColor="text1"/>
          <w:spacing w:val="4"/>
          <w:kern w:val="0"/>
          <w:sz w:val="44"/>
          <w:szCs w:val="44"/>
          <w:lang w:eastAsia="en-US"/>
          <w14:textFill>
            <w14:solidFill>
              <w14:schemeClr w14:val="tx1"/>
            </w14:solidFill>
          </w14:textFill>
        </w:rPr>
        <w:t>呼吸道感染性疾病应急预案</w:t>
      </w:r>
    </w:p>
    <w:p>
      <w:pPr>
        <w:keepNext w:val="0"/>
        <w:keepLines w:val="0"/>
        <w:pageBreakBefore w:val="0"/>
        <w:widowControl w:val="0"/>
        <w:kinsoku/>
        <w:wordWrap/>
        <w:overflowPunct/>
        <w:topLinePunct w:val="0"/>
        <w:autoSpaceDE/>
        <w:autoSpaceDN/>
        <w:bidi w:val="0"/>
        <w:adjustRightInd/>
        <w:snapToGrid/>
        <w:spacing w:line="576" w:lineRule="exact"/>
        <w:textAlignment w:val="auto"/>
        <w:rPr>
          <w:rFonts w:hint="eastAsia" w:ascii="微软雅黑" w:hAnsi="微软雅黑" w:eastAsia="微软雅黑" w:cs="微软雅黑"/>
          <w:color w:val="000000" w:themeColor="text1"/>
          <w:sz w:val="44"/>
          <w:szCs w:val="44"/>
          <w14:textFill>
            <w14:solidFill>
              <w14:schemeClr w14:val="tx1"/>
            </w14:solidFill>
          </w14:textFill>
        </w:rPr>
      </w:pP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14:textFill>
            <w14:solidFill>
              <w14:schemeClr w14:val="tx1"/>
            </w14:solidFill>
          </w14:textFill>
        </w:rPr>
        <w:t>为做好</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我县</w:t>
      </w:r>
      <w:r>
        <w:rPr>
          <w:rFonts w:hint="eastAsia" w:ascii="仿宋_GB2312" w:hAnsi="仿宋_GB2312" w:eastAsia="仿宋_GB2312" w:cs="仿宋_GB2312"/>
          <w:b w:val="0"/>
          <w:bCs w:val="0"/>
          <w:color w:val="000000" w:themeColor="text1"/>
          <w:sz w:val="32"/>
          <w:szCs w:val="32"/>
          <w14:textFill>
            <w14:solidFill>
              <w14:schemeClr w14:val="tx1"/>
            </w14:solidFill>
          </w14:textFill>
        </w:rPr>
        <w:t>呼吸道传染病的防控工作，提高呼吸道传染病的防治水平和应对能力，</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建立健全</w:t>
      </w:r>
      <w:r>
        <w:rPr>
          <w:rFonts w:hint="eastAsia" w:ascii="仿宋_GB2312" w:hAnsi="仿宋_GB2312" w:eastAsia="仿宋_GB2312" w:cs="仿宋_GB2312"/>
          <w:b w:val="0"/>
          <w:bCs w:val="0"/>
          <w:color w:val="000000" w:themeColor="text1"/>
          <w:sz w:val="32"/>
          <w:szCs w:val="32"/>
          <w14:textFill>
            <w14:solidFill>
              <w14:schemeClr w14:val="tx1"/>
            </w14:solidFill>
          </w14:textFill>
        </w:rPr>
        <w:t>应对呼吸道传染病突发疫情的调查处理机制，及时、有效地采取各项防控措施，做到早发现、早报告、早隔离、早治疗，阻断呼吸道传染病传播，保障广大人民群众的身体健康和生命安全，维护社会稳定，特制定本预案</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w:t>
      </w:r>
    </w:p>
    <w:p>
      <w:pPr>
        <w:keepNext w:val="0"/>
        <w:keepLines w:val="0"/>
        <w:pageBreakBefore w:val="0"/>
        <w:widowControl w:val="0"/>
        <w:kinsoku/>
        <w:wordWrap/>
        <w:overflowPunct/>
        <w:topLinePunct w:val="0"/>
        <w:autoSpaceDE/>
        <w:autoSpaceDN/>
        <w:bidi w:val="0"/>
        <w:adjustRightInd/>
        <w:snapToGrid/>
        <w:spacing w:line="576" w:lineRule="exact"/>
        <w:ind w:left="753"/>
        <w:textAlignment w:val="auto"/>
        <w:outlineLvl w:val="0"/>
        <w:rPr>
          <w:rFonts w:hint="eastAsia" w:ascii="黑体" w:hAnsi="黑体" w:eastAsia="黑体" w:cs="黑体"/>
          <w:b w:val="0"/>
          <w:bCs w:val="0"/>
          <w:color w:val="000000" w:themeColor="text1"/>
          <w:spacing w:val="5"/>
          <w:sz w:val="32"/>
          <w:szCs w:val="32"/>
          <w:lang w:eastAsia="zh-CN"/>
          <w14:textFill>
            <w14:solidFill>
              <w14:schemeClr w14:val="tx1"/>
            </w14:solidFill>
          </w14:textFill>
        </w:rPr>
      </w:pPr>
      <w:r>
        <w:rPr>
          <w:rFonts w:hint="eastAsia" w:ascii="黑体" w:hAnsi="黑体" w:eastAsia="黑体" w:cs="黑体"/>
          <w:b w:val="0"/>
          <w:bCs w:val="0"/>
          <w:color w:val="000000" w:themeColor="text1"/>
          <w:spacing w:val="5"/>
          <w:sz w:val="32"/>
          <w:szCs w:val="32"/>
          <w:lang w:eastAsia="zh-CN"/>
          <w14:textFill>
            <w14:solidFill>
              <w14:schemeClr w14:val="tx1"/>
            </w14:solidFill>
          </w14:textFill>
        </w:rPr>
        <w:t>1</w:t>
      </w:r>
      <w:r>
        <w:rPr>
          <w:rFonts w:hint="eastAsia" w:ascii="黑体" w:hAnsi="黑体" w:eastAsia="黑体" w:cs="黑体"/>
          <w:b w:val="0"/>
          <w:bCs w:val="0"/>
          <w:color w:val="000000" w:themeColor="text1"/>
          <w:spacing w:val="5"/>
          <w:sz w:val="32"/>
          <w:szCs w:val="32"/>
          <w:lang w:val="en-US" w:eastAsia="zh-CN"/>
          <w14:textFill>
            <w14:solidFill>
              <w14:schemeClr w14:val="tx1"/>
            </w14:solidFill>
          </w14:textFill>
        </w:rPr>
        <w:t xml:space="preserve">  </w:t>
      </w:r>
      <w:r>
        <w:rPr>
          <w:rFonts w:hint="eastAsia" w:ascii="黑体" w:hAnsi="黑体" w:eastAsia="黑体" w:cs="黑体"/>
          <w:b w:val="0"/>
          <w:bCs w:val="0"/>
          <w:color w:val="000000" w:themeColor="text1"/>
          <w:spacing w:val="5"/>
          <w:sz w:val="32"/>
          <w:szCs w:val="32"/>
          <w:lang w:eastAsia="zh-CN"/>
          <w14:textFill>
            <w14:solidFill>
              <w14:schemeClr w14:val="tx1"/>
            </w14:solidFill>
          </w14:textFill>
        </w:rPr>
        <w:t>总则</w:t>
      </w:r>
    </w:p>
    <w:p>
      <w:pPr>
        <w:keepNext w:val="0"/>
        <w:keepLines w:val="0"/>
        <w:pageBreakBefore w:val="0"/>
        <w:widowControl w:val="0"/>
        <w:kinsoku/>
        <w:wordWrap/>
        <w:overflowPunct/>
        <w:topLinePunct w:val="0"/>
        <w:autoSpaceDE/>
        <w:autoSpaceDN/>
        <w:bidi w:val="0"/>
        <w:adjustRightInd/>
        <w:snapToGrid/>
        <w:spacing w:line="576" w:lineRule="exact"/>
        <w:ind w:left="753"/>
        <w:textAlignment w:val="auto"/>
        <w:outlineLvl w:val="0"/>
        <w:rPr>
          <w:rFonts w:hint="eastAsia" w:ascii="楷体" w:hAnsi="楷体" w:eastAsia="楷体" w:cs="楷体"/>
          <w:b w:val="0"/>
          <w:bCs w:val="0"/>
          <w:color w:val="000000" w:themeColor="text1"/>
          <w:spacing w:val="5"/>
          <w:sz w:val="32"/>
          <w:szCs w:val="32"/>
          <w:lang w:eastAsia="zh-CN"/>
          <w14:textFill>
            <w14:solidFill>
              <w14:schemeClr w14:val="tx1"/>
            </w14:solidFill>
          </w14:textFill>
        </w:rPr>
      </w:pPr>
      <w:r>
        <w:rPr>
          <w:rFonts w:hint="eastAsia" w:ascii="楷体" w:hAnsi="楷体" w:eastAsia="楷体" w:cs="楷体"/>
          <w:b w:val="0"/>
          <w:bCs w:val="0"/>
          <w:color w:val="000000" w:themeColor="text1"/>
          <w:spacing w:val="5"/>
          <w:sz w:val="32"/>
          <w:szCs w:val="32"/>
          <w:lang w:eastAsia="zh-CN"/>
          <w14:textFill>
            <w14:solidFill>
              <w14:schemeClr w14:val="tx1"/>
            </w14:solidFill>
          </w14:textFill>
        </w:rPr>
        <w:t>1.1</w:t>
      </w:r>
      <w:r>
        <w:rPr>
          <w:rFonts w:hint="eastAsia" w:ascii="楷体" w:hAnsi="楷体" w:eastAsia="楷体" w:cs="楷体"/>
          <w:b w:val="0"/>
          <w:bCs w:val="0"/>
          <w:color w:val="000000" w:themeColor="text1"/>
          <w:spacing w:val="5"/>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pacing w:val="5"/>
          <w:sz w:val="32"/>
          <w:szCs w:val="32"/>
          <w:lang w:eastAsia="zh-CN"/>
          <w14:textFill>
            <w14:solidFill>
              <w14:schemeClr w14:val="tx1"/>
            </w14:solidFill>
          </w14:textFill>
        </w:rPr>
        <w:t>编制目的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指导和规范我</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呼吸道感染性疾病的应急准备工作，有序高效落实应急处理措施，保护人民群众健康。</w:t>
      </w:r>
    </w:p>
    <w:p>
      <w:pPr>
        <w:keepNext w:val="0"/>
        <w:keepLines w:val="0"/>
        <w:pageBreakBefore w:val="0"/>
        <w:widowControl w:val="0"/>
        <w:kinsoku/>
        <w:wordWrap/>
        <w:overflowPunct/>
        <w:topLinePunct w:val="0"/>
        <w:autoSpaceDE/>
        <w:autoSpaceDN/>
        <w:bidi w:val="0"/>
        <w:adjustRightInd/>
        <w:snapToGrid/>
        <w:spacing w:line="576" w:lineRule="exact"/>
        <w:ind w:left="753"/>
        <w:textAlignment w:val="auto"/>
        <w:outlineLvl w:val="0"/>
        <w:rPr>
          <w:rFonts w:hint="eastAsia" w:ascii="楷体" w:hAnsi="楷体" w:eastAsia="楷体" w:cs="楷体"/>
          <w:b w:val="0"/>
          <w:bCs w:val="0"/>
          <w:color w:val="000000" w:themeColor="text1"/>
          <w:spacing w:val="5"/>
          <w:sz w:val="32"/>
          <w:szCs w:val="32"/>
          <w:lang w:eastAsia="zh-CN"/>
          <w14:textFill>
            <w14:solidFill>
              <w14:schemeClr w14:val="tx1"/>
            </w14:solidFill>
          </w14:textFill>
        </w:rPr>
      </w:pPr>
      <w:r>
        <w:rPr>
          <w:rFonts w:hint="eastAsia" w:ascii="楷体" w:hAnsi="楷体" w:eastAsia="楷体" w:cs="楷体"/>
          <w:b w:val="0"/>
          <w:bCs w:val="0"/>
          <w:color w:val="000000" w:themeColor="text1"/>
          <w:spacing w:val="5"/>
          <w:sz w:val="32"/>
          <w:szCs w:val="32"/>
          <w:lang w:eastAsia="zh-CN"/>
          <w14:textFill>
            <w14:solidFill>
              <w14:schemeClr w14:val="tx1"/>
            </w14:solidFill>
          </w14:textFill>
        </w:rPr>
        <w:t>1.2</w:t>
      </w:r>
      <w:r>
        <w:rPr>
          <w:rFonts w:hint="eastAsia" w:ascii="楷体" w:hAnsi="楷体" w:eastAsia="楷体" w:cs="楷体"/>
          <w:b w:val="0"/>
          <w:bCs w:val="0"/>
          <w:color w:val="000000" w:themeColor="text1"/>
          <w:spacing w:val="5"/>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pacing w:val="5"/>
          <w:sz w:val="32"/>
          <w:szCs w:val="32"/>
          <w:lang w:eastAsia="zh-CN"/>
          <w14:textFill>
            <w14:solidFill>
              <w14:schemeClr w14:val="tx1"/>
            </w14:solidFill>
          </w14:textFill>
        </w:rPr>
        <w:t>编制依据</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依据《中华人民共和国传染病防治法》《中华人民共和国基本医疗卫生与健康促进法》《中华人民共和国突发事件应对法》《中华人民共和国国境卫生检疫法》《突发公共卫生事件应急条例》《国家突发公共事件总体应急预案》《国家突发公共卫生事件应急预案》《中华人民共和国药品管理法实施条例》《疫苗流通和预防接种管理条例》《国内交通卫生检疫条例》《河南省突发公共卫生事件应急办法》和《河南省突发公共卫生事件应急预案》等法律法规和预案，制定本预案。</w:t>
      </w:r>
    </w:p>
    <w:p>
      <w:pPr>
        <w:keepNext w:val="0"/>
        <w:keepLines w:val="0"/>
        <w:pageBreakBefore w:val="0"/>
        <w:widowControl w:val="0"/>
        <w:kinsoku/>
        <w:wordWrap/>
        <w:overflowPunct/>
        <w:topLinePunct w:val="0"/>
        <w:autoSpaceDE/>
        <w:autoSpaceDN/>
        <w:bidi w:val="0"/>
        <w:adjustRightInd/>
        <w:snapToGrid/>
        <w:spacing w:line="576" w:lineRule="exact"/>
        <w:ind w:left="753"/>
        <w:textAlignment w:val="auto"/>
        <w:outlineLvl w:val="0"/>
        <w:rPr>
          <w:rFonts w:hint="eastAsia" w:ascii="楷体" w:hAnsi="楷体" w:eastAsia="楷体" w:cs="楷体"/>
          <w:b w:val="0"/>
          <w:bCs w:val="0"/>
          <w:color w:val="000000" w:themeColor="text1"/>
          <w:spacing w:val="5"/>
          <w:sz w:val="32"/>
          <w:szCs w:val="32"/>
          <w:lang w:eastAsia="zh-CN"/>
          <w14:textFill>
            <w14:solidFill>
              <w14:schemeClr w14:val="tx1"/>
            </w14:solidFill>
          </w14:textFill>
        </w:rPr>
      </w:pPr>
      <w:r>
        <w:rPr>
          <w:rFonts w:hint="eastAsia" w:ascii="楷体" w:hAnsi="楷体" w:eastAsia="楷体" w:cs="楷体"/>
          <w:b w:val="0"/>
          <w:bCs w:val="0"/>
          <w:color w:val="000000" w:themeColor="text1"/>
          <w:spacing w:val="5"/>
          <w:sz w:val="32"/>
          <w:szCs w:val="32"/>
          <w:lang w:eastAsia="zh-CN"/>
          <w14:textFill>
            <w14:solidFill>
              <w14:schemeClr w14:val="tx1"/>
            </w14:solidFill>
          </w14:textFill>
        </w:rPr>
        <w:t>1.3</w:t>
      </w:r>
      <w:r>
        <w:rPr>
          <w:rFonts w:hint="eastAsia" w:ascii="楷体" w:hAnsi="楷体" w:eastAsia="楷体" w:cs="楷体"/>
          <w:b w:val="0"/>
          <w:bCs w:val="0"/>
          <w:color w:val="000000" w:themeColor="text1"/>
          <w:spacing w:val="5"/>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pacing w:val="5"/>
          <w:sz w:val="32"/>
          <w:szCs w:val="32"/>
          <w:lang w:eastAsia="zh-CN"/>
          <w14:textFill>
            <w14:solidFill>
              <w14:schemeClr w14:val="tx1"/>
            </w14:solidFill>
          </w14:textFill>
        </w:rPr>
        <w:t>适用范围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本预案适用于在</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县域</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内发生的，造成或者可能造成社会公众身心健康严重损害的呼吸道感染性疾病的应急处置工作。</w:t>
      </w:r>
    </w:p>
    <w:p>
      <w:pPr>
        <w:keepNext w:val="0"/>
        <w:keepLines w:val="0"/>
        <w:pageBreakBefore w:val="0"/>
        <w:widowControl w:val="0"/>
        <w:kinsoku/>
        <w:wordWrap/>
        <w:overflowPunct/>
        <w:topLinePunct w:val="0"/>
        <w:autoSpaceDE/>
        <w:autoSpaceDN/>
        <w:bidi w:val="0"/>
        <w:adjustRightInd/>
        <w:snapToGrid/>
        <w:spacing w:line="576" w:lineRule="exact"/>
        <w:ind w:firstLine="660" w:firstLineChars="200"/>
        <w:textAlignment w:val="auto"/>
        <w:rPr>
          <w:rFonts w:hint="eastAsia" w:ascii="楷体" w:hAnsi="楷体" w:eastAsia="楷体" w:cs="楷体"/>
          <w:b w:val="0"/>
          <w:bCs w:val="0"/>
          <w:color w:val="000000" w:themeColor="text1"/>
          <w:spacing w:val="5"/>
          <w:sz w:val="32"/>
          <w:szCs w:val="32"/>
          <w:lang w:eastAsia="zh-CN"/>
          <w14:textFill>
            <w14:solidFill>
              <w14:schemeClr w14:val="tx1"/>
            </w14:solidFill>
          </w14:textFill>
        </w:rPr>
      </w:pPr>
      <w:r>
        <w:rPr>
          <w:rFonts w:hint="eastAsia" w:ascii="楷体" w:hAnsi="楷体" w:eastAsia="楷体" w:cs="楷体"/>
          <w:b w:val="0"/>
          <w:bCs w:val="0"/>
          <w:color w:val="000000" w:themeColor="text1"/>
          <w:spacing w:val="5"/>
          <w:sz w:val="32"/>
          <w:szCs w:val="32"/>
          <w:lang w:eastAsia="zh-CN"/>
          <w14:textFill>
            <w14:solidFill>
              <w14:schemeClr w14:val="tx1"/>
            </w14:solidFill>
          </w14:textFill>
        </w:rPr>
        <w:t>1.4</w:t>
      </w:r>
      <w:r>
        <w:rPr>
          <w:rFonts w:hint="eastAsia" w:ascii="楷体" w:hAnsi="楷体" w:eastAsia="楷体" w:cs="楷体"/>
          <w:b w:val="0"/>
          <w:bCs w:val="0"/>
          <w:color w:val="000000" w:themeColor="text1"/>
          <w:spacing w:val="5"/>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pacing w:val="5"/>
          <w:sz w:val="32"/>
          <w:szCs w:val="32"/>
          <w:lang w:eastAsia="zh-CN"/>
          <w14:textFill>
            <w14:solidFill>
              <w14:schemeClr w14:val="tx1"/>
            </w14:solidFill>
          </w14:textFill>
        </w:rPr>
        <w:t>工作原则</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预防为主，立足准备。积极开展卫生应急准备，落实防范措施，做到有备无患；加强监测、分析、预警，对呼吸道感染性疾病病例做到早发现、早报告、早隔离、早治疗。</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统一领导，分级负责。根据事件的范围、性质和危害程度对事件进行分级管理，实行集中领导和统一指挥；积极协调各级、各部门落实应对事件的准备工作和应急处理工作。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加强能力，强化准备。加强人员、技术和物资准备，提高“平战”快速转换能力，加强队伍建设、管理与维护，做到随时备战、随时能战。及时预警，有效应对。加强事件的监测预警能力，依靠科学技术，及时做好各项应对工作。</w:t>
      </w:r>
    </w:p>
    <w:p>
      <w:pPr>
        <w:keepNext w:val="0"/>
        <w:keepLines w:val="0"/>
        <w:pageBreakBefore w:val="0"/>
        <w:widowControl w:val="0"/>
        <w:kinsoku/>
        <w:wordWrap/>
        <w:overflowPunct/>
        <w:topLinePunct w:val="0"/>
        <w:autoSpaceDE/>
        <w:autoSpaceDN/>
        <w:bidi w:val="0"/>
        <w:adjustRightInd/>
        <w:snapToGrid/>
        <w:spacing w:line="576" w:lineRule="exact"/>
        <w:ind w:firstLine="660" w:firstLineChars="200"/>
        <w:textAlignment w:val="auto"/>
        <w:outlineLvl w:val="0"/>
        <w:rPr>
          <w:rFonts w:hint="eastAsia" w:ascii="黑体" w:hAnsi="黑体" w:eastAsia="黑体" w:cs="黑体"/>
          <w:b w:val="0"/>
          <w:bCs w:val="0"/>
          <w:color w:val="000000" w:themeColor="text1"/>
          <w:spacing w:val="5"/>
          <w:sz w:val="32"/>
          <w:szCs w:val="32"/>
          <w:lang w:eastAsia="zh-CN"/>
          <w14:textFill>
            <w14:solidFill>
              <w14:schemeClr w14:val="tx1"/>
            </w14:solidFill>
          </w14:textFill>
        </w:rPr>
      </w:pPr>
      <w:r>
        <w:rPr>
          <w:rFonts w:hint="eastAsia" w:ascii="黑体" w:hAnsi="黑体" w:eastAsia="黑体" w:cs="黑体"/>
          <w:b w:val="0"/>
          <w:bCs w:val="0"/>
          <w:color w:val="000000" w:themeColor="text1"/>
          <w:spacing w:val="5"/>
          <w:sz w:val="32"/>
          <w:szCs w:val="32"/>
          <w:lang w:val="en-US" w:eastAsia="zh-CN"/>
          <w14:textFill>
            <w14:solidFill>
              <w14:schemeClr w14:val="tx1"/>
            </w14:solidFill>
          </w14:textFill>
        </w:rPr>
        <w:t xml:space="preserve">2  </w:t>
      </w:r>
      <w:r>
        <w:rPr>
          <w:rFonts w:hint="eastAsia" w:ascii="黑体" w:hAnsi="黑体" w:eastAsia="黑体" w:cs="黑体"/>
          <w:b w:val="0"/>
          <w:bCs w:val="0"/>
          <w:color w:val="000000" w:themeColor="text1"/>
          <w:spacing w:val="5"/>
          <w:sz w:val="32"/>
          <w:szCs w:val="32"/>
          <w:lang w:eastAsia="zh-CN"/>
          <w14:textFill>
            <w14:solidFill>
              <w14:schemeClr w14:val="tx1"/>
            </w14:solidFill>
          </w14:textFill>
        </w:rPr>
        <w:t>应对阶段划分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呼吸道感染性疾病应对阶段划分由</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县卫健委组织</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有关专家判定。</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根据应对呼吸道感染性疾病工作的特点、紧急程度、发展态势和可能造成的危害程度将应对阶段划分为常态化阶段、应急准备阶段和应急阶段。</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常态化阶段：为日常监测和防控阶段。以自然周为单位，辖区医疗机构门急诊就诊人数维持在相对平稳状态，与之前3年同期平均就诊人数相比，增加小于20%,呼吸道感染性疾病占比在60%以下，流感哨点医院门急诊流感样病例占比(IL1%)未超过5%,呼吸内科、儿科、发热门诊等主要科室床位占有率低于80%。</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应急准备阶段：为应对防控和救治压力的准备阶段。以自然周为单位，辖区医疗机构门急诊就诊人数与之前3年同期平均就诊人数相比，增加20%及以上，但低于30%;且呼吸道疾病占比在60%及以上，但低于70%;同时，流感哨点医院门急诊流感样病例占比(ILI%)达到5%及以上，但低于10%;呼吸内科、儿科、发热门诊等主要科室床位占有率达到80%及以上，但低于90%。或重症急性呼吸道疾病(SARI)病例数与之前3年同期相比，增加30%及以上，但低于40%。</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应急阶段：为全面采取应急措施的阶段。以自然周为单位，主要医疗机构门急诊就诊人数与之前3年同期平均就诊人数相比，增加大于30%,且呼吸道疾病占比在70%及以上，同时，流感哨点医院门急诊流感样病例占比(ILI%)达到10%及以上；呼吸内科、儿科、发热门诊等主要科室床位占有率达到90%及以上。或重症急性呼吸道疾病(SARI)病例数与之前3年同期相比，增加大于40%。或发现致病力较高的新病原体、既往病原体的新变异株。</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方正仿宋_GB2312" w:hAnsi="方正仿宋_GB2312" w:eastAsia="方正仿宋_GB2312" w:cs="方正仿宋_GB2312"/>
          <w:b w:val="0"/>
          <w:bCs w:val="0"/>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3</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w:t>
      </w:r>
      <w:r>
        <w:rPr>
          <w:rFonts w:hint="eastAsia" w:ascii="黑体" w:hAnsi="黑体" w:eastAsia="黑体" w:cs="黑体"/>
          <w:b w:val="0"/>
          <w:bCs w:val="0"/>
          <w:color w:val="000000" w:themeColor="text1"/>
          <w:sz w:val="32"/>
          <w:szCs w:val="32"/>
          <w:lang w:eastAsia="zh-CN"/>
          <w14:textFill>
            <w14:solidFill>
              <w14:schemeClr w14:val="tx1"/>
            </w14:solidFill>
          </w14:textFill>
        </w:rPr>
        <w:t>应急组织体系及职责</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 w:hAnsi="楷体" w:eastAsia="楷体" w:cs="楷体"/>
          <w:b w:val="0"/>
          <w:bCs w:val="0"/>
          <w:color w:val="000000" w:themeColor="text1"/>
          <w:sz w:val="32"/>
          <w:szCs w:val="32"/>
          <w:lang w:eastAsia="zh-CN"/>
          <w14:textFill>
            <w14:solidFill>
              <w14:schemeClr w14:val="tx1"/>
            </w14:solidFill>
          </w14:textFill>
        </w:rPr>
      </w:pPr>
      <w:r>
        <w:rPr>
          <w:rFonts w:hint="eastAsia" w:ascii="楷体" w:hAnsi="楷体" w:eastAsia="楷体" w:cs="楷体"/>
          <w:b w:val="0"/>
          <w:bCs w:val="0"/>
          <w:color w:val="000000" w:themeColor="text1"/>
          <w:sz w:val="32"/>
          <w:szCs w:val="32"/>
          <w:lang w:eastAsia="zh-CN"/>
          <w14:textFill>
            <w14:solidFill>
              <w14:schemeClr w14:val="tx1"/>
            </w14:solidFill>
          </w14:textFill>
        </w:rPr>
        <w:t>3.1</w:t>
      </w:r>
      <w:r>
        <w:rPr>
          <w:rFonts w:hint="eastAsia" w:ascii="楷体" w:hAnsi="楷体" w:eastAsia="楷体" w:cs="楷体"/>
          <w:b w:val="0"/>
          <w:bCs w:val="0"/>
          <w:color w:val="000000" w:themeColor="text1"/>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z w:val="32"/>
          <w:szCs w:val="32"/>
          <w:lang w:eastAsia="zh-CN"/>
          <w14:textFill>
            <w14:solidFill>
              <w14:schemeClr w14:val="tx1"/>
            </w14:solidFill>
          </w14:textFill>
        </w:rPr>
        <w:t>防控工作领导小组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成立全</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呼吸道感染性疾病防控工作领导小组,领导小组组长由</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卫生健康委主要负责同志担任，成员包括</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卫生健康委、</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医保局、</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药监局、</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疾病预防控制中心等机构的相关负责人。领导小组下设办公室，负责呼吸道感染性疾病防控工作的日常事务。</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领导小组职责包括：(1)建立平战结合运行机制，根据应对阶段启动相应的应急措施；(2)领导、协调全</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县卫生健康行政部门</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疾病预防控制机构和医疗机构做好呼吸道感染性疾病预防控制、医疗资源储备和调配等准备工作，优化医保政策；(3)及时公布呼吸道感染性疾病的相关信息，发出预警，提出相关措施建议；(4)关注舆情信息，组织开展风险沟通，科学引导舆论，回应社会关切。</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 w:hAnsi="楷体" w:eastAsia="楷体" w:cs="楷体"/>
          <w:b w:val="0"/>
          <w:bCs w:val="0"/>
          <w:color w:val="000000" w:themeColor="text1"/>
          <w:sz w:val="32"/>
          <w:szCs w:val="32"/>
          <w:lang w:eastAsia="zh-CN"/>
          <w14:textFill>
            <w14:solidFill>
              <w14:schemeClr w14:val="tx1"/>
            </w14:solidFill>
          </w14:textFill>
        </w:rPr>
      </w:pPr>
      <w:r>
        <w:rPr>
          <w:rFonts w:hint="eastAsia" w:ascii="楷体" w:hAnsi="楷体" w:eastAsia="楷体" w:cs="楷体"/>
          <w:b w:val="0"/>
          <w:bCs w:val="0"/>
          <w:color w:val="000000" w:themeColor="text1"/>
          <w:sz w:val="32"/>
          <w:szCs w:val="32"/>
          <w:lang w:eastAsia="zh-CN"/>
          <w14:textFill>
            <w14:solidFill>
              <w14:schemeClr w14:val="tx1"/>
            </w14:solidFill>
          </w14:textFill>
        </w:rPr>
        <w:t>3.2</w:t>
      </w:r>
      <w:r>
        <w:rPr>
          <w:rFonts w:hint="eastAsia" w:ascii="楷体" w:hAnsi="楷体" w:eastAsia="楷体" w:cs="楷体"/>
          <w:b w:val="0"/>
          <w:bCs w:val="0"/>
          <w:color w:val="000000" w:themeColor="text1"/>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z w:val="32"/>
          <w:szCs w:val="32"/>
          <w:lang w:eastAsia="zh-CN"/>
          <w14:textFill>
            <w14:solidFill>
              <w14:schemeClr w14:val="tx1"/>
            </w14:solidFill>
          </w14:textFill>
        </w:rPr>
        <w:t>专家咨询委员会</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专家咨询委员会由传染病学、临床医学、中医学、流行病学、免疫规划、卫生管理、健康教育、医学检验等相关领域具有高级职称的专家组成。其主要职责包括：(1)对日常应急准备提出意见建议，参与制定应急预案和技术方案；(2)对不同阶段呼吸道感染性疾病相关信息进行分析评估，提出应对措施建议；(3)对医疗救治、资源调配、应急处置等工作提供专业咨询和技术指导；(4)承担防控工作领导小组、</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交办的其他工作。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 w:hAnsi="楷体" w:eastAsia="楷体" w:cs="楷体"/>
          <w:b w:val="0"/>
          <w:bCs w:val="0"/>
          <w:color w:val="000000" w:themeColor="text1"/>
          <w:sz w:val="32"/>
          <w:szCs w:val="32"/>
          <w:lang w:eastAsia="zh-CN"/>
          <w14:textFill>
            <w14:solidFill>
              <w14:schemeClr w14:val="tx1"/>
            </w14:solidFill>
          </w14:textFill>
        </w:rPr>
      </w:pPr>
      <w:r>
        <w:rPr>
          <w:rFonts w:hint="eastAsia" w:ascii="楷体" w:hAnsi="楷体" w:eastAsia="楷体" w:cs="楷体"/>
          <w:b w:val="0"/>
          <w:bCs w:val="0"/>
          <w:color w:val="000000" w:themeColor="text1"/>
          <w:sz w:val="32"/>
          <w:szCs w:val="32"/>
          <w:lang w:eastAsia="zh-CN"/>
          <w14:textFill>
            <w14:solidFill>
              <w14:schemeClr w14:val="tx1"/>
            </w14:solidFill>
          </w14:textFill>
        </w:rPr>
        <w:t>3.3</w:t>
      </w:r>
      <w:r>
        <w:rPr>
          <w:rFonts w:hint="eastAsia" w:ascii="楷体" w:hAnsi="楷体" w:eastAsia="楷体" w:cs="楷体"/>
          <w:b w:val="0"/>
          <w:bCs w:val="0"/>
          <w:color w:val="000000" w:themeColor="text1"/>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z w:val="32"/>
          <w:szCs w:val="32"/>
          <w:lang w:eastAsia="zh-CN"/>
          <w14:textFill>
            <w14:solidFill>
              <w14:schemeClr w14:val="tx1"/>
            </w14:solidFill>
          </w14:textFill>
        </w:rPr>
        <w:t>医疗卫生专业机构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3.3.</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 xml:space="preserve">1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医疗机构主要负责病例的诊断和报告，储备相关检测、救治资源，开展临床救治，院内调配人员，合理安排接诊时间，优化就诊流程，防止院内感染。有条件的医疗机构应及时进行网络直报，并上报所在辖区内的疾病预防控制机构。同时，医疗机构应主动配合疾病预防控制机构开展流行病学调查、实验室检测样本的采集等工作，落实医院内的各项疾病预防控制措施；积极抢救病例，尽可能减少并发症，降低病死率。</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3.3.2</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疾病预防控制机构主要负责监测预警、风险评估关键病例的流行病学调查和实验室检测，及技术指导等工作。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黑体" w:hAnsi="黑体" w:eastAsia="黑体" w:cs="黑体"/>
          <w:b w:val="0"/>
          <w:bCs w:val="0"/>
          <w:color w:val="000000" w:themeColor="text1"/>
          <w:sz w:val="32"/>
          <w:szCs w:val="32"/>
          <w:lang w:eastAsia="zh-CN"/>
          <w14:textFill>
            <w14:solidFill>
              <w14:schemeClr w14:val="tx1"/>
            </w14:solidFill>
          </w14:textFill>
        </w:rPr>
      </w:pPr>
      <w:r>
        <w:rPr>
          <w:rFonts w:hint="eastAsia" w:ascii="黑体" w:hAnsi="黑体" w:eastAsia="黑体" w:cs="黑体"/>
          <w:b w:val="0"/>
          <w:bCs w:val="0"/>
          <w:color w:val="000000" w:themeColor="text1"/>
          <w:sz w:val="32"/>
          <w:szCs w:val="32"/>
          <w:lang w:eastAsia="zh-CN"/>
          <w14:textFill>
            <w14:solidFill>
              <w14:schemeClr w14:val="tx1"/>
            </w14:solidFill>
          </w14:textFill>
        </w:rPr>
        <w:t>4</w:t>
      </w:r>
      <w:r>
        <w:rPr>
          <w:rFonts w:hint="eastAsia" w:ascii="黑体" w:hAnsi="黑体" w:eastAsia="黑体" w:cs="黑体"/>
          <w:b w:val="0"/>
          <w:bCs w:val="0"/>
          <w:color w:val="000000" w:themeColor="text1"/>
          <w:sz w:val="32"/>
          <w:szCs w:val="32"/>
          <w:lang w:val="en-US" w:eastAsia="zh-CN"/>
          <w14:textFill>
            <w14:solidFill>
              <w14:schemeClr w14:val="tx1"/>
            </w14:solidFill>
          </w14:textFill>
        </w:rPr>
        <w:t xml:space="preserve">  </w:t>
      </w:r>
      <w:r>
        <w:rPr>
          <w:rFonts w:hint="eastAsia" w:ascii="黑体" w:hAnsi="黑体" w:eastAsia="黑体" w:cs="黑体"/>
          <w:b w:val="0"/>
          <w:bCs w:val="0"/>
          <w:color w:val="000000" w:themeColor="text1"/>
          <w:sz w:val="32"/>
          <w:szCs w:val="32"/>
          <w:lang w:eastAsia="zh-CN"/>
          <w14:textFill>
            <w14:solidFill>
              <w14:schemeClr w14:val="tx1"/>
            </w14:solidFill>
          </w14:textFill>
        </w:rPr>
        <w:t>监测、评估与预警</w:t>
      </w:r>
    </w:p>
    <w:p>
      <w:pPr>
        <w:keepNext w:val="0"/>
        <w:keepLines w:val="0"/>
        <w:pageBreakBefore w:val="0"/>
        <w:widowControl w:val="0"/>
        <w:kinsoku/>
        <w:wordWrap/>
        <w:overflowPunct/>
        <w:topLinePunct w:val="0"/>
        <w:autoSpaceDE/>
        <w:autoSpaceDN/>
        <w:bidi w:val="0"/>
        <w:adjustRightInd/>
        <w:snapToGrid/>
        <w:spacing w:line="576" w:lineRule="exact"/>
        <w:ind w:firstLine="660" w:firstLineChars="200"/>
        <w:textAlignment w:val="auto"/>
        <w:rPr>
          <w:rFonts w:hint="eastAsia" w:ascii="方正仿宋_GB2312" w:hAnsi="方正仿宋_GB2312" w:eastAsia="方正仿宋_GB2312" w:cs="方正仿宋_GB2312"/>
          <w:b w:val="0"/>
          <w:bCs w:val="0"/>
          <w:color w:val="000000" w:themeColor="text1"/>
          <w:sz w:val="32"/>
          <w:szCs w:val="32"/>
          <w:lang w:eastAsia="zh-CN"/>
          <w14:textFill>
            <w14:solidFill>
              <w14:schemeClr w14:val="tx1"/>
            </w14:solidFill>
          </w14:textFill>
        </w:rPr>
      </w:pPr>
      <w:r>
        <w:rPr>
          <w:rFonts w:hint="eastAsia" w:ascii="楷体" w:hAnsi="楷体" w:eastAsia="楷体" w:cs="楷体"/>
          <w:b w:val="0"/>
          <w:bCs w:val="0"/>
          <w:snapToGrid w:val="0"/>
          <w:color w:val="000000" w:themeColor="text1"/>
          <w:spacing w:val="5"/>
          <w:kern w:val="0"/>
          <w:sz w:val="32"/>
          <w:szCs w:val="32"/>
          <w:lang w:eastAsia="zh-CN"/>
          <w14:textFill>
            <w14:solidFill>
              <w14:schemeClr w14:val="tx1"/>
            </w14:solidFill>
          </w14:textFill>
        </w:rPr>
        <w:t>4.1</w:t>
      </w:r>
      <w:r>
        <w:rPr>
          <w:rFonts w:hint="eastAsia" w:ascii="楷体" w:hAnsi="楷体" w:eastAsia="楷体" w:cs="楷体"/>
          <w:b w:val="0"/>
          <w:bCs w:val="0"/>
          <w:snapToGrid w:val="0"/>
          <w:color w:val="000000" w:themeColor="text1"/>
          <w:spacing w:val="5"/>
          <w:kern w:val="0"/>
          <w:sz w:val="32"/>
          <w:szCs w:val="32"/>
          <w:lang w:val="en-US" w:eastAsia="zh-CN"/>
          <w14:textFill>
            <w14:solidFill>
              <w14:schemeClr w14:val="tx1"/>
            </w14:solidFill>
          </w14:textFill>
        </w:rPr>
        <w:t xml:space="preserve">  </w:t>
      </w:r>
      <w:r>
        <w:rPr>
          <w:rFonts w:hint="eastAsia" w:ascii="楷体" w:hAnsi="楷体" w:eastAsia="楷体" w:cs="楷体"/>
          <w:b w:val="0"/>
          <w:bCs w:val="0"/>
          <w:snapToGrid w:val="0"/>
          <w:color w:val="000000" w:themeColor="text1"/>
          <w:spacing w:val="5"/>
          <w:kern w:val="0"/>
          <w:sz w:val="32"/>
          <w:szCs w:val="32"/>
          <w:lang w:eastAsia="zh-CN"/>
          <w14:textFill>
            <w14:solidFill>
              <w14:schemeClr w14:val="tx1"/>
            </w14:solidFill>
          </w14:textFill>
        </w:rPr>
        <w:t>监测</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建立完善的</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法定传染病</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和突发公共卫生事件网络直报、不明原因肺炎、流感哨点监测、呼吸道多病原监测、实验室检测、医疗卫生人员报告、科研发现报告、舆情监测以及公众举报电话等多渠道监测网络，实现信息源头收集、实时抓取和在线监测。根据呼吸道感染性疾病所处阶段，可启动应急监测，增加或调整监测方式、范围、内容、频次等。</w:t>
      </w:r>
    </w:p>
    <w:p>
      <w:pPr>
        <w:keepNext w:val="0"/>
        <w:keepLines w:val="0"/>
        <w:pageBreakBefore w:val="0"/>
        <w:widowControl w:val="0"/>
        <w:kinsoku/>
        <w:wordWrap/>
        <w:overflowPunct/>
        <w:topLinePunct w:val="0"/>
        <w:autoSpaceDE/>
        <w:autoSpaceDN/>
        <w:bidi w:val="0"/>
        <w:adjustRightInd/>
        <w:snapToGrid/>
        <w:spacing w:line="576" w:lineRule="exact"/>
        <w:ind w:firstLine="660" w:firstLineChars="200"/>
        <w:textAlignment w:val="auto"/>
        <w:rPr>
          <w:rFonts w:hint="eastAsia" w:ascii="楷体" w:hAnsi="楷体" w:eastAsia="楷体" w:cs="楷体"/>
          <w:b w:val="0"/>
          <w:bCs w:val="0"/>
          <w:snapToGrid w:val="0"/>
          <w:color w:val="000000" w:themeColor="text1"/>
          <w:spacing w:val="5"/>
          <w:kern w:val="0"/>
          <w:sz w:val="32"/>
          <w:szCs w:val="32"/>
          <w:lang w:eastAsia="zh-CN"/>
          <w14:textFill>
            <w14:solidFill>
              <w14:schemeClr w14:val="tx1"/>
            </w14:solidFill>
          </w14:textFill>
        </w:rPr>
      </w:pPr>
      <w:r>
        <w:rPr>
          <w:rFonts w:hint="eastAsia" w:ascii="楷体" w:hAnsi="楷体" w:eastAsia="楷体" w:cs="楷体"/>
          <w:b w:val="0"/>
          <w:bCs w:val="0"/>
          <w:snapToGrid w:val="0"/>
          <w:color w:val="000000" w:themeColor="text1"/>
          <w:spacing w:val="5"/>
          <w:kern w:val="0"/>
          <w:sz w:val="32"/>
          <w:szCs w:val="32"/>
          <w:lang w:eastAsia="en-US"/>
          <w14:textFill>
            <w14:solidFill>
              <w14:schemeClr w14:val="tx1"/>
            </w14:solidFill>
          </w14:textFill>
        </w:rPr>
        <w:t>4.2</w:t>
      </w:r>
      <w:r>
        <w:rPr>
          <w:rFonts w:hint="eastAsia" w:ascii="楷体" w:hAnsi="楷体" w:eastAsia="楷体" w:cs="楷体"/>
          <w:b w:val="0"/>
          <w:bCs w:val="0"/>
          <w:snapToGrid w:val="0"/>
          <w:color w:val="000000" w:themeColor="text1"/>
          <w:spacing w:val="5"/>
          <w:kern w:val="0"/>
          <w:sz w:val="32"/>
          <w:szCs w:val="32"/>
          <w:lang w:val="en-US" w:eastAsia="zh-CN"/>
          <w14:textFill>
            <w14:solidFill>
              <w14:schemeClr w14:val="tx1"/>
            </w14:solidFill>
          </w14:textFill>
        </w:rPr>
        <w:t xml:space="preserve">  </w:t>
      </w:r>
      <w:r>
        <w:rPr>
          <w:rFonts w:hint="eastAsia" w:ascii="楷体" w:hAnsi="楷体" w:eastAsia="楷体" w:cs="楷体"/>
          <w:b w:val="0"/>
          <w:bCs w:val="0"/>
          <w:snapToGrid w:val="0"/>
          <w:color w:val="000000" w:themeColor="text1"/>
          <w:spacing w:val="5"/>
          <w:kern w:val="0"/>
          <w:sz w:val="32"/>
          <w:szCs w:val="32"/>
          <w:lang w:eastAsia="en-US"/>
          <w14:textFill>
            <w14:solidFill>
              <w14:schemeClr w14:val="tx1"/>
            </w14:solidFill>
          </w14:textFill>
        </w:rPr>
        <w:t>评估</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根据多渠道监测网络数据、国内外呼吸道感染性疾病发生发展情况、舆情监测数据等信息，领导小组组织专家咨询委员会开展日常风险评估和专题风险评估，及时排查发现呼吸道感染性疾病发生发展的风险隐患。</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针对智慧化预警多点触发机制发出的预警提示，</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县卫健委</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及时进行核实，必要时组织专家开展专题风险评估；根据核实评估结果，及时发布预警信息。一旦进入应急状态，应充分利用大数据、物联网、区块链技术，综合人员活动、行为习惯、物流、气候等更大范围的社会化层面数据，结合呼吸道感染性疾病的处置发展情况，针对性开展动态的专题评估并发布风险提示和预警。</w:t>
      </w:r>
    </w:p>
    <w:p>
      <w:pPr>
        <w:keepNext w:val="0"/>
        <w:keepLines w:val="0"/>
        <w:pageBreakBefore w:val="0"/>
        <w:widowControl w:val="0"/>
        <w:kinsoku/>
        <w:wordWrap/>
        <w:overflowPunct/>
        <w:topLinePunct w:val="0"/>
        <w:autoSpaceDE/>
        <w:autoSpaceDN/>
        <w:bidi w:val="0"/>
        <w:adjustRightInd/>
        <w:snapToGrid/>
        <w:spacing w:line="576" w:lineRule="exact"/>
        <w:ind w:firstLine="660" w:firstLineChars="200"/>
        <w:textAlignment w:val="auto"/>
        <w:rPr>
          <w:rFonts w:hint="eastAsia" w:ascii="方正仿宋_GB2312" w:hAnsi="方正仿宋_GB2312" w:eastAsia="方正仿宋_GB2312" w:cs="方正仿宋_GB2312"/>
          <w:b w:val="0"/>
          <w:bCs w:val="0"/>
          <w:color w:val="000000" w:themeColor="text1"/>
          <w:sz w:val="32"/>
          <w:szCs w:val="32"/>
          <w:lang w:eastAsia="zh-CN"/>
          <w14:textFill>
            <w14:solidFill>
              <w14:schemeClr w14:val="tx1"/>
            </w14:solidFill>
          </w14:textFill>
        </w:rPr>
      </w:pPr>
      <w:r>
        <w:rPr>
          <w:rFonts w:hint="eastAsia" w:ascii="楷体" w:hAnsi="楷体" w:eastAsia="楷体" w:cs="楷体"/>
          <w:b w:val="0"/>
          <w:bCs w:val="0"/>
          <w:snapToGrid w:val="0"/>
          <w:color w:val="000000" w:themeColor="text1"/>
          <w:spacing w:val="5"/>
          <w:kern w:val="0"/>
          <w:sz w:val="32"/>
          <w:szCs w:val="32"/>
          <w:lang w:eastAsia="en-US"/>
          <w14:textFill>
            <w14:solidFill>
              <w14:schemeClr w14:val="tx1"/>
            </w14:solidFill>
          </w14:textFill>
        </w:rPr>
        <w:t>4.3</w:t>
      </w:r>
      <w:r>
        <w:rPr>
          <w:rFonts w:hint="eastAsia" w:ascii="楷体" w:hAnsi="楷体" w:eastAsia="楷体" w:cs="楷体"/>
          <w:b w:val="0"/>
          <w:bCs w:val="0"/>
          <w:snapToGrid w:val="0"/>
          <w:color w:val="000000" w:themeColor="text1"/>
          <w:spacing w:val="5"/>
          <w:kern w:val="0"/>
          <w:sz w:val="32"/>
          <w:szCs w:val="32"/>
          <w:lang w:val="en-US" w:eastAsia="zh-CN"/>
          <w14:textFill>
            <w14:solidFill>
              <w14:schemeClr w14:val="tx1"/>
            </w14:solidFill>
          </w14:textFill>
        </w:rPr>
        <w:t xml:space="preserve">  </w:t>
      </w:r>
      <w:r>
        <w:rPr>
          <w:rFonts w:hint="eastAsia" w:ascii="楷体" w:hAnsi="楷体" w:eastAsia="楷体" w:cs="楷体"/>
          <w:b w:val="0"/>
          <w:bCs w:val="0"/>
          <w:snapToGrid w:val="0"/>
          <w:color w:val="000000" w:themeColor="text1"/>
          <w:spacing w:val="5"/>
          <w:kern w:val="0"/>
          <w:sz w:val="32"/>
          <w:szCs w:val="32"/>
          <w:lang w:eastAsia="en-US"/>
          <w14:textFill>
            <w14:solidFill>
              <w14:schemeClr w14:val="tx1"/>
            </w14:solidFill>
          </w14:textFill>
        </w:rPr>
        <w:t>预警</w:t>
      </w:r>
    </w:p>
    <w:p>
      <w:pPr>
        <w:keepNext w:val="0"/>
        <w:keepLines w:val="0"/>
        <w:pageBreakBefore w:val="0"/>
        <w:widowControl w:val="0"/>
        <w:kinsoku/>
        <w:wordWrap/>
        <w:overflowPunct/>
        <w:topLinePunct w:val="0"/>
        <w:autoSpaceDE/>
        <w:autoSpaceDN/>
        <w:bidi w:val="0"/>
        <w:adjustRightInd/>
        <w:snapToGrid w:val="0"/>
        <w:spacing w:line="576" w:lineRule="exact"/>
        <w:ind w:firstLine="640" w:firstLineChars="200"/>
        <w:textAlignment w:val="auto"/>
        <w:rPr>
          <w:rFonts w:hint="eastAsia" w:ascii="仿宋_GB2312" w:hAnsi="仿宋_GB2312" w:eastAsia="仿宋_GB2312" w:cs="仿宋_GB2312"/>
          <w:b w:val="0"/>
          <w:bCs w:val="0"/>
          <w:snapToGrid w:val="0"/>
          <w:color w:val="000000" w:themeColor="text1"/>
          <w:spacing w:val="17"/>
          <w:kern w:val="0"/>
          <w:position w:val="21"/>
          <w:sz w:val="32"/>
          <w:szCs w:val="32"/>
          <w:lang w:eastAsia="en-US"/>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根据实际情况，适当调整预警方法；定期对监测信息进行汇总分析与报告。把分析评估结果和风险管理建议及时报告给卫生健康行政部门，根据疫情的进展情况，由卫生健康行政部门对公众发布预警信息。</w:t>
      </w:r>
    </w:p>
    <w:p>
      <w:pPr>
        <w:keepNext w:val="0"/>
        <w:keepLines w:val="0"/>
        <w:pageBreakBefore w:val="0"/>
        <w:widowControl/>
        <w:kinsoku w:val="0"/>
        <w:wordWrap/>
        <w:overflowPunct/>
        <w:topLinePunct w:val="0"/>
        <w:autoSpaceDE w:val="0"/>
        <w:autoSpaceDN w:val="0"/>
        <w:bidi w:val="0"/>
        <w:adjustRightInd w:val="0"/>
        <w:snapToGrid w:val="0"/>
        <w:spacing w:line="576" w:lineRule="exact"/>
        <w:ind w:left="0" w:firstLine="664" w:firstLineChars="200"/>
        <w:jc w:val="left"/>
        <w:textAlignment w:val="baseline"/>
        <w:rPr>
          <w:rFonts w:hint="eastAsia" w:ascii="黑体" w:hAnsi="黑体" w:eastAsia="黑体" w:cs="黑体"/>
          <w:b w:val="0"/>
          <w:bCs w:val="0"/>
          <w:snapToGrid w:val="0"/>
          <w:color w:val="000000" w:themeColor="text1"/>
          <w:spacing w:val="6"/>
          <w:kern w:val="0"/>
          <w:sz w:val="32"/>
          <w:szCs w:val="32"/>
          <w:lang w:eastAsia="en-US"/>
          <w14:textFill>
            <w14:solidFill>
              <w14:schemeClr w14:val="tx1"/>
            </w14:solidFill>
          </w14:textFill>
        </w:rPr>
      </w:pPr>
      <w:r>
        <w:rPr>
          <w:rFonts w:hint="eastAsia" w:ascii="黑体" w:hAnsi="黑体" w:eastAsia="黑体" w:cs="黑体"/>
          <w:b w:val="0"/>
          <w:bCs w:val="0"/>
          <w:snapToGrid w:val="0"/>
          <w:color w:val="000000" w:themeColor="text1"/>
          <w:spacing w:val="6"/>
          <w:kern w:val="0"/>
          <w:sz w:val="32"/>
          <w:szCs w:val="32"/>
          <w:lang w:eastAsia="en-US"/>
          <w14:textFill>
            <w14:solidFill>
              <w14:schemeClr w14:val="tx1"/>
            </w14:solidFill>
          </w14:textFill>
        </w:rPr>
        <w:t>5</w:t>
      </w:r>
      <w:r>
        <w:rPr>
          <w:rFonts w:hint="eastAsia" w:ascii="黑体" w:hAnsi="黑体" w:eastAsia="黑体" w:cs="黑体"/>
          <w:b w:val="0"/>
          <w:bCs w:val="0"/>
          <w:snapToGrid w:val="0"/>
          <w:color w:val="000000" w:themeColor="text1"/>
          <w:spacing w:val="6"/>
          <w:kern w:val="0"/>
          <w:sz w:val="32"/>
          <w:szCs w:val="32"/>
          <w:lang w:val="en-US" w:eastAsia="zh-CN"/>
          <w14:textFill>
            <w14:solidFill>
              <w14:schemeClr w14:val="tx1"/>
            </w14:solidFill>
          </w14:textFill>
        </w:rPr>
        <w:t xml:space="preserve">  </w:t>
      </w:r>
      <w:r>
        <w:rPr>
          <w:rFonts w:hint="eastAsia" w:ascii="黑体" w:hAnsi="黑体" w:eastAsia="黑体" w:cs="黑体"/>
          <w:b w:val="0"/>
          <w:bCs w:val="0"/>
          <w:snapToGrid w:val="0"/>
          <w:color w:val="000000" w:themeColor="text1"/>
          <w:spacing w:val="6"/>
          <w:kern w:val="0"/>
          <w:sz w:val="32"/>
          <w:szCs w:val="32"/>
          <w:lang w:eastAsia="en-US"/>
          <w14:textFill>
            <w14:solidFill>
              <w14:schemeClr w14:val="tx1"/>
            </w14:solidFill>
          </w14:textFill>
        </w:rPr>
        <w:t>疫苗准备、药物准备、医疗救治及院感防控</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64" w:firstLineChars="200"/>
        <w:jc w:val="left"/>
        <w:textAlignment w:val="baseline"/>
        <w:rPr>
          <w:rFonts w:ascii="楷体" w:hAnsi="楷体" w:eastAsia="楷体" w:cs="楷体"/>
          <w:b w:val="0"/>
          <w:bCs w:val="0"/>
          <w:snapToGrid w:val="0"/>
          <w:color w:val="000000" w:themeColor="text1"/>
          <w:kern w:val="0"/>
          <w:sz w:val="32"/>
          <w:szCs w:val="32"/>
          <w:lang w:eastAsia="en-US"/>
          <w14:textFill>
            <w14:solidFill>
              <w14:schemeClr w14:val="tx1"/>
            </w14:solidFill>
          </w14:textFill>
        </w:rPr>
      </w:pPr>
      <w:r>
        <w:rPr>
          <w:rFonts w:ascii="楷体" w:hAnsi="楷体" w:eastAsia="楷体" w:cs="楷体"/>
          <w:b w:val="0"/>
          <w:bCs w:val="0"/>
          <w:snapToGrid w:val="0"/>
          <w:color w:val="000000" w:themeColor="text1"/>
          <w:spacing w:val="6"/>
          <w:kern w:val="0"/>
          <w:sz w:val="32"/>
          <w:szCs w:val="32"/>
          <w:lang w:eastAsia="en-US"/>
          <w14:textFill>
            <w14:solidFill>
              <w14:schemeClr w14:val="tx1"/>
            </w14:solidFill>
          </w14:textFill>
        </w:rPr>
        <w:t>5.1</w:t>
      </w:r>
      <w:r>
        <w:rPr>
          <w:rFonts w:hint="eastAsia" w:ascii="楷体" w:hAnsi="楷体" w:eastAsia="楷体" w:cs="楷体"/>
          <w:b w:val="0"/>
          <w:bCs w:val="0"/>
          <w:snapToGrid w:val="0"/>
          <w:color w:val="000000" w:themeColor="text1"/>
          <w:spacing w:val="6"/>
          <w:kern w:val="0"/>
          <w:sz w:val="32"/>
          <w:szCs w:val="32"/>
          <w:lang w:val="en-US" w:eastAsia="zh-CN"/>
          <w14:textFill>
            <w14:solidFill>
              <w14:schemeClr w14:val="tx1"/>
            </w14:solidFill>
          </w14:textFill>
        </w:rPr>
        <w:t xml:space="preserve">  </w:t>
      </w:r>
      <w:r>
        <w:rPr>
          <w:rFonts w:ascii="楷体" w:hAnsi="楷体" w:eastAsia="楷体" w:cs="楷体"/>
          <w:b w:val="0"/>
          <w:bCs w:val="0"/>
          <w:snapToGrid w:val="0"/>
          <w:color w:val="000000" w:themeColor="text1"/>
          <w:spacing w:val="6"/>
          <w:kern w:val="0"/>
          <w:sz w:val="32"/>
          <w:szCs w:val="32"/>
          <w:lang w:eastAsia="en-US"/>
          <w14:textFill>
            <w14:solidFill>
              <w14:schemeClr w14:val="tx1"/>
            </w14:solidFill>
          </w14:textFill>
        </w:rPr>
        <w:t>疫苗准备</w:t>
      </w:r>
    </w:p>
    <w:p>
      <w:pPr>
        <w:keepNext w:val="0"/>
        <w:keepLines w:val="0"/>
        <w:pageBreakBefore w:val="0"/>
        <w:widowControl w:val="0"/>
        <w:kinsoku/>
        <w:wordWrap/>
        <w:overflowPunct/>
        <w:topLinePunct w:val="0"/>
        <w:autoSpaceDE/>
        <w:autoSpaceDN/>
        <w:bidi w:val="0"/>
        <w:adjustRightInd/>
        <w:snapToGrid w:val="0"/>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疾控机构要做好疫苗储备工作，各级</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医疗机构</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向公众宣传流感等呼吸道感染性疾病疫苗接种知识，扩大疫苗接种覆盖率。重点保护儿童、老人和慢性基础性疾病等人群，降低疾病发病率和病死率。</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52" w:firstLineChars="200"/>
        <w:jc w:val="left"/>
        <w:textAlignment w:val="baseline"/>
        <w:outlineLvl w:val="0"/>
        <w:rPr>
          <w:rFonts w:ascii="楷体" w:hAnsi="楷体" w:eastAsia="楷体" w:cs="楷体"/>
          <w:b w:val="0"/>
          <w:bCs w:val="0"/>
          <w:snapToGrid w:val="0"/>
          <w:color w:val="000000" w:themeColor="text1"/>
          <w:kern w:val="0"/>
          <w:sz w:val="28"/>
          <w:szCs w:val="28"/>
          <w:lang w:eastAsia="en-US"/>
          <w14:textFill>
            <w14:solidFill>
              <w14:schemeClr w14:val="tx1"/>
            </w14:solidFill>
          </w14:textFill>
        </w:rPr>
      </w:pPr>
      <w:r>
        <w:rPr>
          <w:rFonts w:ascii="楷体" w:hAnsi="楷体" w:eastAsia="楷体" w:cs="楷体"/>
          <w:b w:val="0"/>
          <w:bCs w:val="0"/>
          <w:snapToGrid w:val="0"/>
          <w:color w:val="000000" w:themeColor="text1"/>
          <w:spacing w:val="3"/>
          <w:kern w:val="0"/>
          <w:sz w:val="32"/>
          <w:szCs w:val="32"/>
          <w:lang w:eastAsia="en-US"/>
          <w14:textFill>
            <w14:solidFill>
              <w14:schemeClr w14:val="tx1"/>
            </w14:solidFill>
          </w14:textFill>
        </w:rPr>
        <w:t>5.2</w:t>
      </w:r>
      <w:r>
        <w:rPr>
          <w:rFonts w:hint="eastAsia" w:ascii="楷体" w:hAnsi="楷体" w:eastAsia="楷体" w:cs="楷体"/>
          <w:b w:val="0"/>
          <w:bCs w:val="0"/>
          <w:snapToGrid w:val="0"/>
          <w:color w:val="000000" w:themeColor="text1"/>
          <w:spacing w:val="3"/>
          <w:kern w:val="0"/>
          <w:sz w:val="32"/>
          <w:szCs w:val="32"/>
          <w:lang w:val="en-US" w:eastAsia="zh-CN"/>
          <w14:textFill>
            <w14:solidFill>
              <w14:schemeClr w14:val="tx1"/>
            </w14:solidFill>
          </w14:textFill>
        </w:rPr>
        <w:t xml:space="preserve">  </w:t>
      </w:r>
      <w:r>
        <w:rPr>
          <w:rFonts w:ascii="楷体" w:hAnsi="楷体" w:eastAsia="楷体" w:cs="楷体"/>
          <w:b w:val="0"/>
          <w:bCs w:val="0"/>
          <w:snapToGrid w:val="0"/>
          <w:color w:val="000000" w:themeColor="text1"/>
          <w:spacing w:val="3"/>
          <w:kern w:val="0"/>
          <w:sz w:val="32"/>
          <w:szCs w:val="32"/>
          <w:lang w:eastAsia="en-US"/>
          <w14:textFill>
            <w14:solidFill>
              <w14:schemeClr w14:val="tx1"/>
            </w14:solidFill>
          </w14:textFill>
        </w:rPr>
        <w:t>药物准备</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卫健委负责拟定药物储备的品种和数量，报送有关部门负责储备。药物储备和调用按照省工业和信息化厅、卫生健康委、财政厅联合下发的《河南省医药储备管理办法(试行)》(豫工信联食〔2019〕52号)执行。</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52" w:firstLineChars="200"/>
        <w:jc w:val="left"/>
        <w:textAlignment w:val="baseline"/>
        <w:outlineLvl w:val="0"/>
        <w:rPr>
          <w:rFonts w:hint="eastAsia" w:ascii="楷体" w:hAnsi="楷体" w:eastAsia="楷体" w:cs="楷体"/>
          <w:b w:val="0"/>
          <w:bCs w:val="0"/>
          <w:snapToGrid w:val="0"/>
          <w:color w:val="000000" w:themeColor="text1"/>
          <w:spacing w:val="3"/>
          <w:kern w:val="0"/>
          <w:sz w:val="32"/>
          <w:szCs w:val="32"/>
          <w:lang w:eastAsia="en-US"/>
          <w14:textFill>
            <w14:solidFill>
              <w14:schemeClr w14:val="tx1"/>
            </w14:solidFill>
          </w14:textFill>
        </w:rPr>
      </w:pPr>
      <w:r>
        <w:rPr>
          <w:rFonts w:hint="eastAsia" w:ascii="楷体" w:hAnsi="楷体" w:eastAsia="楷体" w:cs="楷体"/>
          <w:b w:val="0"/>
          <w:bCs w:val="0"/>
          <w:snapToGrid w:val="0"/>
          <w:color w:val="000000" w:themeColor="text1"/>
          <w:spacing w:val="3"/>
          <w:kern w:val="0"/>
          <w:sz w:val="32"/>
          <w:szCs w:val="32"/>
          <w:lang w:eastAsia="en-US"/>
          <w14:textFill>
            <w14:solidFill>
              <w14:schemeClr w14:val="tx1"/>
            </w14:solidFill>
          </w14:textFill>
        </w:rPr>
        <w:t>5.3</w:t>
      </w:r>
      <w:r>
        <w:rPr>
          <w:rFonts w:hint="eastAsia" w:ascii="楷体" w:hAnsi="楷体" w:eastAsia="楷体" w:cs="楷体"/>
          <w:b w:val="0"/>
          <w:bCs w:val="0"/>
          <w:snapToGrid w:val="0"/>
          <w:color w:val="000000" w:themeColor="text1"/>
          <w:spacing w:val="3"/>
          <w:kern w:val="0"/>
          <w:sz w:val="32"/>
          <w:szCs w:val="32"/>
          <w:lang w:val="en-US" w:eastAsia="zh-CN"/>
          <w14:textFill>
            <w14:solidFill>
              <w14:schemeClr w14:val="tx1"/>
            </w14:solidFill>
          </w14:textFill>
        </w:rPr>
        <w:t xml:space="preserve">  </w:t>
      </w:r>
      <w:r>
        <w:rPr>
          <w:rFonts w:hint="eastAsia" w:ascii="楷体" w:hAnsi="楷体" w:eastAsia="楷体" w:cs="楷体"/>
          <w:b w:val="0"/>
          <w:bCs w:val="0"/>
          <w:snapToGrid w:val="0"/>
          <w:color w:val="000000" w:themeColor="text1"/>
          <w:spacing w:val="3"/>
          <w:kern w:val="0"/>
          <w:sz w:val="32"/>
          <w:szCs w:val="32"/>
          <w:lang w:eastAsia="en-US"/>
          <w14:textFill>
            <w14:solidFill>
              <w14:schemeClr w14:val="tx1"/>
            </w14:solidFill>
          </w14:textFill>
        </w:rPr>
        <w:t>医疗救治</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指导</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县域内</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各级医疗机构收治呼吸道感染性疾病病例和危重病人，并制定启动临时医疗救治点的工作预案。</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52" w:firstLineChars="200"/>
        <w:jc w:val="left"/>
        <w:textAlignment w:val="baseline"/>
        <w:outlineLvl w:val="0"/>
        <w:rPr>
          <w:rFonts w:ascii="楷体" w:hAnsi="楷体" w:eastAsia="楷体" w:cs="楷体"/>
          <w:b w:val="0"/>
          <w:bCs w:val="0"/>
          <w:snapToGrid w:val="0"/>
          <w:color w:val="000000" w:themeColor="text1"/>
          <w:spacing w:val="3"/>
          <w:kern w:val="0"/>
          <w:sz w:val="32"/>
          <w:szCs w:val="32"/>
          <w:lang w:eastAsia="en-US"/>
          <w14:textFill>
            <w14:solidFill>
              <w14:schemeClr w14:val="tx1"/>
            </w14:solidFill>
          </w14:textFill>
        </w:rPr>
      </w:pPr>
      <w:r>
        <w:rPr>
          <w:rFonts w:ascii="楷体" w:hAnsi="楷体" w:eastAsia="楷体" w:cs="楷体"/>
          <w:b w:val="0"/>
          <w:bCs w:val="0"/>
          <w:snapToGrid w:val="0"/>
          <w:color w:val="000000" w:themeColor="text1"/>
          <w:spacing w:val="3"/>
          <w:kern w:val="0"/>
          <w:sz w:val="32"/>
          <w:szCs w:val="32"/>
          <w:lang w:eastAsia="en-US"/>
          <w14:textFill>
            <w14:solidFill>
              <w14:schemeClr w14:val="tx1"/>
            </w14:solidFill>
          </w14:textFill>
        </w:rPr>
        <w:t>5.4</w:t>
      </w:r>
      <w:r>
        <w:rPr>
          <w:rFonts w:hint="eastAsia" w:ascii="楷体" w:hAnsi="楷体" w:eastAsia="楷体" w:cs="楷体"/>
          <w:b w:val="0"/>
          <w:bCs w:val="0"/>
          <w:snapToGrid w:val="0"/>
          <w:color w:val="000000" w:themeColor="text1"/>
          <w:spacing w:val="3"/>
          <w:kern w:val="0"/>
          <w:sz w:val="32"/>
          <w:szCs w:val="32"/>
          <w:lang w:val="en-US" w:eastAsia="zh-CN"/>
          <w14:textFill>
            <w14:solidFill>
              <w14:schemeClr w14:val="tx1"/>
            </w14:solidFill>
          </w14:textFill>
        </w:rPr>
        <w:t xml:space="preserve">  </w:t>
      </w:r>
      <w:r>
        <w:rPr>
          <w:rFonts w:ascii="楷体" w:hAnsi="楷体" w:eastAsia="楷体" w:cs="楷体"/>
          <w:b w:val="0"/>
          <w:bCs w:val="0"/>
          <w:snapToGrid w:val="0"/>
          <w:color w:val="000000" w:themeColor="text1"/>
          <w:spacing w:val="3"/>
          <w:kern w:val="0"/>
          <w:sz w:val="32"/>
          <w:szCs w:val="32"/>
          <w:lang w:eastAsia="en-US"/>
          <w14:textFill>
            <w14:solidFill>
              <w14:schemeClr w14:val="tx1"/>
            </w14:solidFill>
          </w14:textFill>
        </w:rPr>
        <w:t>院感防控</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en-US"/>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en-US"/>
          <w14:textFill>
            <w14:solidFill>
              <w14:schemeClr w14:val="tx1"/>
            </w14:solidFill>
          </w14:textFill>
        </w:rPr>
        <w:t>各级医疗机构医务人员做好个人防护和医院感染控制。医疗机构内呼吸道感染性疾病患者均需佩戴口罩。对于其他接触者可建议佩戴口罩。</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96" w:firstLineChars="200"/>
        <w:jc w:val="left"/>
        <w:textAlignment w:val="baseline"/>
        <w:rPr>
          <w:rFonts w:ascii="黑体" w:hAnsi="黑体" w:eastAsia="黑体" w:cs="黑体"/>
          <w:b w:val="0"/>
          <w:bCs w:val="0"/>
          <w:snapToGrid w:val="0"/>
          <w:color w:val="000000" w:themeColor="text1"/>
          <w:kern w:val="0"/>
          <w:sz w:val="32"/>
          <w:szCs w:val="32"/>
          <w:lang w:eastAsia="en-US"/>
          <w14:textFill>
            <w14:solidFill>
              <w14:schemeClr w14:val="tx1"/>
            </w14:solidFill>
          </w14:textFill>
        </w:rPr>
      </w:pPr>
      <w:r>
        <w:rPr>
          <w:rFonts w:ascii="黑体" w:hAnsi="黑体" w:eastAsia="黑体" w:cs="黑体"/>
          <w:b w:val="0"/>
          <w:bCs w:val="0"/>
          <w:snapToGrid w:val="0"/>
          <w:color w:val="000000" w:themeColor="text1"/>
          <w:spacing w:val="14"/>
          <w:kern w:val="0"/>
          <w:sz w:val="32"/>
          <w:szCs w:val="32"/>
          <w:lang w:eastAsia="en-US"/>
          <w14:textFill>
            <w14:solidFill>
              <w14:schemeClr w14:val="tx1"/>
            </w14:solidFill>
          </w14:textFill>
        </w:rPr>
        <w:t>6</w:t>
      </w:r>
      <w:r>
        <w:rPr>
          <w:rFonts w:hint="eastAsia" w:ascii="黑体" w:hAnsi="黑体" w:eastAsia="黑体" w:cs="黑体"/>
          <w:b w:val="0"/>
          <w:bCs w:val="0"/>
          <w:snapToGrid w:val="0"/>
          <w:color w:val="000000" w:themeColor="text1"/>
          <w:spacing w:val="14"/>
          <w:kern w:val="0"/>
          <w:sz w:val="32"/>
          <w:szCs w:val="32"/>
          <w:lang w:val="en-US" w:eastAsia="zh-CN"/>
          <w14:textFill>
            <w14:solidFill>
              <w14:schemeClr w14:val="tx1"/>
            </w14:solidFill>
          </w14:textFill>
        </w:rPr>
        <w:t xml:space="preserve">  </w:t>
      </w:r>
      <w:r>
        <w:rPr>
          <w:rFonts w:ascii="黑体" w:hAnsi="黑体" w:eastAsia="黑体" w:cs="黑体"/>
          <w:b w:val="0"/>
          <w:bCs w:val="0"/>
          <w:snapToGrid w:val="0"/>
          <w:color w:val="000000" w:themeColor="text1"/>
          <w:spacing w:val="14"/>
          <w:kern w:val="0"/>
          <w:sz w:val="32"/>
          <w:szCs w:val="32"/>
          <w:lang w:eastAsia="en-US"/>
          <w14:textFill>
            <w14:solidFill>
              <w14:schemeClr w14:val="tx1"/>
            </w14:solidFill>
          </w14:textFill>
        </w:rPr>
        <w:t>不同应对阶段的防控措施</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方正仿宋_GB2312" w:hAnsi="方正仿宋_GB2312" w:eastAsia="方正仿宋_GB2312" w:cs="方正仿宋_GB2312"/>
          <w:b w:val="0"/>
          <w:bCs w:val="0"/>
          <w:color w:val="000000" w:themeColor="text1"/>
          <w:sz w:val="32"/>
          <w:szCs w:val="32"/>
          <w:lang w:eastAsia="en-US"/>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eastAsia="en-US"/>
          <w14:textFill>
            <w14:solidFill>
              <w14:schemeClr w14:val="tx1"/>
            </w14:solidFill>
          </w14:textFill>
        </w:rPr>
        <w:t>各有关部门要在各自职责范围内组织落实不同应对阶段的相应防控措施。</w:t>
      </w:r>
    </w:p>
    <w:p>
      <w:pPr>
        <w:keepNext w:val="0"/>
        <w:keepLines w:val="0"/>
        <w:pageBreakBefore w:val="0"/>
        <w:widowControl w:val="0"/>
        <w:kinsoku/>
        <w:wordWrap/>
        <w:overflowPunct/>
        <w:topLinePunct w:val="0"/>
        <w:autoSpaceDE/>
        <w:autoSpaceDN/>
        <w:bidi w:val="0"/>
        <w:adjustRightInd/>
        <w:snapToGrid/>
        <w:spacing w:line="576" w:lineRule="exact"/>
        <w:ind w:firstLine="696" w:firstLineChars="200"/>
        <w:textAlignment w:val="auto"/>
        <w:rPr>
          <w:rFonts w:ascii="黑体" w:hAnsi="黑体" w:eastAsia="黑体" w:cs="黑体"/>
          <w:b w:val="0"/>
          <w:bCs w:val="0"/>
          <w:snapToGrid w:val="0"/>
          <w:color w:val="000000" w:themeColor="text1"/>
          <w:spacing w:val="14"/>
          <w:kern w:val="0"/>
          <w:sz w:val="32"/>
          <w:szCs w:val="32"/>
          <w:lang w:eastAsia="en-US"/>
          <w14:textFill>
            <w14:solidFill>
              <w14:schemeClr w14:val="tx1"/>
            </w14:solidFill>
          </w14:textFill>
        </w:rPr>
      </w:pPr>
      <w:r>
        <w:rPr>
          <w:rFonts w:ascii="黑体" w:hAnsi="黑体" w:eastAsia="黑体" w:cs="黑体"/>
          <w:b w:val="0"/>
          <w:bCs w:val="0"/>
          <w:snapToGrid w:val="0"/>
          <w:color w:val="000000" w:themeColor="text1"/>
          <w:spacing w:val="14"/>
          <w:kern w:val="0"/>
          <w:sz w:val="32"/>
          <w:szCs w:val="32"/>
          <w:lang w:eastAsia="en-US"/>
          <w14:textFill>
            <w14:solidFill>
              <w14:schemeClr w14:val="tx1"/>
            </w14:solidFill>
          </w14:textFill>
        </w:rPr>
        <w:t>6.1常态化阶段</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en-US"/>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en-US"/>
          <w14:textFill>
            <w14:solidFill>
              <w14:schemeClr w14:val="tx1"/>
            </w14:solidFill>
          </w14:textFill>
        </w:rPr>
        <w:t>6.1.1</w:t>
      </w:r>
      <w:r>
        <w:rPr>
          <w:rFonts w:hint="eastAsia" w:ascii="仿宋_GB2312" w:hAnsi="仿宋_GB2312" w:eastAsia="仿宋_GB2312" w:cs="仿宋_GB2312"/>
          <w:b w:val="0"/>
          <w:bCs w:val="0"/>
          <w:color w:val="000000" w:themeColor="text1"/>
          <w:sz w:val="32"/>
          <w:szCs w:val="32"/>
          <w:lang w:eastAsia="en-US"/>
          <w14:textFill>
            <w14:solidFill>
              <w14:schemeClr w14:val="tx1"/>
            </w14:solidFill>
          </w14:textFill>
        </w:rPr>
        <w:t>组织领导：由</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w:t>
      </w:r>
      <w:r>
        <w:rPr>
          <w:rFonts w:hint="eastAsia" w:ascii="仿宋_GB2312" w:hAnsi="仿宋_GB2312" w:eastAsia="仿宋_GB2312" w:cs="仿宋_GB2312"/>
          <w:b w:val="0"/>
          <w:bCs w:val="0"/>
          <w:color w:val="000000" w:themeColor="text1"/>
          <w:sz w:val="32"/>
          <w:szCs w:val="32"/>
          <w:lang w:eastAsia="en-US"/>
          <w14:textFill>
            <w14:solidFill>
              <w14:schemeClr w14:val="tx1"/>
            </w14:solidFill>
          </w14:textFill>
        </w:rPr>
        <w:t>牵头，组织相关部门，开展日常监测和防控工作。</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14:textFill>
            <w14:solidFill>
              <w14:schemeClr w14:val="tx1"/>
            </w14:solidFill>
          </w14:textFill>
        </w:rPr>
        <w:t>6.1.2</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日常监测、信息报告和研判：医疗机构、疾控机构、第三方检测机构按照发热门诊监测、日常流感哨点监测、呼吸道多病原监测、不明原因肺炎监测、常见呼吸道传染病监测等的要求，按照相关程序进行监测信息和传染病信息的报告，关注舆情信息，定期开展监测数据分析、风险评估和形势研判。</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6.1.3</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重点人群管理：对病人、疑似病人坚持“早发现、早报告、早隔离、早治疗”原则。所有二级以上综合医疗机构和儿童专科医院规范开设发热门诊，其他医疗机构加强预检分诊。</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6.1.4</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落实日常防控措施：开展联防联控，学校做好日常晨午检、缺课原因登记和追踪；对流感等有疫苗预防的呼吸道传染病做好疫苗接种工作；开展公众急性呼吸道传染病防治知识的健康教育，增强公众防范意识和自我保护能力；对相关部门开展防控技术专业培训和技术指导。</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6.1.5</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防控措施：对发生法定呼吸道传染病聚集性疫情或暴发疫情的相关场所进行应急处置和终末消毒，加强日常预防性消毒。加强学校、水产农贸批发市场、养老院、福利院、托幼机构、精神卫生医疗机构、监所等重点和特殊场所的防控。</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6.1.6</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信息发布：由</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常规发布法定传染病疫情。</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96" w:firstLineChars="200"/>
        <w:jc w:val="left"/>
        <w:textAlignment w:val="baseline"/>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pPr>
      <w:r>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t>6.2</w:t>
      </w:r>
      <w:r>
        <w:rPr>
          <w:rFonts w:hint="eastAsia" w:ascii="黑体" w:hAnsi="黑体" w:eastAsia="黑体" w:cs="黑体"/>
          <w:b w:val="0"/>
          <w:bCs w:val="0"/>
          <w:snapToGrid w:val="0"/>
          <w:color w:val="000000" w:themeColor="text1"/>
          <w:spacing w:val="14"/>
          <w:kern w:val="0"/>
          <w:sz w:val="32"/>
          <w:szCs w:val="32"/>
          <w:lang w:val="en-US" w:eastAsia="zh-CN"/>
          <w14:textFill>
            <w14:solidFill>
              <w14:schemeClr w14:val="tx1"/>
            </w14:solidFill>
          </w14:textFill>
        </w:rPr>
        <w:t xml:space="preserve">  </w:t>
      </w:r>
      <w:r>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t>应急准备阶段</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方正仿宋_GB2312" w:hAnsi="方正仿宋_GB2312" w:eastAsia="方正仿宋_GB2312" w:cs="方正仿宋_GB2312"/>
          <w:b w:val="0"/>
          <w:bCs w:val="0"/>
          <w:color w:val="000000" w:themeColor="text1"/>
          <w:sz w:val="32"/>
          <w:szCs w:val="32"/>
          <w:lang w:eastAsia="zh-CN"/>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eastAsia="zh-CN"/>
          <w14:textFill>
            <w14:solidFill>
              <w14:schemeClr w14:val="tx1"/>
            </w14:solidFill>
          </w14:textFill>
        </w:rPr>
        <w:t>在常态化监测和防控的基础上，强化和增加以下措施：</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6.2.1</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组织领导：根据需要设置相关工作组，分工负责，统筹组织协调应急准备工作。</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6.2.2</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监测和研判：开展应急监测，根据实际情况提高监测频次，扩大监测范围；提高监测数据分析频次，建立</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健全全县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医疗机构、疾控机构、学校等的信息互通机制，定期进行沟通交流，综合多种数据开展综合风险评估和疫情形势研判，并根据需要向社会发布。</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6.2.3</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防控措施</w:t>
      </w: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做好重点机构和场所疫情防控和应急处置，重点落实好学校、托幼机构、养老院、企事业单位、生产经营单位、公共场所防控措施。加大宣传力度，多渠道、多形式、广覆盖，重点普及针对性疾病防治核心知识，进一步强化流感等呼吸道感染性疾病疫苗接种宣传，做好接种服务。科学引导舆论，减少公众焦虑，普及科学防控知识，引导分级诊疗，缓解医院的接诊压力。</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6.2.4</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加强资源储备：</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提前统筹做好医疗资源调配的准备，储备相关诊疗和防控资源，做好应对医疗负荷和防控压力测试，组建本级专家救治团队。疾控部门要做好疫苗、检测试剂、消毒消杀等防控物资等储备工作。医疗机构统筹做好院内人员值班安排、就诊流程优化、检测试剂、药品、救治设备等资源的储备、院内感染防控等工作。药店储备呼吸道感染性疾病相关药物。学校、托幼机构、企事业单位、养老院、福利院等做好相关防控和救治物资储备。</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6.2.5</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信息发布：由</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根据实际需要，发布疫情进展信息、防控相关政策和措施。</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6.2.</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6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保障措施：</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县政府</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做好疫情防控的准备，统筹调集辖区的人员、物资、交通工具、相关设施设备等各类疫情防控资源。组织协调多部门利用新技术和新资源支持防控救治工作，并建立信息互通共享机制。</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96" w:firstLineChars="200"/>
        <w:jc w:val="left"/>
        <w:textAlignment w:val="baseline"/>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pPr>
      <w:r>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t>6.3</w:t>
      </w:r>
      <w:r>
        <w:rPr>
          <w:rFonts w:hint="eastAsia" w:ascii="黑体" w:hAnsi="黑体" w:eastAsia="黑体" w:cs="黑体"/>
          <w:b w:val="0"/>
          <w:bCs w:val="0"/>
          <w:snapToGrid w:val="0"/>
          <w:color w:val="000000" w:themeColor="text1"/>
          <w:spacing w:val="14"/>
          <w:kern w:val="0"/>
          <w:sz w:val="32"/>
          <w:szCs w:val="32"/>
          <w:lang w:val="en-US" w:eastAsia="zh-CN"/>
          <w14:textFill>
            <w14:solidFill>
              <w14:schemeClr w14:val="tx1"/>
            </w14:solidFill>
          </w14:textFill>
        </w:rPr>
        <w:t xml:space="preserve">  </w:t>
      </w:r>
      <w:r>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t>应急阶段</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在应急准备的基础上，强化和增加以下响应措施：</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6.3.1</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组织领导：启动专组专班运行机制，实行专班运作、分工负责，开展事件的应急处置、医疗救治、技术支撑保障、交通保障、物资设备供应保障、通信保障、信息发布、宣传教育、科研攻关、国内外交流合作、后勤保障、督导检查等各项应急工作。</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6.3.2</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监测、信息报告和研判：根据需要，可开展应急监测以满足分析研判需求；建立各部门定期调度和会商机制；综合各部门信息开展疫情风险评估并向社会发布(发布频次可根据防控需要调整)。</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6.3.3</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重点人群管理：视情启动方舱医院、公共场馆等开展大批量病例、疑似病例的集中收治，向上级政府报告请求医疗救治和防控工作支援。对新病原或致死性较高病原感染病人、疑似病人，实施“集中患者、集中专家、集中资源、集中救治”。不能开设发热呼吸道门诊的医疗机构开设发热诊室、设立临时隔离病室，开展发热病人筛查，及时转诊并做好登记和报告。</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6.3.4</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防控措施：按照精准防控的原则，不同疫情严重程度地区实行针对性防控措施，做好重点机构和场所疫情防控和应急处置，学校、企事业单位人员不带病上课、上班，可采取居家办公或部分停课措施。各</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医疗机构</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应通过增加临时接种点、延长接种服务时间等措施，全力做好流感等呼吸道传染病疫苗接种，提高人群接种率。必要时，根据《传染病防治法》等法律规定，采取疫情防控措施。</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6.3.5</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信息发布：及时发布事件进展信息、防控相关政策和措施；及时发布健康提示和就医指南；及时披露信息、澄清谣言、回应关切，正确引导舆论。</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6.3.6</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健康教育：重视心理健康服务，加强心理健康干预，可设立心理健康咨询热线，提供社会公众心理援助。</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6.3.7</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保障措施：政府实施统一的物资调配保障机制，统筹调集使用行政区域内的人员、物资、交通工具、相关设施设备等各类疫情防控资源。</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县</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政府可在辖区内紧急调集人员和调用储备物资用于疫情防控。建立多部门参与的事件应急处置支持信息系统，提升信息报告、统计分析、流行病学调查、疫情追踪等的时效性和智能化水平，确保应急处置信息准确、共享，促进防控措施有序落实。</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96" w:firstLineChars="200"/>
        <w:jc w:val="left"/>
        <w:textAlignment w:val="baseline"/>
        <w:rPr>
          <w:rFonts w:hint="eastAsia" w:ascii="楷体_GB2312" w:hAnsi="楷体_GB2312" w:eastAsia="楷体_GB2312" w:cs="楷体_GB2312"/>
          <w:b w:val="0"/>
          <w:bCs w:val="0"/>
          <w:snapToGrid w:val="0"/>
          <w:color w:val="000000" w:themeColor="text1"/>
          <w:spacing w:val="14"/>
          <w:kern w:val="0"/>
          <w:sz w:val="32"/>
          <w:szCs w:val="32"/>
          <w:lang w:eastAsia="zh-CN"/>
          <w14:textFill>
            <w14:solidFill>
              <w14:schemeClr w14:val="tx1"/>
            </w14:solidFill>
          </w14:textFill>
        </w:rPr>
      </w:pPr>
      <w:r>
        <w:rPr>
          <w:rFonts w:hint="eastAsia" w:ascii="楷体_GB2312" w:hAnsi="楷体_GB2312" w:eastAsia="楷体_GB2312" w:cs="楷体_GB2312"/>
          <w:b w:val="0"/>
          <w:bCs w:val="0"/>
          <w:snapToGrid w:val="0"/>
          <w:color w:val="000000" w:themeColor="text1"/>
          <w:spacing w:val="14"/>
          <w:kern w:val="0"/>
          <w:sz w:val="32"/>
          <w:szCs w:val="32"/>
          <w:lang w:eastAsia="zh-CN"/>
          <w14:textFill>
            <w14:solidFill>
              <w14:schemeClr w14:val="tx1"/>
            </w14:solidFill>
          </w14:textFill>
        </w:rPr>
        <w:t>6.4</w:t>
      </w:r>
      <w:r>
        <w:rPr>
          <w:rFonts w:hint="eastAsia" w:ascii="楷体_GB2312" w:hAnsi="楷体_GB2312" w:eastAsia="楷体_GB2312" w:cs="楷体_GB2312"/>
          <w:b w:val="0"/>
          <w:bCs w:val="0"/>
          <w:snapToGrid w:val="0"/>
          <w:color w:val="000000" w:themeColor="text1"/>
          <w:spacing w:val="14"/>
          <w:kern w:val="0"/>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snapToGrid w:val="0"/>
          <w:color w:val="000000" w:themeColor="text1"/>
          <w:spacing w:val="14"/>
          <w:kern w:val="0"/>
          <w:sz w:val="32"/>
          <w:szCs w:val="32"/>
          <w:lang w:eastAsia="zh-CN"/>
          <w14:textFill>
            <w14:solidFill>
              <w14:schemeClr w14:val="tx1"/>
            </w14:solidFill>
          </w14:textFill>
        </w:rPr>
        <w:t>应对阶段调整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方正仿宋_GB2312" w:hAnsi="方正仿宋_GB2312" w:eastAsia="方正仿宋_GB2312" w:cs="方正仿宋_GB2312"/>
          <w:b w:val="0"/>
          <w:bCs w:val="0"/>
          <w:color w:val="000000" w:themeColor="text1"/>
          <w:sz w:val="32"/>
          <w:szCs w:val="32"/>
          <w:lang w:eastAsia="zh-CN"/>
          <w14:textFill>
            <w14:solidFill>
              <w14:schemeClr w14:val="tx1"/>
            </w14:solidFill>
          </w14:textFill>
        </w:rPr>
      </w:pPr>
      <w:r>
        <w:rPr>
          <w:rFonts w:hint="eastAsia" w:ascii="方正仿宋_GB2312" w:hAnsi="方正仿宋_GB2312" w:eastAsia="方正仿宋_GB2312" w:cs="方正仿宋_GB2312"/>
          <w:b w:val="0"/>
          <w:bCs w:val="0"/>
          <w:color w:val="000000" w:themeColor="text1"/>
          <w:sz w:val="32"/>
          <w:szCs w:val="32"/>
          <w:lang w:eastAsia="zh-CN"/>
          <w14:textFill>
            <w14:solidFill>
              <w14:schemeClr w14:val="tx1"/>
            </w14:solidFill>
          </w14:textFill>
        </w:rPr>
        <w:t>在疫情应对期间，根据疫情发生、发展的趋势和控制效果，及时调整应对阶段。</w:t>
      </w:r>
    </w:p>
    <w:p>
      <w:pPr>
        <w:keepNext w:val="0"/>
        <w:keepLines w:val="0"/>
        <w:pageBreakBefore w:val="0"/>
        <w:widowControl/>
        <w:kinsoku w:val="0"/>
        <w:wordWrap/>
        <w:overflowPunct/>
        <w:topLinePunct w:val="0"/>
        <w:autoSpaceDE w:val="0"/>
        <w:autoSpaceDN w:val="0"/>
        <w:bidi w:val="0"/>
        <w:adjustRightInd w:val="0"/>
        <w:snapToGrid w:val="0"/>
        <w:spacing w:line="576" w:lineRule="exact"/>
        <w:ind w:left="553"/>
        <w:jc w:val="left"/>
        <w:textAlignment w:val="baseline"/>
        <w:rPr>
          <w:rFonts w:hint="eastAsia" w:ascii="楷体_GB2312" w:hAnsi="楷体_GB2312" w:eastAsia="楷体_GB2312" w:cs="楷体_GB2312"/>
          <w:b w:val="0"/>
          <w:bCs w:val="0"/>
          <w:snapToGrid w:val="0"/>
          <w:color w:val="000000" w:themeColor="text1"/>
          <w:spacing w:val="14"/>
          <w:kern w:val="0"/>
          <w:sz w:val="32"/>
          <w:szCs w:val="32"/>
          <w:lang w:eastAsia="zh-CN"/>
          <w14:textFill>
            <w14:solidFill>
              <w14:schemeClr w14:val="tx1"/>
            </w14:solidFill>
          </w14:textFill>
        </w:rPr>
      </w:pPr>
      <w:r>
        <w:rPr>
          <w:rFonts w:hint="eastAsia" w:ascii="楷体_GB2312" w:hAnsi="楷体_GB2312" w:eastAsia="楷体_GB2312" w:cs="楷体_GB2312"/>
          <w:b w:val="0"/>
          <w:bCs w:val="0"/>
          <w:snapToGrid w:val="0"/>
          <w:color w:val="000000" w:themeColor="text1"/>
          <w:spacing w:val="14"/>
          <w:kern w:val="0"/>
          <w:sz w:val="32"/>
          <w:szCs w:val="32"/>
          <w:lang w:eastAsia="zh-CN"/>
          <w14:textFill>
            <w14:solidFill>
              <w14:schemeClr w14:val="tx1"/>
            </w14:solidFill>
          </w14:textFill>
        </w:rPr>
        <w:t>6.5</w:t>
      </w:r>
      <w:r>
        <w:rPr>
          <w:rFonts w:hint="eastAsia" w:ascii="楷体_GB2312" w:hAnsi="楷体_GB2312" w:eastAsia="楷体_GB2312" w:cs="楷体_GB2312"/>
          <w:b w:val="0"/>
          <w:bCs w:val="0"/>
          <w:snapToGrid w:val="0"/>
          <w:color w:val="000000" w:themeColor="text1"/>
          <w:spacing w:val="14"/>
          <w:kern w:val="0"/>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snapToGrid w:val="0"/>
          <w:color w:val="000000" w:themeColor="text1"/>
          <w:spacing w:val="14"/>
          <w:kern w:val="0"/>
          <w:sz w:val="32"/>
          <w:szCs w:val="32"/>
          <w:lang w:eastAsia="zh-CN"/>
          <w14:textFill>
            <w14:solidFill>
              <w14:schemeClr w14:val="tx1"/>
            </w14:solidFill>
          </w14:textFill>
        </w:rPr>
        <w:t>善后处理</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根据有关法律、法规和国家有关规定，认真做好对疫情应急处理作出贡献的集体和人员的表彰和奖励，对因参与应急处理工作致病、致残、死亡人员给予相应的补助和抚恤，对应急处理期间紧急调集、征用有关单位、企业的物资和劳务进行合理补偿。</w:t>
      </w:r>
    </w:p>
    <w:p>
      <w:pPr>
        <w:keepNext w:val="0"/>
        <w:keepLines w:val="0"/>
        <w:pageBreakBefore w:val="0"/>
        <w:widowControl/>
        <w:kinsoku w:val="0"/>
        <w:wordWrap/>
        <w:overflowPunct/>
        <w:topLinePunct w:val="0"/>
        <w:autoSpaceDE w:val="0"/>
        <w:autoSpaceDN w:val="0"/>
        <w:bidi w:val="0"/>
        <w:adjustRightInd w:val="0"/>
        <w:snapToGrid w:val="0"/>
        <w:spacing w:line="576" w:lineRule="exact"/>
        <w:ind w:firstLine="696" w:firstLineChars="200"/>
        <w:jc w:val="left"/>
        <w:textAlignment w:val="baseline"/>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pPr>
      <w:r>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t>7</w:t>
      </w:r>
      <w:r>
        <w:rPr>
          <w:rFonts w:hint="eastAsia" w:ascii="黑体" w:hAnsi="黑体" w:eastAsia="黑体" w:cs="黑体"/>
          <w:b w:val="0"/>
          <w:bCs w:val="0"/>
          <w:snapToGrid w:val="0"/>
          <w:color w:val="000000" w:themeColor="text1"/>
          <w:spacing w:val="14"/>
          <w:kern w:val="0"/>
          <w:sz w:val="32"/>
          <w:szCs w:val="32"/>
          <w:lang w:val="en-US" w:eastAsia="zh-CN"/>
          <w14:textFill>
            <w14:solidFill>
              <w14:schemeClr w14:val="tx1"/>
            </w14:solidFill>
          </w14:textFill>
        </w:rPr>
        <w:t xml:space="preserve">  </w:t>
      </w:r>
      <w:r>
        <w:rPr>
          <w:rFonts w:hint="eastAsia" w:ascii="黑体" w:hAnsi="黑体" w:eastAsia="黑体" w:cs="黑体"/>
          <w:b w:val="0"/>
          <w:bCs w:val="0"/>
          <w:snapToGrid w:val="0"/>
          <w:color w:val="000000" w:themeColor="text1"/>
          <w:spacing w:val="14"/>
          <w:kern w:val="0"/>
          <w:sz w:val="32"/>
          <w:szCs w:val="32"/>
          <w:lang w:eastAsia="zh-CN"/>
          <w14:textFill>
            <w14:solidFill>
              <w14:schemeClr w14:val="tx1"/>
            </w14:solidFill>
          </w14:textFill>
        </w:rPr>
        <w:t>保障措施</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楷体" w:hAnsi="楷体" w:eastAsia="楷体" w:cs="楷体"/>
          <w:b w:val="0"/>
          <w:bCs w:val="0"/>
          <w:color w:val="000000" w:themeColor="text1"/>
          <w:spacing w:val="16"/>
          <w:sz w:val="32"/>
          <w:szCs w:val="32"/>
          <w:lang w:eastAsia="zh-CN"/>
          <w14:textFill>
            <w14:solidFill>
              <w14:schemeClr w14:val="tx1"/>
            </w14:solidFill>
          </w14:textFill>
        </w:rPr>
      </w:pPr>
      <w:r>
        <w:rPr>
          <w:rFonts w:hint="eastAsia" w:ascii="楷体" w:hAnsi="楷体" w:eastAsia="楷体" w:cs="楷体"/>
          <w:b w:val="0"/>
          <w:bCs w:val="0"/>
          <w:color w:val="000000" w:themeColor="text1"/>
          <w:spacing w:val="16"/>
          <w:sz w:val="32"/>
          <w:szCs w:val="32"/>
          <w:lang w:eastAsia="zh-CN"/>
          <w14:textFill>
            <w14:solidFill>
              <w14:schemeClr w14:val="tx1"/>
            </w14:solidFill>
          </w14:textFill>
        </w:rPr>
        <w:t>7.1</w:t>
      </w:r>
      <w:r>
        <w:rPr>
          <w:rFonts w:hint="eastAsia" w:ascii="楷体" w:hAnsi="楷体" w:eastAsia="楷体" w:cs="楷体"/>
          <w:b w:val="0"/>
          <w:bCs w:val="0"/>
          <w:color w:val="000000" w:themeColor="text1"/>
          <w:spacing w:val="16"/>
          <w:sz w:val="32"/>
          <w:szCs w:val="32"/>
          <w:lang w:val="en-US" w:eastAsia="zh-CN"/>
          <w14:textFill>
            <w14:solidFill>
              <w14:schemeClr w14:val="tx1"/>
            </w14:solidFill>
          </w14:textFill>
        </w:rPr>
        <w:t xml:space="preserve">  </w:t>
      </w:r>
      <w:r>
        <w:rPr>
          <w:rFonts w:hint="eastAsia" w:ascii="楷体" w:hAnsi="楷体" w:eastAsia="楷体" w:cs="楷体"/>
          <w:b w:val="0"/>
          <w:bCs w:val="0"/>
          <w:color w:val="000000" w:themeColor="text1"/>
          <w:spacing w:val="16"/>
          <w:sz w:val="32"/>
          <w:szCs w:val="32"/>
          <w:lang w:eastAsia="zh-CN"/>
          <w14:textFill>
            <w14:solidFill>
              <w14:schemeClr w14:val="tx1"/>
            </w14:solidFill>
          </w14:textFill>
        </w:rPr>
        <w:t>技术保障</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7.1.</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1  </w:t>
      </w: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专家组</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卫健委成立专家组，成员由临床、中医、流行病、病原学检验、消毒、卫生应急管理、行政管理、健康宣教、教育等方面的专家组成。</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7.1.2</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医疗卫生应急队伍</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卫健委成立</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相应的呼吸道感染性疾病医疗卫生应急队伍，队伍由医疗、疾病预防控制、卫生监督、检验等专业技术人员组成。</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7.1.3</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医疗救治网络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医疗救治网络各组成部分之间建立有效的横向、纵向信息连接，实现信息共享。</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楷体_GB2312" w:hAnsi="楷体_GB2312" w:eastAsia="楷体_GB2312" w:cs="楷体_GB2312"/>
          <w:b w:val="0"/>
          <w:bCs w:val="0"/>
          <w:color w:val="000000" w:themeColor="text1"/>
          <w:sz w:val="32"/>
          <w:szCs w:val="32"/>
          <w:lang w:eastAsia="zh-CN"/>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eastAsia="zh-CN"/>
          <w14:textFill>
            <w14:solidFill>
              <w14:schemeClr w14:val="tx1"/>
            </w14:solidFill>
          </w14:textFill>
        </w:rPr>
        <w:t>7.2</w:t>
      </w: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 xml:space="preserve">  </w:t>
      </w:r>
      <w:r>
        <w:rPr>
          <w:rFonts w:hint="eastAsia" w:ascii="楷体_GB2312" w:hAnsi="楷体_GB2312" w:eastAsia="楷体_GB2312" w:cs="楷体_GB2312"/>
          <w:b w:val="0"/>
          <w:bCs w:val="0"/>
          <w:color w:val="000000" w:themeColor="text1"/>
          <w:sz w:val="32"/>
          <w:szCs w:val="32"/>
          <w:lang w:eastAsia="zh-CN"/>
          <w14:textFill>
            <w14:solidFill>
              <w14:schemeClr w14:val="tx1"/>
            </w14:solidFill>
          </w14:textFill>
        </w:rPr>
        <w:t>后勤保障</w:t>
      </w:r>
    </w:p>
    <w:p>
      <w:pPr>
        <w:keepNext w:val="0"/>
        <w:keepLines w:val="0"/>
        <w:pageBreakBefore w:val="0"/>
        <w:widowControl w:val="0"/>
        <w:kinsoku/>
        <w:wordWrap/>
        <w:overflowPunct/>
        <w:topLinePunct w:val="0"/>
        <w:autoSpaceDE/>
        <w:autoSpaceDN/>
        <w:bidi w:val="0"/>
        <w:adjustRightInd/>
        <w:snapToGrid/>
        <w:spacing w:line="576" w:lineRule="exact"/>
        <w:ind w:firstLine="704" w:firstLineChars="200"/>
        <w:textAlignment w:val="auto"/>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7.2.1</w:t>
      </w:r>
      <w:r>
        <w:rPr>
          <w:rFonts w:hint="eastAsia" w:ascii="仿宋_GB2312" w:hAnsi="仿宋_GB2312" w:eastAsia="仿宋_GB2312" w:cs="仿宋_GB2312"/>
          <w:b w:val="0"/>
          <w:bCs w:val="0"/>
          <w:color w:val="000000" w:themeColor="text1"/>
          <w:spacing w:val="16"/>
          <w:sz w:val="32"/>
          <w:szCs w:val="32"/>
          <w:lang w:val="en-US" w:eastAsia="zh-CN"/>
          <w14:textFill>
            <w14:solidFill>
              <w14:schemeClr w14:val="tx1"/>
            </w14:solidFill>
          </w14:textFill>
        </w:rPr>
        <w:t xml:space="preserve">  </w:t>
      </w:r>
      <w:r>
        <w:rPr>
          <w:rFonts w:hint="eastAsia" w:ascii="仿宋_GB2312" w:hAnsi="仿宋_GB2312" w:eastAsia="仿宋_GB2312" w:cs="仿宋_GB2312"/>
          <w:b w:val="0"/>
          <w:bCs w:val="0"/>
          <w:color w:val="000000" w:themeColor="text1"/>
          <w:spacing w:val="16"/>
          <w:sz w:val="32"/>
          <w:szCs w:val="32"/>
          <w:lang w:eastAsia="zh-CN"/>
          <w14:textFill>
            <w14:solidFill>
              <w14:schemeClr w14:val="tx1"/>
            </w14:solidFill>
          </w14:textFill>
        </w:rPr>
        <w:t>物资储备</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各级卫生</w:t>
      </w: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医疗机构</w:t>
      </w:r>
      <w:r>
        <w:rPr>
          <w:rFonts w:hint="eastAsia" w:ascii="仿宋_GB2312" w:hAnsi="仿宋_GB2312" w:eastAsia="仿宋_GB2312" w:cs="仿宋_GB2312"/>
          <w:b w:val="0"/>
          <w:bCs w:val="0"/>
          <w:color w:val="000000" w:themeColor="text1"/>
          <w:sz w:val="32"/>
          <w:szCs w:val="32"/>
          <w:lang w:eastAsia="zh-CN"/>
          <w14:textFill>
            <w14:solidFill>
              <w14:schemeClr w14:val="tx1"/>
            </w14:solidFill>
          </w14:textFill>
        </w:rPr>
        <w:t>建立处置呼吸道感染性疾病的医药器械应急物资储备。物资储备种类包括药品、疫苗、医疗器械、快速检验检测技术和试剂、传染源隔离、卫生防护用品等应急物资和设施。</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7.2.2  经费保障</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黑体" w:hAnsi="黑体" w:eastAsia="黑体" w:cs="黑体"/>
          <w:b w:val="0"/>
          <w:bCs w:val="0"/>
          <w:color w:val="000000" w:themeColor="text1"/>
          <w:sz w:val="32"/>
          <w:szCs w:val="32"/>
          <w:lang w:val="en-US" w:eastAsia="zh-CN"/>
          <w14:textFill>
            <w14:solidFill>
              <w14:schemeClr w14:val="tx1"/>
            </w14:solidFill>
          </w14:textFill>
        </w:rPr>
      </w:pPr>
      <w:r>
        <w:rPr>
          <w:rFonts w:hint="eastAsia" w:ascii="黑体" w:hAnsi="黑体" w:eastAsia="黑体" w:cs="黑体"/>
          <w:b w:val="0"/>
          <w:bCs w:val="0"/>
          <w:color w:val="000000" w:themeColor="text1"/>
          <w:sz w:val="32"/>
          <w:szCs w:val="32"/>
          <w:lang w:val="en-US" w:eastAsia="zh-CN"/>
          <w14:textFill>
            <w14:solidFill>
              <w14:schemeClr w14:val="tx1"/>
            </w14:solidFill>
          </w14:textFill>
        </w:rPr>
        <w:t>8  附则</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8.1  名词术语</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呼吸道感染性疾病：由细菌、病毒、衣原体、支原体、真菌等病原体感染导致的具有发热、呼吸道症状的疾病。</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ILI：流感样病例，发热（体温≥38℃），伴咳嗽或咽痛之一者。</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本预案有关数量的表述中，“以上”含本数，“以下”不含本数。</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8.2  预案的制定与解释部门</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pPr>
      <w:r>
        <w:rPr>
          <w:rFonts w:hint="eastAsia" w:ascii="仿宋_GB2312" w:hAnsi="仿宋_GB2312" w:eastAsia="仿宋_GB2312" w:cs="仿宋_GB2312"/>
          <w:b w:val="0"/>
          <w:bCs w:val="0"/>
          <w:color w:val="000000" w:themeColor="text1"/>
          <w:sz w:val="32"/>
          <w:szCs w:val="32"/>
          <w:lang w:val="en-US" w:eastAsia="zh-CN"/>
          <w14:textFill>
            <w14:solidFill>
              <w14:schemeClr w14:val="tx1"/>
            </w14:solidFill>
          </w14:textFill>
        </w:rPr>
        <w:t>本预案由县卫生健康委牵头制定。根据事件的形势变化和实施中发现的问题及时进行更新、修订和补充。</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default" w:ascii="楷体_GB2312" w:hAnsi="楷体_GB2312" w:eastAsia="楷体_GB2312" w:cs="楷体_GB2312"/>
          <w:b w:val="0"/>
          <w:bCs w:val="0"/>
          <w:color w:val="000000" w:themeColor="text1"/>
          <w:sz w:val="32"/>
          <w:szCs w:val="32"/>
          <w:lang w:val="en-US" w:eastAsia="zh-CN"/>
          <w14:textFill>
            <w14:solidFill>
              <w14:schemeClr w14:val="tx1"/>
            </w14:solidFill>
          </w14:textFill>
        </w:rPr>
      </w:pPr>
      <w:r>
        <w:rPr>
          <w:rFonts w:hint="eastAsia" w:ascii="楷体_GB2312" w:hAnsi="楷体_GB2312" w:eastAsia="楷体_GB2312" w:cs="楷体_GB2312"/>
          <w:b w:val="0"/>
          <w:bCs w:val="0"/>
          <w:color w:val="000000" w:themeColor="text1"/>
          <w:sz w:val="32"/>
          <w:szCs w:val="32"/>
          <w:lang w:val="en-US" w:eastAsia="zh-CN"/>
          <w14:textFill>
            <w14:solidFill>
              <w14:schemeClr w14:val="tx1"/>
            </w14:solidFill>
          </w14:textFill>
        </w:rPr>
        <w:t>8.3  预案实施时间</w:t>
      </w:r>
    </w:p>
    <w:p>
      <w:pPr>
        <w:keepNext w:val="0"/>
        <w:keepLines w:val="0"/>
        <w:pageBreakBefore w:val="0"/>
        <w:widowControl w:val="0"/>
        <w:kinsoku/>
        <w:wordWrap/>
        <w:overflowPunct/>
        <w:topLinePunct w:val="0"/>
        <w:autoSpaceDE/>
        <w:autoSpaceDN/>
        <w:bidi w:val="0"/>
        <w:adjustRightInd/>
        <w:snapToGrid/>
        <w:spacing w:line="576" w:lineRule="exact"/>
        <w:ind w:firstLine="640" w:firstLineChars="200"/>
        <w:textAlignment w:val="auto"/>
        <w:rPr>
          <w:rFonts w:hint="eastAsia" w:ascii="仿宋_GB2312" w:hAnsi="仿宋_GB2312" w:eastAsia="仿宋_GB2312" w:cs="仿宋_GB2312"/>
          <w:color w:val="000000" w:themeColor="text1"/>
          <w:sz w:val="32"/>
          <w:szCs w:val="32"/>
          <w:lang w:eastAsia="zh-CN"/>
          <w14:textFill>
            <w14:solidFill>
              <w14:schemeClr w14:val="tx1"/>
            </w14:solidFill>
          </w14:textFill>
        </w:rPr>
      </w:pPr>
      <w:bookmarkStart w:id="0" w:name="_GoBack"/>
      <w:bookmarkEnd w:id="0"/>
      <w:r>
        <w:rPr>
          <w:rFonts w:hint="eastAsia" w:ascii="仿宋_GB2312" w:hAnsi="仿宋_GB2312" w:eastAsia="仿宋_GB2312" w:cs="仿宋_GB2312"/>
          <w:color w:val="000000" w:themeColor="text1"/>
          <w:sz w:val="32"/>
          <w:szCs w:val="32"/>
          <w:lang w:eastAsia="zh-CN"/>
          <w14:textFill>
            <w14:solidFill>
              <w14:schemeClr w14:val="tx1"/>
            </w14:solidFill>
          </w14:textFill>
        </w:rPr>
        <w:t>本预案自印发之日起实施。</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76F73F24-1F0F-45E3-95BE-474C5CEFB86E}"/>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embedRegular r:id="rId2" w:fontKey="{22B41D71-C654-4741-8B35-529C60AED437}"/>
  </w:font>
  <w:font w:name="仿宋_GB2312">
    <w:panose1 w:val="02010609030101010101"/>
    <w:charset w:val="86"/>
    <w:family w:val="auto"/>
    <w:pitch w:val="default"/>
    <w:sig w:usb0="00000001" w:usb1="080E0000" w:usb2="00000000" w:usb3="00000000" w:csb0="00040000" w:csb1="00000000"/>
    <w:embedRegular r:id="rId3" w:fontKey="{BEE9D784-3A37-4C50-AAE4-EED95D4B71EC}"/>
  </w:font>
  <w:font w:name="楷体">
    <w:panose1 w:val="02010609060101010101"/>
    <w:charset w:val="86"/>
    <w:family w:val="auto"/>
    <w:pitch w:val="default"/>
    <w:sig w:usb0="800002BF" w:usb1="38CF7CFA" w:usb2="00000016" w:usb3="00000000" w:csb0="00040001" w:csb1="00000000"/>
    <w:embedRegular r:id="rId4" w:fontKey="{1105402D-7BE4-4473-AEF8-2065F150CD11}"/>
  </w:font>
  <w:font w:name="方正仿宋_GB2312">
    <w:panose1 w:val="02000000000000000000"/>
    <w:charset w:val="86"/>
    <w:family w:val="auto"/>
    <w:pitch w:val="default"/>
    <w:sig w:usb0="A00002BF" w:usb1="184F6CFA" w:usb2="00000012" w:usb3="00000000" w:csb0="00040001" w:csb1="00000000"/>
    <w:embedRegular r:id="rId5" w:fontKey="{E5C11DCB-C8EC-4DE3-9B63-62F47BA28E74}"/>
  </w:font>
  <w:font w:name="楷体_GB2312">
    <w:panose1 w:val="02010609030101010101"/>
    <w:charset w:val="86"/>
    <w:family w:val="auto"/>
    <w:pitch w:val="default"/>
    <w:sig w:usb0="00000001" w:usb1="080E0000" w:usb2="00000000" w:usb3="00000000" w:csb0="00040000" w:csb1="00000000"/>
    <w:embedRegular r:id="rId6" w:fontKey="{92A615D5-D523-4647-BD02-3D250AC728A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6" w:lineRule="auto"/>
      <w:ind w:left="7420"/>
      <w:rPr>
        <w:rFonts w:ascii="宋体" w:hAnsi="宋体" w:eastAsia="宋体" w:cs="宋体"/>
        <w:sz w:val="28"/>
        <w:szCs w:val="28"/>
      </w:rPr>
    </w:pPr>
    <w:r>
      <w:rPr>
        <w:rFonts w:ascii="宋体" w:hAnsi="宋体" w:eastAsia="宋体" w:cs="宋体"/>
        <w:spacing w:val="-3"/>
        <w:sz w:val="28"/>
        <w:szCs w:val="28"/>
      </w:rPr>
      <w:t>—3—</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EyNDQ3Yzk3MjU1ZDc0MmZjNTBmZWMyMzdiNGU2YzUifQ=="/>
  </w:docVars>
  <w:rsids>
    <w:rsidRoot w:val="264A1085"/>
    <w:rsid w:val="00553EFD"/>
    <w:rsid w:val="011461F2"/>
    <w:rsid w:val="04EA7CC0"/>
    <w:rsid w:val="05AF6E45"/>
    <w:rsid w:val="067641DC"/>
    <w:rsid w:val="06FB6C2A"/>
    <w:rsid w:val="07AE4A2D"/>
    <w:rsid w:val="081303C8"/>
    <w:rsid w:val="0DC65EDD"/>
    <w:rsid w:val="0F044BF8"/>
    <w:rsid w:val="0FFE5391"/>
    <w:rsid w:val="11F64A0A"/>
    <w:rsid w:val="125E4936"/>
    <w:rsid w:val="12B207DE"/>
    <w:rsid w:val="179A0022"/>
    <w:rsid w:val="19EE2A43"/>
    <w:rsid w:val="1BBC014C"/>
    <w:rsid w:val="1D9927E2"/>
    <w:rsid w:val="1E4C1AE7"/>
    <w:rsid w:val="1FB2006F"/>
    <w:rsid w:val="20196340"/>
    <w:rsid w:val="221C0C15"/>
    <w:rsid w:val="22FE5B10"/>
    <w:rsid w:val="24284DA4"/>
    <w:rsid w:val="264A1085"/>
    <w:rsid w:val="278C564A"/>
    <w:rsid w:val="29B9073D"/>
    <w:rsid w:val="29E76B67"/>
    <w:rsid w:val="2BAF1907"/>
    <w:rsid w:val="2DEA2AA6"/>
    <w:rsid w:val="2E93648F"/>
    <w:rsid w:val="2ECD0A22"/>
    <w:rsid w:val="309E50E6"/>
    <w:rsid w:val="32543208"/>
    <w:rsid w:val="395A1104"/>
    <w:rsid w:val="3D9B7F3D"/>
    <w:rsid w:val="3EBB7D80"/>
    <w:rsid w:val="42A67168"/>
    <w:rsid w:val="42C57F36"/>
    <w:rsid w:val="433A476F"/>
    <w:rsid w:val="487B4BF3"/>
    <w:rsid w:val="4C166A3F"/>
    <w:rsid w:val="4CAA1F4A"/>
    <w:rsid w:val="527844E7"/>
    <w:rsid w:val="543A0058"/>
    <w:rsid w:val="548877AA"/>
    <w:rsid w:val="551B4751"/>
    <w:rsid w:val="561D553B"/>
    <w:rsid w:val="598C48FA"/>
    <w:rsid w:val="5B0D4C47"/>
    <w:rsid w:val="5C904CB9"/>
    <w:rsid w:val="5FA665A1"/>
    <w:rsid w:val="60C206D2"/>
    <w:rsid w:val="61532913"/>
    <w:rsid w:val="68525E55"/>
    <w:rsid w:val="69366BE8"/>
    <w:rsid w:val="6A3F7D1E"/>
    <w:rsid w:val="6ADC731B"/>
    <w:rsid w:val="6B947BF6"/>
    <w:rsid w:val="6D2F407A"/>
    <w:rsid w:val="6ED21161"/>
    <w:rsid w:val="6FE23F88"/>
    <w:rsid w:val="74986EED"/>
    <w:rsid w:val="750B299C"/>
    <w:rsid w:val="75CB4B5C"/>
    <w:rsid w:val="76852F5D"/>
    <w:rsid w:val="77C27200"/>
    <w:rsid w:val="77E40A1F"/>
    <w:rsid w:val="7C9B5288"/>
    <w:rsid w:val="7E105802"/>
    <w:rsid w:val="7EC05BA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72</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2023-11-29T02:14:00Z</dcterms:created>
  <dc:creator>涓涓细流</dc:creator>
  <cp:lastModifiedBy>Start</cp:lastModifiedBy>
  <dcterms:modified xsi:type="dcterms:W3CDTF">2023-12-18T07:07:23Z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BDD0982DB1E6428DA526A8966F5FE344_13</vt:lpwstr>
  </property>
</Properties>
</file>