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zh-CN"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西华县中心敬老院2022年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9" w:lineRule="exact"/>
        <w:jc w:val="center"/>
        <w:textAlignment w:val="auto"/>
        <w:rPr>
          <w:rFonts w:hint="eastAsia" w:ascii="仿宋_GB2312" w:hAnsi="仿宋" w:eastAsia="仿宋_GB2312" w:cs="仿宋"/>
          <w:sz w:val="44"/>
          <w:szCs w:val="44"/>
          <w:lang w:val="zh-CN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福彩公益金使用情况的公告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2022年度“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重灾及重点帮扶地区特困供养机构补助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项目”由2022年省级返还福彩公益金支持。依据《民政部彩票公益金使用管理信息公开办法》（民办发〔201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9〕34号）《河南省民政厅福利彩票公益金使用管理信息公开办法》等规定，现将2022年项目情况公示如下：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1、项目单位：西华县中心敬老院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主要用于中心敬老院外墙真石漆改造。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4、资金额度：40万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徐保旗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13838677049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7、项目完成情况：项目已完成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通过项目实施，进一步改善敬老院特困老人居住环境，提升敬老院服务水平和入住老年人满意度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0" w:right="0"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ind w:left="1597" w:leftChars="608" w:hanging="320" w:hangingChars="100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/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3F7270B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2023-08-07T00:44:46Z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54DA1CF523C64BA5AF9A8CF335305220_12</vt:lpwstr>
  </property>
</Properties>
</file>