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/>
        <w:jc w:val="left"/>
        <w:textAlignment w:val="auto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西华县民政局儿童福利股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50"/>
          <w:szCs w:val="50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年福彩公益金使用情况的公告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度“孤儿助学项目”由2022年省级福彩公益金支持。依据《民政部彩票公益金使用管理信息公开办法》（民办发〔2019〕34号）《河南省民政厅福利彩票公益金使用管理信息公开办法》等规定，现将2022年项目情况公告如下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1、项目单位：西华县民政局儿童福利科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主要用于资助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年满18周岁后仍在普通全日制本科学校、普通全日制专科学校、高等职业学校等高等院校及中等职业学校就读的中专、大专、本科学生和硕士研究生的孤儿，践行福彩救孤济困宗旨，维护孤儿受教育权。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4、资金额度：6万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贾自强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0394-2533179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7、项目完成情况：已完成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通过项目实施，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资助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年满18周岁后仍在普通全日制本科学校、普通全日制专科学校、高等职业学校等高等院校及中等职业学校就读的中专、大专、本科学生和硕士研究生的孤儿，践行福彩救孤济困宗旨，维护孤儿受教育权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058221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2023-08-07T00:43:39Z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1604CC4468AC4E4ABF783B6FD1FE7007_12</vt:lpwstr>
  </property>
</Properties>
</file>