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0" w:firstLineChars="0"/>
        <w:jc w:val="both"/>
        <w:textAlignment w:val="auto"/>
        <w:outlineLvl w:val="9"/>
        <w:rPr>
          <w:rFonts w:hint="eastAsia" w:ascii="黑体" w:hAnsi="黑体" w:eastAsia="黑体" w:cs="黑体"/>
          <w:color w:val="000000"/>
          <w:sz w:val="30"/>
          <w:szCs w:val="30"/>
          <w:lang w:val="en-US" w:eastAsia="zh-CN"/>
        </w:rPr>
      </w:pP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0" w:firstLineChars="0"/>
        <w:jc w:val="both"/>
        <w:textAlignment w:val="auto"/>
        <w:outlineLvl w:val="9"/>
        <w:rPr>
          <w:rFonts w:hint="default" w:ascii="仿宋" w:hAnsi="仿宋" w:eastAsia="仿宋" w:cs="仿宋"/>
          <w:color w:val="000000"/>
          <w:sz w:val="30"/>
          <w:szCs w:val="30"/>
          <w:lang w:val="en-US" w:eastAsia="zh-CN"/>
        </w:rPr>
      </w:pPr>
      <w:r>
        <w:rPr>
          <w:rFonts w:hint="eastAsia" w:ascii="黑体" w:hAnsi="黑体" w:eastAsia="黑体" w:cs="黑体"/>
          <w:color w:val="000000"/>
          <w:sz w:val="30"/>
          <w:szCs w:val="30"/>
          <w:lang w:val="en-US" w:eastAsia="zh-CN"/>
        </w:rPr>
        <w:t>附件2</w:t>
      </w:r>
    </w:p>
    <w:tbl>
      <w:tblPr>
        <w:tblStyle w:val="4"/>
        <w:tblpPr w:leftFromText="180" w:rightFromText="180" w:vertAnchor="text" w:horzAnchor="page" w:tblpX="932" w:tblpY="608"/>
        <w:tblOverlap w:val="never"/>
        <w:tblW w:w="1511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40"/>
        <w:gridCol w:w="3759"/>
        <w:gridCol w:w="1155"/>
        <w:gridCol w:w="4470"/>
        <w:gridCol w:w="960"/>
        <w:gridCol w:w="885"/>
        <w:gridCol w:w="915"/>
        <w:gridCol w:w="855"/>
        <w:gridCol w:w="900"/>
        <w:gridCol w:w="561"/>
        <w:gridCol w:w="1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 w:type="dxa"/>
          <w:trHeight w:val="646" w:hRule="atLeast"/>
        </w:trPr>
        <w:tc>
          <w:tcPr>
            <w:tcW w:w="15100" w:type="dxa"/>
            <w:gridSpan w:val="10"/>
            <w:tcBorders>
              <w:top w:val="nil"/>
              <w:left w:val="nil"/>
              <w:bottom w:val="nil"/>
              <w:right w:val="nil"/>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center"/>
              <w:outlineLvl w:val="9"/>
              <w:rPr>
                <w:color w:val="000000"/>
              </w:rPr>
            </w:pPr>
            <w:bookmarkStart w:id="0" w:name="_GoBack" w:colFirst="0" w:colLast="9"/>
            <w:r>
              <w:rPr>
                <w:rFonts w:hint="eastAsia" w:ascii="方正小标宋简体" w:hAnsi="方正小标宋简体" w:eastAsia="方正小标宋简体" w:cs="方正小标宋简体"/>
                <w:color w:val="000000"/>
                <w:sz w:val="36"/>
                <w:szCs w:val="36"/>
                <w:lang w:val="en-US" w:eastAsia="zh-CN"/>
              </w:rPr>
              <w:t>西华县农业农村局权力事项调整表</w:t>
            </w:r>
          </w:p>
        </w:tc>
      </w:tr>
      <w:bookmarkEnd w:id="0"/>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 w:type="dxa"/>
          <w:trHeight w:val="529" w:hRule="atLeast"/>
        </w:trPr>
        <w:tc>
          <w:tcPr>
            <w:tcW w:w="15100" w:type="dxa"/>
            <w:gridSpan w:val="10"/>
            <w:tcBorders>
              <w:top w:val="nil"/>
              <w:left w:val="nil"/>
              <w:bottom w:val="single" w:color="auto" w:sz="4" w:space="0"/>
              <w:right w:val="nil"/>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right="0" w:rightChars="0"/>
              <w:jc w:val="both"/>
              <w:outlineLvl w:val="9"/>
              <w:rPr>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 w:type="dxa"/>
          <w:trHeight w:val="945" w:hRule="atLeast"/>
        </w:trPr>
        <w:tc>
          <w:tcPr>
            <w:tcW w:w="640" w:type="dxa"/>
            <w:tcBorders>
              <w:top w:val="nil"/>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r>
              <w:rPr>
                <w:rFonts w:hint="eastAsia" w:ascii="宋体" w:hAnsi="宋体" w:eastAsia="宋体" w:cs="宋体"/>
                <w:color w:val="000000"/>
                <w:kern w:val="0"/>
                <w:sz w:val="18"/>
                <w:szCs w:val="18"/>
                <w:lang w:val="en-US" w:eastAsia="zh-CN" w:bidi="ar"/>
              </w:rPr>
              <w:t>序号</w:t>
            </w:r>
          </w:p>
        </w:tc>
        <w:tc>
          <w:tcPr>
            <w:tcW w:w="9384" w:type="dxa"/>
            <w:gridSpan w:val="3"/>
            <w:tcBorders>
              <w:top w:val="single" w:color="auto" w:sz="4" w:space="0"/>
              <w:left w:val="nil"/>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r>
              <w:rPr>
                <w:rFonts w:hint="eastAsia" w:ascii="宋体" w:hAnsi="宋体" w:eastAsia="宋体" w:cs="宋体"/>
                <w:color w:val="000000"/>
                <w:kern w:val="0"/>
                <w:sz w:val="18"/>
                <w:szCs w:val="18"/>
                <w:lang w:val="en-US" w:eastAsia="zh-CN" w:bidi="ar"/>
              </w:rPr>
              <w:t>增加</w:t>
            </w:r>
          </w:p>
        </w:tc>
        <w:tc>
          <w:tcPr>
            <w:tcW w:w="2760" w:type="dxa"/>
            <w:gridSpan w:val="3"/>
            <w:tcBorders>
              <w:top w:val="single" w:color="auto" w:sz="4" w:space="0"/>
              <w:left w:val="nil"/>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减少</w:t>
            </w:r>
          </w:p>
        </w:tc>
        <w:tc>
          <w:tcPr>
            <w:tcW w:w="1755" w:type="dxa"/>
            <w:gridSpan w:val="2"/>
            <w:tcBorders>
              <w:top w:val="single" w:color="auto" w:sz="4" w:space="0"/>
              <w:left w:val="nil"/>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r>
              <w:rPr>
                <w:rFonts w:hint="eastAsia" w:ascii="宋体" w:hAnsi="宋体" w:eastAsia="宋体" w:cs="宋体"/>
                <w:color w:val="000000"/>
                <w:kern w:val="0"/>
                <w:sz w:val="18"/>
                <w:szCs w:val="18"/>
                <w:lang w:val="en-US" w:eastAsia="zh-CN" w:bidi="ar"/>
              </w:rPr>
              <w:t>调整类型及</w:t>
            </w:r>
            <w:r>
              <w:rPr>
                <w:rFonts w:hint="eastAsia" w:ascii="宋体" w:hAnsi="宋体" w:cs="宋体"/>
                <w:color w:val="000000"/>
                <w:kern w:val="0"/>
                <w:sz w:val="18"/>
                <w:szCs w:val="18"/>
                <w:lang w:val="en-US" w:eastAsia="zh-CN" w:bidi="ar"/>
              </w:rPr>
              <w:t>依据</w:t>
            </w:r>
          </w:p>
        </w:tc>
        <w:tc>
          <w:tcPr>
            <w:tcW w:w="561" w:type="dxa"/>
            <w:tcBorders>
              <w:top w:val="nil"/>
              <w:left w:val="nil"/>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r>
              <w:rPr>
                <w:rFonts w:hint="eastAsia" w:ascii="宋体" w:hAnsi="宋体" w:cs="宋体"/>
                <w:color w:val="000000"/>
                <w:kern w:val="0"/>
                <w:sz w:val="18"/>
                <w:szCs w:val="18"/>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7" w:hRule="atLeast"/>
        </w:trPr>
        <w:tc>
          <w:tcPr>
            <w:tcW w:w="640" w:type="dxa"/>
            <w:tcBorders>
              <w:top w:val="nil"/>
              <w:left w:val="single" w:color="auto" w:sz="4" w:space="0"/>
              <w:bottom w:val="single" w:color="auto" w:sz="4" w:space="0"/>
              <w:right w:val="single" w:color="auto" w:sz="4" w:space="0"/>
            </w:tcBorders>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p>
        </w:tc>
        <w:tc>
          <w:tcPr>
            <w:tcW w:w="3759" w:type="dxa"/>
            <w:tcBorders>
              <w:top w:val="nil"/>
              <w:left w:val="nil"/>
              <w:bottom w:val="nil"/>
              <w:right w:val="single" w:color="auto" w:sz="4" w:space="0"/>
            </w:tcBorders>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r>
              <w:rPr>
                <w:rFonts w:hint="eastAsia" w:ascii="宋体" w:hAnsi="宋体" w:eastAsia="宋体" w:cs="宋体"/>
                <w:color w:val="000000"/>
                <w:kern w:val="0"/>
                <w:sz w:val="18"/>
                <w:szCs w:val="18"/>
                <w:lang w:val="en-US" w:eastAsia="zh-CN" w:bidi="ar"/>
              </w:rPr>
              <w:t>权力名称（子项）</w:t>
            </w:r>
          </w:p>
        </w:tc>
        <w:tc>
          <w:tcPr>
            <w:tcW w:w="1155" w:type="dxa"/>
            <w:tcBorders>
              <w:top w:val="nil"/>
              <w:left w:val="nil"/>
              <w:bottom w:val="single" w:color="auto" w:sz="4" w:space="0"/>
              <w:right w:val="single" w:color="auto" w:sz="4" w:space="0"/>
            </w:tcBorders>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r>
              <w:rPr>
                <w:rFonts w:hint="eastAsia" w:ascii="宋体" w:hAnsi="宋体" w:eastAsia="宋体" w:cs="宋体"/>
                <w:color w:val="000000"/>
                <w:kern w:val="0"/>
                <w:sz w:val="18"/>
                <w:szCs w:val="18"/>
                <w:lang w:val="en-US" w:eastAsia="zh-CN" w:bidi="ar"/>
              </w:rPr>
              <w:t>权力类型</w:t>
            </w:r>
          </w:p>
        </w:tc>
        <w:tc>
          <w:tcPr>
            <w:tcW w:w="4470" w:type="dxa"/>
            <w:tcBorders>
              <w:top w:val="nil"/>
              <w:left w:val="nil"/>
              <w:bottom w:val="single" w:color="auto" w:sz="4" w:space="0"/>
              <w:right w:val="single" w:color="auto" w:sz="4" w:space="0"/>
            </w:tcBorders>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r>
              <w:rPr>
                <w:rFonts w:hint="eastAsia" w:ascii="宋体" w:hAnsi="宋体" w:eastAsia="宋体" w:cs="宋体"/>
                <w:color w:val="000000"/>
                <w:kern w:val="0"/>
                <w:sz w:val="18"/>
                <w:szCs w:val="18"/>
                <w:lang w:val="en-US" w:eastAsia="zh-CN" w:bidi="ar"/>
              </w:rPr>
              <w:t>实施依据</w:t>
            </w:r>
          </w:p>
        </w:tc>
        <w:tc>
          <w:tcPr>
            <w:tcW w:w="960" w:type="dxa"/>
            <w:tcBorders>
              <w:top w:val="nil"/>
              <w:left w:val="nil"/>
              <w:bottom w:val="nil"/>
              <w:right w:val="single" w:color="auto" w:sz="4" w:space="0"/>
            </w:tcBorders>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r>
              <w:rPr>
                <w:rFonts w:hint="eastAsia" w:ascii="宋体" w:hAnsi="宋体" w:eastAsia="宋体" w:cs="宋体"/>
                <w:color w:val="000000"/>
                <w:kern w:val="0"/>
                <w:sz w:val="18"/>
                <w:szCs w:val="18"/>
                <w:lang w:val="en-US" w:eastAsia="zh-CN" w:bidi="ar"/>
              </w:rPr>
              <w:t>权力名称（子项）</w:t>
            </w:r>
          </w:p>
        </w:tc>
        <w:tc>
          <w:tcPr>
            <w:tcW w:w="885" w:type="dxa"/>
            <w:tcBorders>
              <w:top w:val="nil"/>
              <w:left w:val="nil"/>
              <w:bottom w:val="single" w:color="auto" w:sz="4" w:space="0"/>
              <w:right w:val="single" w:color="auto" w:sz="4" w:space="0"/>
            </w:tcBorders>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r>
              <w:rPr>
                <w:rFonts w:hint="eastAsia" w:ascii="宋体" w:hAnsi="宋体" w:eastAsia="宋体" w:cs="宋体"/>
                <w:color w:val="000000"/>
                <w:kern w:val="0"/>
                <w:sz w:val="18"/>
                <w:szCs w:val="18"/>
                <w:lang w:val="en-US" w:eastAsia="zh-CN" w:bidi="ar"/>
              </w:rPr>
              <w:t>权力类型</w:t>
            </w:r>
          </w:p>
        </w:tc>
        <w:tc>
          <w:tcPr>
            <w:tcW w:w="915" w:type="dxa"/>
            <w:tcBorders>
              <w:top w:val="nil"/>
              <w:left w:val="nil"/>
              <w:bottom w:val="single" w:color="auto" w:sz="4" w:space="0"/>
              <w:right w:val="single" w:color="auto" w:sz="4" w:space="0"/>
            </w:tcBorders>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sz w:val="18"/>
                <w:szCs w:val="18"/>
                <w:lang w:val="en-US" w:eastAsia="zh-CN"/>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sz w:val="18"/>
                <w:szCs w:val="18"/>
                <w:lang w:val="en-US" w:eastAsia="zh-CN"/>
              </w:rPr>
            </w:pPr>
            <w:r>
              <w:rPr>
                <w:rFonts w:hint="eastAsia"/>
                <w:sz w:val="18"/>
                <w:szCs w:val="18"/>
                <w:lang w:val="en-US" w:eastAsia="zh-CN"/>
              </w:rPr>
              <w:t>实施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sz w:val="18"/>
                <w:szCs w:val="18"/>
                <w:lang w:val="en-US" w:eastAsia="zh-CN"/>
              </w:rPr>
            </w:pPr>
            <w:r>
              <w:rPr>
                <w:rFonts w:hint="eastAsia"/>
                <w:sz w:val="18"/>
                <w:szCs w:val="18"/>
                <w:lang w:val="en-US" w:eastAsia="zh-CN"/>
              </w:rPr>
              <w:t>依据</w:t>
            </w:r>
          </w:p>
          <w:p>
            <w:pPr>
              <w:pStyle w:val="7"/>
              <w:keepNext w:val="0"/>
              <w:keepLines w:val="0"/>
              <w:pageBreakBefore w:val="0"/>
              <w:kinsoku/>
              <w:wordWrap/>
              <w:overflowPunct/>
              <w:topLinePunct w:val="0"/>
              <w:autoSpaceDE/>
              <w:autoSpaceDN/>
              <w:bidi w:val="0"/>
              <w:adjustRightInd/>
              <w:snapToGrid/>
              <w:spacing w:line="240" w:lineRule="auto"/>
              <w:jc w:val="center"/>
              <w:textAlignment w:val="auto"/>
              <w:rPr>
                <w:sz w:val="18"/>
                <w:szCs w:val="18"/>
              </w:rPr>
            </w:pPr>
          </w:p>
        </w:tc>
        <w:tc>
          <w:tcPr>
            <w:tcW w:w="855" w:type="dxa"/>
            <w:tcBorders>
              <w:top w:val="nil"/>
              <w:left w:val="nil"/>
              <w:bottom w:val="nil"/>
              <w:right w:val="single" w:color="auto" w:sz="4" w:space="0"/>
            </w:tcBorders>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r>
              <w:rPr>
                <w:rFonts w:hint="eastAsia" w:ascii="宋体" w:hAnsi="宋体" w:eastAsia="宋体" w:cs="宋体"/>
                <w:color w:val="000000"/>
                <w:kern w:val="0"/>
                <w:sz w:val="18"/>
                <w:szCs w:val="18"/>
                <w:lang w:val="en-US" w:eastAsia="zh-CN" w:bidi="ar"/>
              </w:rPr>
              <w:t>调整类型</w:t>
            </w:r>
          </w:p>
        </w:tc>
        <w:tc>
          <w:tcPr>
            <w:tcW w:w="900" w:type="dxa"/>
            <w:tcBorders>
              <w:top w:val="nil"/>
              <w:left w:val="nil"/>
              <w:bottom w:val="nil"/>
              <w:right w:val="single" w:color="auto" w:sz="4" w:space="0"/>
            </w:tcBorders>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r>
              <w:rPr>
                <w:rFonts w:hint="eastAsia" w:ascii="宋体" w:hAnsi="宋体" w:eastAsia="宋体" w:cs="宋体"/>
                <w:color w:val="000000"/>
                <w:kern w:val="0"/>
                <w:sz w:val="18"/>
                <w:szCs w:val="18"/>
                <w:lang w:val="en-US" w:eastAsia="zh-CN" w:bidi="ar"/>
              </w:rPr>
              <w:t>调整理由</w:t>
            </w:r>
          </w:p>
        </w:tc>
        <w:tc>
          <w:tcPr>
            <w:tcW w:w="572" w:type="dxa"/>
            <w:gridSpan w:val="2"/>
            <w:tcBorders>
              <w:top w:val="nil"/>
              <w:left w:val="nil"/>
              <w:bottom w:val="single" w:color="auto" w:sz="4" w:space="0"/>
              <w:right w:val="single" w:color="auto" w:sz="4" w:space="0"/>
            </w:tcBorders>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both"/>
              <w:textAlignment w:val="auto"/>
              <w:outlineLvl w:val="9"/>
              <w:rPr>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5" w:hRule="atLeast"/>
        </w:trPr>
        <w:tc>
          <w:tcPr>
            <w:tcW w:w="640" w:type="dxa"/>
            <w:tcBorders>
              <w:top w:val="nil"/>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1</w:t>
            </w:r>
          </w:p>
        </w:tc>
        <w:tc>
          <w:tcPr>
            <w:tcW w:w="3759" w:type="dxa"/>
            <w:tcBorders>
              <w:top w:val="single" w:color="auto" w:sz="4" w:space="0"/>
              <w:left w:val="nil"/>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对生产、经营转基因植物种子、种畜禽、水产苗种的单位和个人，未按照规定制作、保存生产、经营档案的行政处罚</w:t>
            </w:r>
          </w:p>
        </w:tc>
        <w:tc>
          <w:tcPr>
            <w:tcW w:w="1155" w:type="dxa"/>
            <w:tcBorders>
              <w:top w:val="nil"/>
              <w:left w:val="nil"/>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nil"/>
              <w:left w:val="nil"/>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《农业转基因生物安全管理条例》第四十七条</w:t>
            </w:r>
          </w:p>
        </w:tc>
        <w:tc>
          <w:tcPr>
            <w:tcW w:w="960" w:type="dxa"/>
            <w:tcBorders>
              <w:top w:val="single" w:color="auto" w:sz="4" w:space="0"/>
              <w:left w:val="nil"/>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nil"/>
              <w:left w:val="nil"/>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nil"/>
              <w:left w:val="nil"/>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nil"/>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nil"/>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nil"/>
              <w:left w:val="nil"/>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color w:val="000000"/>
                <w:sz w:val="18"/>
                <w:szCs w:val="18"/>
                <w:lang w:val="en-US"/>
              </w:rPr>
            </w:pPr>
            <w:r>
              <w:rPr>
                <w:rFonts w:hint="eastAsia" w:ascii="宋体" w:hAnsi="宋体" w:eastAsia="宋体" w:cs="宋体"/>
                <w:color w:val="000000"/>
                <w:kern w:val="0"/>
                <w:sz w:val="18"/>
                <w:szCs w:val="18"/>
                <w:lang w:val="en-US" w:eastAsia="zh-CN" w:bidi="ar"/>
              </w:rPr>
              <w:t>2</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r>
              <w:rPr>
                <w:rFonts w:hint="eastAsia" w:ascii="宋体" w:hAnsi="宋体" w:eastAsia="宋体" w:cs="宋体"/>
                <w:color w:val="000000"/>
                <w:kern w:val="0"/>
                <w:sz w:val="18"/>
                <w:szCs w:val="18"/>
                <w:lang w:val="en-US" w:eastAsia="zh-CN" w:bidi="ar"/>
              </w:rPr>
              <w:t>对违反农业转基因生物标识管理规定的行政处罚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r>
              <w:rPr>
                <w:rFonts w:hint="eastAsia" w:ascii="宋体" w:hAnsi="宋体" w:eastAsia="宋体" w:cs="宋体"/>
                <w:color w:val="000000"/>
                <w:kern w:val="0"/>
                <w:sz w:val="18"/>
                <w:szCs w:val="18"/>
                <w:lang w:val="en-US" w:eastAsia="zh-CN" w:bidi="ar"/>
              </w:rPr>
              <w:t>1.《农业转基因生物安全管理条例》第五十条；                                   2.《农业转基因生物标识管理办法》第十二条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color w:val="00000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jc w:val="center"/>
              <w:textAlignment w:val="auto"/>
              <w:rPr>
                <w:rFonts w:hint="eastAsia"/>
                <w:sz w:val="18"/>
                <w:szCs w:val="18"/>
                <w:lang w:val="en-US" w:eastAsia="zh-CN"/>
              </w:rPr>
            </w:pPr>
          </w:p>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3</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对假冒、伪造、转让或者买卖农业转基因生物有关证明文书的行政处罚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1.《农业转基因生物安全管理条例》第五十一条；                       2.《农业转基因生物安全评价管理办法》第四十二条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4</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对三级、四级实验室未经批准从事某种高致病性病原微生物或者疑似高致病性病原微生物实验活动的行政处罚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《病原微生物实验室生物安全管理条例》第五十六条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5</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对在不符合相应生物安全要求的实验室从事病原微生物相关实验活动的行政处罚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《病原微生物实验室生物安全管理条例》第五十九条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6</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对病原微生物实验室违反实验室日常管理规范和要求的行政处罚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《病原微生物实验室生物安全管理条例》第六十条。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7</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对实验室的设立单位未建立健全安全保卫制度，或者未采取安全保卫措施的行政处罚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《病原微生物实验室生物安全管理条例》第六十一条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8</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对未经批准运输高致病性病原微生物菌（毒）种或者样本等行为导致高致病性病原微生物菌（毒）种或者样本被盗、被抢、丢失、泄露的行政处罚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《病原微生物实验室生物安全管理条例》第六十二条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8"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9</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对感染临床症状或体征等情形未依照规定报告或者未依照规定采取控制措施的行政处罚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《病原微生物实验室生物安全管理条例》第六十五条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10</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对拒绝接受兽医主管部门依法开展有关高致病性病原微生物扩散的调查取证、采集样品等活动或者依照规定采取有关预防、控制措施的行政处罚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《病原微生物实验室生物安全管理条例》第六十六条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11</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对发生病原微生物被盗、被抢、丢失、泄漏，承运单位、护送人、保藏机构和实验室的设立单位未依照规定报告的行政处罚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《病原微生物实验室生物安全管理条例》第六十七条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12</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firstLine="323" w:firstLine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对违反规定保藏或者提供菌（毒）种或者样本的行政处罚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《动物病原微生物菌（毒）种保藏管理办法》第三十二条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13</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对未及时向保藏机构提供菌（毒）种或者样本的行政处罚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《动物病原微生物菌（毒）种保藏管理办法》第三十三条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14</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对未经批准，从国外引进或者向国外提供菌（毒）种或者样本的行政处罚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《动物病原微生物菌（毒）种保藏管理办法》第三十四条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left="0" w:leftChars="0" w:firstLine="0" w:firstLineChars="0"/>
              <w:jc w:val="center"/>
              <w:textAlignment w:val="auto"/>
              <w:rPr>
                <w:rFonts w:hint="default"/>
                <w:sz w:val="18"/>
                <w:szCs w:val="18"/>
                <w:lang w:val="en-US" w:eastAsia="zh-CN"/>
              </w:rPr>
            </w:pPr>
            <w:r>
              <w:rPr>
                <w:rFonts w:hint="eastAsia"/>
                <w:sz w:val="18"/>
                <w:szCs w:val="18"/>
                <w:lang w:val="en-US" w:eastAsia="zh-CN"/>
              </w:rPr>
              <w:t>15</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对经营动物和动物产品的集贸市场不符合动物防疫条件的行政处罚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《动物防疫条件审查办法》第三十七条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left="0" w:leftChars="0" w:firstLine="0" w:firstLineChars="0"/>
              <w:jc w:val="center"/>
              <w:textAlignment w:val="auto"/>
              <w:rPr>
                <w:rFonts w:hint="default"/>
                <w:sz w:val="18"/>
                <w:szCs w:val="18"/>
                <w:lang w:val="en-US" w:eastAsia="zh-CN"/>
              </w:rPr>
            </w:pPr>
            <w:r>
              <w:rPr>
                <w:rFonts w:hint="eastAsia"/>
                <w:sz w:val="18"/>
                <w:szCs w:val="18"/>
                <w:lang w:val="en-US" w:eastAsia="zh-CN"/>
              </w:rPr>
              <w:t>16</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对使用转让、伪造或变造《动物防疫条件合格证》的行政处罚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1.《中华人民共和国动物防疫法》第七十七条。                                                   2.《动物防疫条件审查办法》第三十八条第二款</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left="0" w:leftChars="0" w:firstLine="0" w:firstLineChars="0"/>
              <w:jc w:val="center"/>
              <w:textAlignment w:val="auto"/>
              <w:rPr>
                <w:rFonts w:hint="default"/>
                <w:sz w:val="18"/>
                <w:szCs w:val="18"/>
                <w:lang w:val="en-US" w:eastAsia="zh-CN"/>
              </w:rPr>
            </w:pPr>
            <w:r>
              <w:rPr>
                <w:rFonts w:hint="eastAsia"/>
                <w:sz w:val="18"/>
                <w:szCs w:val="18"/>
                <w:lang w:val="en-US" w:eastAsia="zh-CN"/>
              </w:rPr>
              <w:t>17</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对跨省、自治区、直辖市引进用于饲养的非乳用、非种用动物和水产苗种到达目的地后，未向所在地动物卫生监督机构报告的行政处罚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《动物检疫管理办法》第四十八条：违反本办法第十九条、第三十一条规定</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left="0" w:leftChars="0" w:firstLine="0" w:firstLineChars="0"/>
              <w:jc w:val="center"/>
              <w:textAlignment w:val="auto"/>
              <w:rPr>
                <w:rFonts w:hint="default"/>
                <w:sz w:val="18"/>
                <w:szCs w:val="18"/>
                <w:lang w:val="en-US" w:eastAsia="zh-CN"/>
              </w:rPr>
            </w:pPr>
            <w:r>
              <w:rPr>
                <w:rFonts w:hint="eastAsia"/>
                <w:sz w:val="18"/>
                <w:szCs w:val="18"/>
                <w:lang w:val="en-US" w:eastAsia="zh-CN"/>
              </w:rPr>
              <w:t>18</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对跨省、自治区、直辖市引进的乳用、种用动物到达输入地后，未按规定进行隔离观察的行政处罚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《动物检疫管理办法》第四十九条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left="0" w:leftChars="0" w:firstLine="0" w:firstLineChars="0"/>
              <w:jc w:val="center"/>
              <w:textAlignment w:val="auto"/>
              <w:rPr>
                <w:rFonts w:hint="default"/>
                <w:sz w:val="18"/>
                <w:szCs w:val="18"/>
                <w:lang w:val="en-US" w:eastAsia="zh-CN"/>
              </w:rPr>
            </w:pPr>
            <w:r>
              <w:rPr>
                <w:rFonts w:hint="eastAsia"/>
                <w:sz w:val="18"/>
                <w:szCs w:val="18"/>
                <w:lang w:val="en-US" w:eastAsia="zh-CN"/>
              </w:rPr>
              <w:t>19</w:t>
            </w:r>
          </w:p>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eastAsia"/>
                <w:sz w:val="18"/>
                <w:szCs w:val="18"/>
                <w:lang w:val="en-US" w:eastAsia="zh-CN"/>
              </w:rPr>
            </w:pP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对未经兽医执业注册从事动物诊疗活动的行政处罚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《中华人民共和国动物防疫法》第八十二条第一款</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jc w:val="center"/>
              <w:textAlignment w:val="auto"/>
              <w:rPr>
                <w:rFonts w:hint="eastAsia"/>
                <w:sz w:val="18"/>
                <w:szCs w:val="18"/>
                <w:lang w:val="en-US" w:eastAsia="zh-CN"/>
              </w:rPr>
            </w:pPr>
          </w:p>
          <w:p>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sz w:val="18"/>
                <w:szCs w:val="18"/>
                <w:lang w:val="en-US" w:eastAsia="zh-CN"/>
              </w:rPr>
            </w:pPr>
            <w:r>
              <w:rPr>
                <w:rFonts w:hint="eastAsia"/>
                <w:sz w:val="18"/>
                <w:szCs w:val="18"/>
                <w:lang w:val="en-US" w:eastAsia="zh-CN"/>
              </w:rPr>
              <w:t>20</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对不使用病历，或者应当开具处方未开具处方的执业兽医师等行为的行政处罚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《执业兽医管理办法》第四条第三款；                                                              第三十五条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21</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对变更机构名称或者法定代表人未办理变更手续的动物诊疗机构等行为的行政处罚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《动物诊疗机构管理办法》第三十二条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22</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对将因试验死亡的临床试验用食用动物及其产品或无对人安全并超过休药期证明的临床试验用食用动物及其产品作为食品供人消费的行政处罚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1.《兽药管理条例》第六十三条                                                                               2.《新兽药研制管理办法》第十七条第二款第二十五条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23</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对违规出售、收购国家重点保护农业野生植物的行政处罚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《中华人民共和国野生植物保护条例》第二十四条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24</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对伪造、倒卖、转让农业部门颁发的采集证、允许进出口证明书或者有关批准文件、标签的行政处罚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《中华人民共和国野生植物保护条例》第二十六条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25</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对外国人在中国境内采集、收购国家重点保护农业野生植物等行为的行政处罚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《中华人民共和国野生植物保护条例》第二十七条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26</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对农业投入品生产者、销售者、使用者未按照规定及时回收肥料等农业投入品的包装废弃物或农用薄膜等行为的行政处罚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《中华人民共和国土壤污染防治法》第八十八条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jc w:val="center"/>
              <w:textAlignment w:val="auto"/>
              <w:rPr>
                <w:rFonts w:hint="eastAsia"/>
                <w:sz w:val="18"/>
                <w:szCs w:val="18"/>
                <w:lang w:val="en-US" w:eastAsia="zh-CN"/>
              </w:rPr>
            </w:pPr>
          </w:p>
          <w:p>
            <w:pPr>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27</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对农用地土壤污染责任人或者土地使用权人未按照规定实施后期管理的行政处罚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《中华人民共和国土壤污染防治法》第七条；                                                              第九十二条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pStyle w:val="7"/>
              <w:keepNext w:val="0"/>
              <w:keepLines w:val="0"/>
              <w:pageBreakBefore w:val="0"/>
              <w:kinsoku/>
              <w:wordWrap/>
              <w:overflowPunct/>
              <w:topLinePunct w:val="0"/>
              <w:autoSpaceDE/>
              <w:autoSpaceDN/>
              <w:bidi w:val="0"/>
              <w:adjustRightInd/>
              <w:snapToGrid/>
              <w:spacing w:line="240" w:lineRule="auto"/>
              <w:ind w:firstLine="0" w:firstLineChars="0"/>
              <w:jc w:val="center"/>
              <w:textAlignment w:val="auto"/>
              <w:rPr>
                <w:rFonts w:hint="default"/>
                <w:sz w:val="18"/>
                <w:szCs w:val="18"/>
                <w:lang w:val="en-US" w:eastAsia="zh-CN"/>
              </w:rPr>
            </w:pPr>
            <w:r>
              <w:rPr>
                <w:rFonts w:hint="eastAsia"/>
                <w:sz w:val="18"/>
                <w:szCs w:val="18"/>
                <w:lang w:val="en-US" w:eastAsia="zh-CN"/>
              </w:rPr>
              <w:t>28</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对农用地土壤污染监督管理中，被检查者拒不配合检查，或者在接受检查时弄虚作假的行政处罚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《中华人民共和国土壤污染防治法》第七条 ；第九十三条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firstLine="0" w:firstLineChars="0"/>
              <w:jc w:val="center"/>
              <w:textAlignment w:val="auto"/>
              <w:outlineLvl w:val="9"/>
              <w:rPr>
                <w:rFonts w:hint="default"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29</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对未按照规定对农用地土壤污染采取风险管理措施等行为的行政处罚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《中华人民共和国土壤污染防治法》第七条                                                            第九十四条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trPr>
        <w:tc>
          <w:tcPr>
            <w:tcW w:w="6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30</w:t>
            </w:r>
          </w:p>
        </w:tc>
        <w:tc>
          <w:tcPr>
            <w:tcW w:w="3759" w:type="dxa"/>
            <w:tcBorders>
              <w:top w:val="single" w:color="auto" w:sz="4" w:space="0"/>
              <w:left w:val="single" w:color="auto" w:sz="4" w:space="0"/>
              <w:bottom w:val="single" w:color="auto" w:sz="4" w:space="0"/>
              <w:right w:val="single" w:color="auto" w:sz="4" w:space="0"/>
            </w:tcBorders>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both"/>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对农用地土壤污染责任人或者土地使用权人未按照规定将修复方案、效果评估报告报地方人民政府农业农村主管部门备案的行政处罚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《中华人民共和国土壤污染防治法》第七条第二款</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31</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对非法占用耕地等破坏种植条件，或者因开发土地造成土地荒漠化、盐渍化行为涉及农业农村部门职责的行政处罚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《中华人民共和国土地管理法》第七十五条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32</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对农村村民未经批准或者采取欺骗手段骗取批准，非法占用土地建住宅的行政处罚</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行政处罚</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r>
              <w:rPr>
                <w:rFonts w:hint="eastAsia" w:ascii="宋体" w:hAnsi="宋体" w:eastAsia="宋体" w:cs="宋体"/>
                <w:color w:val="000000"/>
                <w:kern w:val="0"/>
                <w:sz w:val="18"/>
                <w:szCs w:val="18"/>
                <w:lang w:val="en-US" w:eastAsia="zh-CN" w:bidi="ar"/>
              </w:rPr>
              <w:t>《中华人民共和国土地管理法》第七十八条</w:t>
            </w: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33</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蜂、蚕种生产、经营许可证核发</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行政审批</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eastAsia" w:ascii="宋体" w:hAnsi="宋体" w:eastAsia="宋体" w:cs="宋体"/>
                <w:sz w:val="18"/>
                <w:szCs w:val="18"/>
                <w:lang w:eastAsia="zh-CN"/>
              </w:rPr>
            </w:pPr>
            <w:r>
              <w:rPr>
                <w:rFonts w:hint="eastAsia" w:ascii="宋体" w:hAnsi="宋体" w:eastAsia="宋体" w:cs="宋体"/>
                <w:sz w:val="18"/>
                <w:szCs w:val="18"/>
                <w:lang w:eastAsia="zh-CN"/>
              </w:rPr>
              <w:t>《中共河南省委、河南省人民政府印发</w:t>
            </w:r>
            <w:r>
              <w:rPr>
                <w:rFonts w:hint="eastAsia" w:ascii="宋体" w:hAnsi="宋体" w:eastAsia="宋体" w:cs="宋体"/>
                <w:sz w:val="18"/>
                <w:szCs w:val="18"/>
                <w:lang w:val="en-US" w:eastAsia="zh-CN"/>
              </w:rPr>
              <w:t>&lt;</w:t>
            </w:r>
            <w:r>
              <w:rPr>
                <w:rFonts w:hint="eastAsia" w:ascii="宋体" w:hAnsi="宋体" w:eastAsia="宋体" w:cs="宋体"/>
                <w:sz w:val="18"/>
                <w:szCs w:val="18"/>
                <w:lang w:eastAsia="zh-CN"/>
              </w:rPr>
              <w:t>关于推进新发展格局下河南县域经济高质量发展的若干意见</w:t>
            </w:r>
            <w:r>
              <w:rPr>
                <w:rFonts w:hint="eastAsia" w:ascii="宋体" w:hAnsi="宋体" w:eastAsia="宋体" w:cs="宋体"/>
                <w:sz w:val="18"/>
                <w:szCs w:val="18"/>
                <w:lang w:val="en-US" w:eastAsia="zh-CN"/>
              </w:rPr>
              <w:t>&gt;(试行）的通知</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豫发</w:t>
            </w:r>
            <w:r>
              <w:rPr>
                <w:rFonts w:hint="eastAsia" w:ascii="宋体" w:hAnsi="宋体" w:eastAsia="宋体" w:cs="宋体"/>
                <w:color w:val="000000"/>
                <w:sz w:val="18"/>
                <w:szCs w:val="18"/>
              </w:rPr>
              <w:t>〔20</w:t>
            </w:r>
            <w:r>
              <w:rPr>
                <w:rFonts w:hint="eastAsia" w:ascii="宋体" w:hAnsi="宋体" w:eastAsia="宋体" w:cs="宋体"/>
                <w:color w:val="000000"/>
                <w:sz w:val="18"/>
                <w:szCs w:val="18"/>
                <w:lang w:val="en"/>
              </w:rPr>
              <w:t>21</w:t>
            </w:r>
            <w:r>
              <w:rPr>
                <w:rFonts w:hint="eastAsia" w:ascii="宋体" w:hAnsi="宋体" w:eastAsia="宋体" w:cs="宋体"/>
                <w:color w:val="000000"/>
                <w:sz w:val="18"/>
                <w:szCs w:val="18"/>
              </w:rPr>
              <w:t>〕</w:t>
            </w:r>
            <w:r>
              <w:rPr>
                <w:rFonts w:hint="eastAsia" w:ascii="宋体" w:hAnsi="宋体" w:eastAsia="宋体" w:cs="宋体"/>
                <w:color w:val="000000"/>
                <w:sz w:val="18"/>
                <w:szCs w:val="18"/>
                <w:lang w:val="en-US" w:eastAsia="zh-CN"/>
              </w:rPr>
              <w:t>23</w:t>
            </w:r>
            <w:r>
              <w:rPr>
                <w:rFonts w:hint="eastAsia" w:ascii="宋体" w:hAnsi="宋体" w:eastAsia="宋体" w:cs="宋体"/>
                <w:color w:val="000000"/>
                <w:sz w:val="18"/>
                <w:szCs w:val="18"/>
              </w:rPr>
              <w:t>号</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中共西华县委机构编制委员会关于政府工作部门权责清单动态调整的通知</w:t>
            </w:r>
            <w:r>
              <w:rPr>
                <w:rFonts w:hint="eastAsia" w:ascii="宋体" w:hAnsi="宋体" w:eastAsia="宋体" w:cs="宋体"/>
                <w:sz w:val="18"/>
                <w:szCs w:val="18"/>
                <w:lang w:eastAsia="zh-CN"/>
              </w:rPr>
              <w:t>》（西编〔20</w:t>
            </w:r>
            <w:r>
              <w:rPr>
                <w:rFonts w:hint="eastAsia" w:ascii="宋体" w:hAnsi="宋体" w:eastAsia="宋体" w:cs="宋体"/>
                <w:sz w:val="18"/>
                <w:szCs w:val="18"/>
                <w:lang w:val="en-US" w:eastAsia="zh-CN"/>
              </w:rPr>
              <w:t>22</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7</w:t>
            </w:r>
            <w:r>
              <w:rPr>
                <w:rFonts w:hint="eastAsia" w:ascii="宋体" w:hAnsi="宋体" w:eastAsia="宋体" w:cs="宋体"/>
                <w:sz w:val="18"/>
                <w:szCs w:val="18"/>
                <w:lang w:eastAsia="zh-CN"/>
              </w:rPr>
              <w:t>号）</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34</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auto"/>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权限内肥料登记初审</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行政审批</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eastAsia" w:ascii="宋体" w:hAnsi="宋体" w:eastAsia="宋体" w:cs="宋体"/>
                <w:sz w:val="18"/>
                <w:szCs w:val="18"/>
                <w:lang w:eastAsia="zh-CN"/>
              </w:rPr>
            </w:pPr>
            <w:r>
              <w:rPr>
                <w:rFonts w:hint="eastAsia" w:ascii="宋体" w:hAnsi="宋体" w:eastAsia="宋体" w:cs="宋体"/>
                <w:sz w:val="18"/>
                <w:szCs w:val="18"/>
                <w:lang w:eastAsia="zh-CN"/>
              </w:rPr>
              <w:t>《中共河南省委、河南省人民政府印发</w:t>
            </w:r>
            <w:r>
              <w:rPr>
                <w:rFonts w:hint="eastAsia" w:ascii="宋体" w:hAnsi="宋体" w:eastAsia="宋体" w:cs="宋体"/>
                <w:sz w:val="18"/>
                <w:szCs w:val="18"/>
                <w:lang w:val="en-US" w:eastAsia="zh-CN"/>
              </w:rPr>
              <w:t>&lt;</w:t>
            </w:r>
            <w:r>
              <w:rPr>
                <w:rFonts w:hint="eastAsia" w:ascii="宋体" w:hAnsi="宋体" w:eastAsia="宋体" w:cs="宋体"/>
                <w:sz w:val="18"/>
                <w:szCs w:val="18"/>
                <w:lang w:eastAsia="zh-CN"/>
              </w:rPr>
              <w:t>关于推进新发展格局下河南县域经济高质量发展的若干意见</w:t>
            </w:r>
            <w:r>
              <w:rPr>
                <w:rFonts w:hint="eastAsia" w:ascii="宋体" w:hAnsi="宋体" w:eastAsia="宋体" w:cs="宋体"/>
                <w:sz w:val="18"/>
                <w:szCs w:val="18"/>
                <w:lang w:val="en-US" w:eastAsia="zh-CN"/>
              </w:rPr>
              <w:t>&gt;(试行）的通知</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豫发</w:t>
            </w:r>
            <w:r>
              <w:rPr>
                <w:rFonts w:hint="eastAsia" w:ascii="宋体" w:hAnsi="宋体" w:eastAsia="宋体" w:cs="宋体"/>
                <w:color w:val="000000"/>
                <w:sz w:val="18"/>
                <w:szCs w:val="18"/>
              </w:rPr>
              <w:t>〔20</w:t>
            </w:r>
            <w:r>
              <w:rPr>
                <w:rFonts w:hint="eastAsia" w:ascii="宋体" w:hAnsi="宋体" w:eastAsia="宋体" w:cs="宋体"/>
                <w:color w:val="000000"/>
                <w:sz w:val="18"/>
                <w:szCs w:val="18"/>
                <w:lang w:val="en"/>
              </w:rPr>
              <w:t>21</w:t>
            </w:r>
            <w:r>
              <w:rPr>
                <w:rFonts w:hint="eastAsia" w:ascii="宋体" w:hAnsi="宋体" w:eastAsia="宋体" w:cs="宋体"/>
                <w:color w:val="000000"/>
                <w:sz w:val="18"/>
                <w:szCs w:val="18"/>
              </w:rPr>
              <w:t>〕</w:t>
            </w:r>
            <w:r>
              <w:rPr>
                <w:rFonts w:hint="eastAsia" w:ascii="宋体" w:hAnsi="宋体" w:eastAsia="宋体" w:cs="宋体"/>
                <w:color w:val="000000"/>
                <w:sz w:val="18"/>
                <w:szCs w:val="18"/>
                <w:lang w:val="en-US" w:eastAsia="zh-CN"/>
              </w:rPr>
              <w:t>23</w:t>
            </w:r>
            <w:r>
              <w:rPr>
                <w:rFonts w:hint="eastAsia" w:ascii="宋体" w:hAnsi="宋体" w:eastAsia="宋体" w:cs="宋体"/>
                <w:color w:val="000000"/>
                <w:sz w:val="18"/>
                <w:szCs w:val="18"/>
              </w:rPr>
              <w:t>号</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中共西华县委机构编制委员会关于政府工作部门权责清单动态调整的通知</w:t>
            </w:r>
            <w:r>
              <w:rPr>
                <w:rFonts w:hint="eastAsia" w:ascii="宋体" w:hAnsi="宋体" w:eastAsia="宋体" w:cs="宋体"/>
                <w:sz w:val="18"/>
                <w:szCs w:val="18"/>
                <w:lang w:eastAsia="zh-CN"/>
              </w:rPr>
              <w:t>》（西编〔20</w:t>
            </w:r>
            <w:r>
              <w:rPr>
                <w:rFonts w:hint="eastAsia" w:ascii="宋体" w:hAnsi="宋体" w:eastAsia="宋体" w:cs="宋体"/>
                <w:sz w:val="18"/>
                <w:szCs w:val="18"/>
                <w:lang w:val="en-US" w:eastAsia="zh-CN"/>
              </w:rPr>
              <w:t>22</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7</w:t>
            </w:r>
            <w:r>
              <w:rPr>
                <w:rFonts w:hint="eastAsia" w:ascii="宋体" w:hAnsi="宋体" w:eastAsia="宋体" w:cs="宋体"/>
                <w:sz w:val="18"/>
                <w:szCs w:val="18"/>
                <w:lang w:eastAsia="zh-CN"/>
              </w:rPr>
              <w:t>号）</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35</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eastAsia" w:ascii="宋体" w:hAnsi="宋体" w:eastAsia="宋体" w:cs="宋体"/>
                <w:b w:val="0"/>
                <w:bCs/>
                <w:kern w:val="2"/>
                <w:sz w:val="18"/>
                <w:szCs w:val="18"/>
                <w:lang w:val="en-US" w:eastAsia="zh-CN" w:bidi="ar-SA"/>
              </w:rPr>
            </w:pPr>
            <w:r>
              <w:rPr>
                <w:rFonts w:hint="eastAsia" w:ascii="宋体" w:hAnsi="宋体" w:eastAsia="宋体" w:cs="宋体"/>
                <w:i w:val="0"/>
                <w:iCs w:val="0"/>
                <w:color w:val="000000"/>
                <w:kern w:val="0"/>
                <w:sz w:val="18"/>
                <w:szCs w:val="18"/>
                <w:u w:val="none"/>
                <w:lang w:val="en-US" w:eastAsia="zh-CN" w:bidi="ar"/>
              </w:rPr>
              <w:t>无植物检疫性有害生物的种苗繁育基地、母树林基地审核</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行政审批</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ind w:firstLine="360" w:firstLineChars="200"/>
              <w:textAlignment w:val="auto"/>
              <w:rPr>
                <w:rFonts w:hint="eastAsia" w:ascii="宋体" w:hAnsi="宋体" w:cs="宋体"/>
                <w:b w:val="0"/>
                <w:bCs/>
                <w:sz w:val="18"/>
                <w:szCs w:val="18"/>
                <w:lang w:eastAsia="zh-CN"/>
              </w:rPr>
            </w:pP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河南省人民政府办公厅关于进一步深化县域放权赋能改革的意见</w:t>
            </w: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豫政办〔2022〕99号</w:t>
            </w:r>
            <w:r>
              <w:rPr>
                <w:rFonts w:hint="eastAsia" w:ascii="宋体" w:hAnsi="宋体" w:eastAsia="宋体" w:cs="宋体"/>
                <w:b w:val="0"/>
                <w:bCs/>
                <w:sz w:val="18"/>
                <w:szCs w:val="18"/>
                <w:lang w:eastAsia="zh-CN"/>
              </w:rPr>
              <w:t>）</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中共西华县委机构编制委员会</w:t>
            </w:r>
            <w:r>
              <w:rPr>
                <w:rFonts w:hint="eastAsia" w:ascii="宋体" w:hAnsi="宋体" w:cs="宋体"/>
                <w:b w:val="0"/>
                <w:bCs/>
                <w:sz w:val="18"/>
                <w:szCs w:val="18"/>
                <w:lang w:eastAsia="zh-CN"/>
              </w:rPr>
              <w:t>关于</w:t>
            </w:r>
            <w:r>
              <w:rPr>
                <w:rFonts w:hint="eastAsia" w:ascii="宋体" w:hAnsi="宋体" w:cs="宋体"/>
                <w:b w:val="0"/>
                <w:bCs/>
                <w:sz w:val="18"/>
                <w:szCs w:val="18"/>
                <w:lang w:val="en-US" w:eastAsia="zh-CN"/>
              </w:rPr>
              <w:t>调整权力事项清单</w:t>
            </w:r>
            <w:r>
              <w:rPr>
                <w:rFonts w:hint="eastAsia" w:ascii="宋体" w:hAnsi="宋体" w:cs="宋体"/>
                <w:b w:val="0"/>
                <w:bCs/>
                <w:sz w:val="18"/>
                <w:szCs w:val="18"/>
                <w:lang w:eastAsia="zh-CN"/>
              </w:rPr>
              <w:t>的</w:t>
            </w:r>
            <w:r>
              <w:rPr>
                <w:rFonts w:hint="eastAsia" w:ascii="宋体" w:hAnsi="宋体" w:cs="宋体"/>
                <w:b w:val="0"/>
                <w:bCs/>
                <w:sz w:val="18"/>
                <w:szCs w:val="18"/>
                <w:lang w:val="en-US" w:eastAsia="zh-CN"/>
              </w:rPr>
              <w:t>通知</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西编</w:t>
            </w:r>
            <w:r>
              <w:rPr>
                <w:rFonts w:hint="eastAsia" w:ascii="宋体" w:hAnsi="宋体" w:cs="宋体"/>
                <w:b w:val="0"/>
                <w:bCs/>
                <w:sz w:val="18"/>
                <w:szCs w:val="18"/>
                <w:lang w:eastAsia="zh-CN"/>
              </w:rPr>
              <w:t>〔202</w:t>
            </w:r>
            <w:r>
              <w:rPr>
                <w:rFonts w:hint="eastAsia" w:ascii="宋体" w:hAnsi="宋体" w:cs="宋体"/>
                <w:b w:val="0"/>
                <w:bCs/>
                <w:sz w:val="18"/>
                <w:szCs w:val="18"/>
                <w:lang w:val="en-US" w:eastAsia="zh-CN"/>
              </w:rPr>
              <w:t>3</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2</w:t>
            </w:r>
            <w:r>
              <w:rPr>
                <w:rFonts w:hint="eastAsia" w:ascii="宋体" w:hAnsi="宋体" w:cs="宋体"/>
                <w:b w:val="0"/>
                <w:bCs/>
                <w:sz w:val="18"/>
                <w:szCs w:val="18"/>
                <w:lang w:eastAsia="zh-CN"/>
              </w:rPr>
              <w:t>号）</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36</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工商企业等社会资本通过流转取得土地经营权审批</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eastAsia="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行政审批</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ind w:firstLine="360" w:firstLineChars="200"/>
              <w:textAlignment w:val="auto"/>
              <w:rPr>
                <w:rFonts w:hint="eastAsia" w:ascii="宋体" w:hAnsi="宋体" w:cs="宋体"/>
                <w:b w:val="0"/>
                <w:bCs/>
                <w:sz w:val="18"/>
                <w:szCs w:val="18"/>
                <w:lang w:eastAsia="zh-CN"/>
              </w:rPr>
            </w:pP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河南省人民政府办公厅关于进一步深化县域放权赋能改革的意见</w:t>
            </w: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豫政办〔2022〕99号</w:t>
            </w:r>
            <w:r>
              <w:rPr>
                <w:rFonts w:hint="eastAsia" w:ascii="宋体" w:hAnsi="宋体" w:eastAsia="宋体" w:cs="宋体"/>
                <w:b w:val="0"/>
                <w:bCs/>
                <w:sz w:val="18"/>
                <w:szCs w:val="18"/>
                <w:lang w:eastAsia="zh-CN"/>
              </w:rPr>
              <w:t>）</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中共西华县委机构编制委员会</w:t>
            </w:r>
            <w:r>
              <w:rPr>
                <w:rFonts w:hint="eastAsia" w:ascii="宋体" w:hAnsi="宋体" w:cs="宋体"/>
                <w:b w:val="0"/>
                <w:bCs/>
                <w:sz w:val="18"/>
                <w:szCs w:val="18"/>
                <w:lang w:eastAsia="zh-CN"/>
              </w:rPr>
              <w:t>关于</w:t>
            </w:r>
            <w:r>
              <w:rPr>
                <w:rFonts w:hint="eastAsia" w:ascii="宋体" w:hAnsi="宋体" w:cs="宋体"/>
                <w:b w:val="0"/>
                <w:bCs/>
                <w:sz w:val="18"/>
                <w:szCs w:val="18"/>
                <w:lang w:val="en-US" w:eastAsia="zh-CN"/>
              </w:rPr>
              <w:t>调整权力事项清单</w:t>
            </w:r>
            <w:r>
              <w:rPr>
                <w:rFonts w:hint="eastAsia" w:ascii="宋体" w:hAnsi="宋体" w:cs="宋体"/>
                <w:b w:val="0"/>
                <w:bCs/>
                <w:sz w:val="18"/>
                <w:szCs w:val="18"/>
                <w:lang w:eastAsia="zh-CN"/>
              </w:rPr>
              <w:t>的</w:t>
            </w:r>
            <w:r>
              <w:rPr>
                <w:rFonts w:hint="eastAsia" w:ascii="宋体" w:hAnsi="宋体" w:cs="宋体"/>
                <w:b w:val="0"/>
                <w:bCs/>
                <w:sz w:val="18"/>
                <w:szCs w:val="18"/>
                <w:lang w:val="en-US" w:eastAsia="zh-CN"/>
              </w:rPr>
              <w:t>通知</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西编</w:t>
            </w:r>
            <w:r>
              <w:rPr>
                <w:rFonts w:hint="eastAsia" w:ascii="宋体" w:hAnsi="宋体" w:cs="宋体"/>
                <w:b w:val="0"/>
                <w:bCs/>
                <w:sz w:val="18"/>
                <w:szCs w:val="18"/>
                <w:lang w:eastAsia="zh-CN"/>
              </w:rPr>
              <w:t>〔202</w:t>
            </w:r>
            <w:r>
              <w:rPr>
                <w:rFonts w:hint="eastAsia" w:ascii="宋体" w:hAnsi="宋体" w:cs="宋体"/>
                <w:b w:val="0"/>
                <w:bCs/>
                <w:sz w:val="18"/>
                <w:szCs w:val="18"/>
                <w:lang w:val="en-US" w:eastAsia="zh-CN"/>
              </w:rPr>
              <w:t>3</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2</w:t>
            </w:r>
            <w:r>
              <w:rPr>
                <w:rFonts w:hint="eastAsia" w:ascii="宋体" w:hAnsi="宋体" w:cs="宋体"/>
                <w:b w:val="0"/>
                <w:bCs/>
                <w:sz w:val="18"/>
                <w:szCs w:val="18"/>
                <w:lang w:eastAsia="zh-CN"/>
              </w:rPr>
              <w:t>号）</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37</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sz w:val="18"/>
                <w:szCs w:val="18"/>
                <w:lang w:val="en-US" w:eastAsia="zh-CN"/>
              </w:rPr>
            </w:pPr>
            <w:r>
              <w:rPr>
                <w:rFonts w:hint="eastAsia"/>
                <w:sz w:val="18"/>
                <w:szCs w:val="18"/>
                <w:lang w:val="en-US" w:eastAsia="zh-CN"/>
              </w:rPr>
              <w:t>跨区作业中介服务组织备案</w:t>
            </w:r>
          </w:p>
          <w:p>
            <w:pPr>
              <w:pStyle w:val="2"/>
              <w:keepNext w:val="0"/>
              <w:keepLines w:val="0"/>
              <w:pageBreakBefore w:val="0"/>
              <w:kinsoku/>
              <w:wordWrap/>
              <w:overflowPunct/>
              <w:topLinePunct w:val="0"/>
              <w:autoSpaceDE/>
              <w:autoSpaceDN/>
              <w:bidi w:val="0"/>
              <w:adjustRightInd/>
              <w:snapToGrid/>
              <w:spacing w:line="240" w:lineRule="auto"/>
              <w:textAlignment w:val="auto"/>
              <w:rPr>
                <w:rFonts w:hint="eastAsia" w:ascii="宋体" w:hAnsi="宋体" w:eastAsia="宋体" w:cs="宋体"/>
                <w:i w:val="0"/>
                <w:iCs w:val="0"/>
                <w:color w:val="000000"/>
                <w:kern w:val="0"/>
                <w:sz w:val="18"/>
                <w:szCs w:val="18"/>
                <w:u w:val="none"/>
                <w:lang w:val="en-US" w:eastAsia="zh-CN" w:bidi="ar"/>
              </w:rPr>
            </w:pPr>
          </w:p>
          <w:p>
            <w:pPr>
              <w:pStyle w:val="2"/>
              <w:keepNext w:val="0"/>
              <w:keepLines w:val="0"/>
              <w:pageBreakBefore w:val="0"/>
              <w:kinsoku/>
              <w:wordWrap/>
              <w:overflowPunct/>
              <w:topLinePunct w:val="0"/>
              <w:autoSpaceDE/>
              <w:autoSpaceDN/>
              <w:bidi w:val="0"/>
              <w:adjustRightInd/>
              <w:snapToGrid/>
              <w:spacing w:line="240" w:lineRule="auto"/>
              <w:textAlignment w:val="auto"/>
              <w:rPr>
                <w:rFonts w:hint="eastAsia" w:ascii="宋体" w:hAnsi="宋体" w:eastAsia="宋体" w:cs="宋体"/>
                <w:i w:val="0"/>
                <w:iCs w:val="0"/>
                <w:color w:val="000000"/>
                <w:kern w:val="0"/>
                <w:sz w:val="18"/>
                <w:szCs w:val="18"/>
                <w:u w:val="none"/>
                <w:lang w:val="en-US" w:eastAsia="zh-CN" w:bidi="ar"/>
              </w:rPr>
            </w:pP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eastAsia" w:ascii="宋体" w:hAnsi="宋体" w:eastAsia="宋体" w:cs="宋体"/>
                <w:b w:val="0"/>
                <w:bCs/>
                <w:sz w:val="18"/>
                <w:szCs w:val="18"/>
                <w:lang w:eastAsia="zh-CN"/>
              </w:rPr>
            </w:pPr>
          </w:p>
          <w:p>
            <w:pPr>
              <w:keepNext w:val="0"/>
              <w:keepLines w:val="0"/>
              <w:pageBreakBefore w:val="0"/>
              <w:kinsoku/>
              <w:wordWrap/>
              <w:overflowPunct/>
              <w:topLinePunct w:val="0"/>
              <w:autoSpaceDE/>
              <w:autoSpaceDN/>
              <w:bidi w:val="0"/>
              <w:adjustRightInd/>
              <w:snapToGrid/>
              <w:spacing w:line="240" w:lineRule="auto"/>
              <w:textAlignment w:val="auto"/>
              <w:rPr>
                <w:rFonts w:hint="default" w:ascii="宋体" w:hAnsi="宋体" w:cs="宋体"/>
                <w:b w:val="0"/>
                <w:bCs/>
                <w:sz w:val="18"/>
                <w:szCs w:val="18"/>
                <w:lang w:val="en-US" w:eastAsia="zh-CN"/>
              </w:rPr>
            </w:pPr>
            <w:r>
              <w:rPr>
                <w:rFonts w:hint="eastAsia" w:ascii="宋体" w:hAnsi="宋体" w:cs="宋体"/>
                <w:b w:val="0"/>
                <w:bCs/>
                <w:sz w:val="18"/>
                <w:szCs w:val="18"/>
                <w:lang w:val="en-US" w:eastAsia="zh-CN"/>
              </w:rPr>
              <w:t>其他职权</w:t>
            </w:r>
          </w:p>
          <w:p>
            <w:pPr>
              <w:keepNext w:val="0"/>
              <w:keepLines w:val="0"/>
              <w:pageBreakBefore w:val="0"/>
              <w:kinsoku/>
              <w:wordWrap/>
              <w:overflowPunct/>
              <w:topLinePunct w:val="0"/>
              <w:autoSpaceDE/>
              <w:autoSpaceDN/>
              <w:bidi w:val="0"/>
              <w:adjustRightInd/>
              <w:snapToGrid/>
              <w:spacing w:line="240" w:lineRule="auto"/>
              <w:ind w:firstLine="360" w:firstLineChars="200"/>
              <w:textAlignment w:val="auto"/>
              <w:rPr>
                <w:rFonts w:hint="default" w:ascii="宋体" w:hAnsi="宋体" w:eastAsia="宋体" w:cs="宋体"/>
                <w:b w:val="0"/>
                <w:bCs/>
                <w:kern w:val="2"/>
                <w:sz w:val="18"/>
                <w:szCs w:val="18"/>
                <w:lang w:val="en-US" w:eastAsia="zh-CN" w:bidi="ar-SA"/>
              </w:rPr>
            </w:pP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ind w:firstLine="360" w:firstLineChars="200"/>
              <w:textAlignment w:val="auto"/>
              <w:rPr>
                <w:rFonts w:hint="eastAsia" w:ascii="宋体" w:hAnsi="宋体" w:eastAsia="宋体" w:cs="宋体"/>
                <w:b w:val="0"/>
                <w:bCs/>
                <w:sz w:val="18"/>
                <w:szCs w:val="18"/>
                <w:lang w:eastAsia="zh-CN"/>
              </w:rPr>
            </w:pPr>
          </w:p>
          <w:p>
            <w:pPr>
              <w:keepNext w:val="0"/>
              <w:keepLines w:val="0"/>
              <w:pageBreakBefore w:val="0"/>
              <w:kinsoku/>
              <w:wordWrap/>
              <w:overflowPunct/>
              <w:topLinePunct w:val="0"/>
              <w:autoSpaceDE/>
              <w:autoSpaceDN/>
              <w:bidi w:val="0"/>
              <w:adjustRightInd/>
              <w:snapToGrid/>
              <w:spacing w:line="240" w:lineRule="auto"/>
              <w:textAlignment w:val="auto"/>
              <w:rPr>
                <w:rFonts w:hint="eastAsia" w:ascii="宋体" w:hAnsi="宋体" w:cs="宋体"/>
                <w:b w:val="0"/>
                <w:bCs/>
                <w:sz w:val="18"/>
                <w:szCs w:val="18"/>
                <w:lang w:eastAsia="zh-CN"/>
              </w:rPr>
            </w:pP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河南省人民政府办公厅关于进一步深化县域放权赋能改革的意见</w:t>
            </w: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豫政办〔2022〕99号</w:t>
            </w:r>
            <w:r>
              <w:rPr>
                <w:rFonts w:hint="eastAsia" w:ascii="宋体" w:hAnsi="宋体" w:eastAsia="宋体" w:cs="宋体"/>
                <w:b w:val="0"/>
                <w:bCs/>
                <w:sz w:val="18"/>
                <w:szCs w:val="18"/>
                <w:lang w:eastAsia="zh-CN"/>
              </w:rPr>
              <w:t>）</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中共西华县委机构编制委员会</w:t>
            </w:r>
            <w:r>
              <w:rPr>
                <w:rFonts w:hint="eastAsia" w:ascii="宋体" w:hAnsi="宋体" w:cs="宋体"/>
                <w:b w:val="0"/>
                <w:bCs/>
                <w:sz w:val="18"/>
                <w:szCs w:val="18"/>
                <w:lang w:eastAsia="zh-CN"/>
              </w:rPr>
              <w:t>关于</w:t>
            </w:r>
            <w:r>
              <w:rPr>
                <w:rFonts w:hint="eastAsia" w:ascii="宋体" w:hAnsi="宋体" w:cs="宋体"/>
                <w:b w:val="0"/>
                <w:bCs/>
                <w:sz w:val="18"/>
                <w:szCs w:val="18"/>
                <w:lang w:val="en-US" w:eastAsia="zh-CN"/>
              </w:rPr>
              <w:t>调整权力事项清单</w:t>
            </w:r>
            <w:r>
              <w:rPr>
                <w:rFonts w:hint="eastAsia" w:ascii="宋体" w:hAnsi="宋体" w:cs="宋体"/>
                <w:b w:val="0"/>
                <w:bCs/>
                <w:sz w:val="18"/>
                <w:szCs w:val="18"/>
                <w:lang w:eastAsia="zh-CN"/>
              </w:rPr>
              <w:t>的</w:t>
            </w:r>
            <w:r>
              <w:rPr>
                <w:rFonts w:hint="eastAsia" w:ascii="宋体" w:hAnsi="宋体" w:cs="宋体"/>
                <w:b w:val="0"/>
                <w:bCs/>
                <w:sz w:val="18"/>
                <w:szCs w:val="18"/>
                <w:lang w:val="en-US" w:eastAsia="zh-CN"/>
              </w:rPr>
              <w:t>通知</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西编</w:t>
            </w:r>
            <w:r>
              <w:rPr>
                <w:rFonts w:hint="eastAsia" w:ascii="宋体" w:hAnsi="宋体" w:cs="宋体"/>
                <w:b w:val="0"/>
                <w:bCs/>
                <w:sz w:val="18"/>
                <w:szCs w:val="18"/>
                <w:lang w:eastAsia="zh-CN"/>
              </w:rPr>
              <w:t>〔202</w:t>
            </w:r>
            <w:r>
              <w:rPr>
                <w:rFonts w:hint="eastAsia" w:ascii="宋体" w:hAnsi="宋体" w:cs="宋体"/>
                <w:b w:val="0"/>
                <w:bCs/>
                <w:sz w:val="18"/>
                <w:szCs w:val="18"/>
                <w:lang w:val="en-US" w:eastAsia="zh-CN"/>
              </w:rPr>
              <w:t>3</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2</w:t>
            </w:r>
            <w:r>
              <w:rPr>
                <w:rFonts w:hint="eastAsia" w:ascii="宋体" w:hAnsi="宋体" w:cs="宋体"/>
                <w:b w:val="0"/>
                <w:bCs/>
                <w:sz w:val="18"/>
                <w:szCs w:val="18"/>
                <w:lang w:eastAsia="zh-CN"/>
              </w:rPr>
              <w:t>号）</w:t>
            </w:r>
          </w:p>
          <w:p>
            <w:pPr>
              <w:keepNext w:val="0"/>
              <w:keepLines w:val="0"/>
              <w:pageBreakBefore w:val="0"/>
              <w:kinsoku/>
              <w:wordWrap/>
              <w:overflowPunct/>
              <w:topLinePunct w:val="0"/>
              <w:autoSpaceDE/>
              <w:autoSpaceDN/>
              <w:bidi w:val="0"/>
              <w:adjustRightInd/>
              <w:snapToGrid/>
              <w:spacing w:line="240" w:lineRule="auto"/>
              <w:ind w:firstLine="360" w:firstLineChars="200"/>
              <w:textAlignment w:val="auto"/>
              <w:rPr>
                <w:rFonts w:hint="eastAsia" w:ascii="宋体" w:hAnsi="宋体" w:cs="宋体"/>
                <w:b w:val="0"/>
                <w:bCs/>
                <w:sz w:val="18"/>
                <w:szCs w:val="18"/>
                <w:lang w:eastAsia="zh-CN"/>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64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default" w:ascii="宋体" w:hAnsi="宋体" w:cs="宋体"/>
                <w:color w:val="000000"/>
                <w:kern w:val="0"/>
                <w:sz w:val="18"/>
                <w:szCs w:val="18"/>
                <w:lang w:val="en-US" w:eastAsia="zh-CN" w:bidi="ar"/>
              </w:rPr>
            </w:pPr>
            <w:r>
              <w:rPr>
                <w:rFonts w:hint="eastAsia" w:ascii="宋体" w:hAnsi="宋体" w:cs="宋体"/>
                <w:color w:val="000000"/>
                <w:kern w:val="0"/>
                <w:sz w:val="18"/>
                <w:szCs w:val="18"/>
                <w:lang w:val="en-US" w:eastAsia="zh-CN" w:bidi="ar"/>
              </w:rPr>
              <w:t>38</w:t>
            </w:r>
          </w:p>
        </w:tc>
        <w:tc>
          <w:tcPr>
            <w:tcW w:w="375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kern w:val="2"/>
                <w:sz w:val="18"/>
                <w:szCs w:val="18"/>
                <w:lang w:val="en-US" w:eastAsia="zh-CN" w:bidi="ar-SA"/>
              </w:rPr>
            </w:pPr>
            <w:r>
              <w:rPr>
                <w:rFonts w:hint="eastAsia" w:ascii="宋体" w:hAnsi="宋体" w:eastAsia="宋体" w:cs="宋体"/>
                <w:i w:val="0"/>
                <w:iCs w:val="0"/>
                <w:color w:val="000000"/>
                <w:kern w:val="0"/>
                <w:sz w:val="18"/>
                <w:szCs w:val="18"/>
                <w:u w:val="none"/>
                <w:lang w:val="en-US" w:eastAsia="zh-CN" w:bidi="ar"/>
              </w:rPr>
              <w:t>植物检疫备案</w:t>
            </w:r>
          </w:p>
        </w:tc>
        <w:tc>
          <w:tcPr>
            <w:tcW w:w="11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textAlignment w:val="auto"/>
              <w:rPr>
                <w:rFonts w:hint="default" w:ascii="宋体" w:hAnsi="宋体" w:eastAsia="宋体" w:cs="宋体"/>
                <w:b w:val="0"/>
                <w:bCs/>
                <w:kern w:val="2"/>
                <w:sz w:val="18"/>
                <w:szCs w:val="18"/>
                <w:lang w:val="en-US" w:eastAsia="zh-CN" w:bidi="ar-SA"/>
              </w:rPr>
            </w:pPr>
            <w:r>
              <w:rPr>
                <w:rFonts w:hint="eastAsia" w:ascii="宋体" w:hAnsi="宋体" w:cs="宋体"/>
                <w:b w:val="0"/>
                <w:bCs/>
                <w:kern w:val="2"/>
                <w:sz w:val="18"/>
                <w:szCs w:val="18"/>
                <w:lang w:val="en-US" w:eastAsia="zh-CN" w:bidi="ar-SA"/>
              </w:rPr>
              <w:t>其他职权</w:t>
            </w:r>
          </w:p>
        </w:tc>
        <w:tc>
          <w:tcPr>
            <w:tcW w:w="44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line="240" w:lineRule="auto"/>
              <w:ind w:firstLine="360" w:firstLineChars="200"/>
              <w:textAlignment w:val="auto"/>
              <w:rPr>
                <w:rFonts w:hint="eastAsia" w:ascii="宋体" w:hAnsi="宋体" w:cs="宋体"/>
                <w:b w:val="0"/>
                <w:bCs/>
                <w:sz w:val="18"/>
                <w:szCs w:val="18"/>
                <w:lang w:eastAsia="zh-CN"/>
              </w:rPr>
            </w:pP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河南省人民政府办公厅关于进一步深化县域放权赋能改革的意见</w:t>
            </w:r>
            <w:r>
              <w:rPr>
                <w:rFonts w:hint="eastAsia" w:ascii="宋体" w:hAnsi="宋体" w:eastAsia="宋体" w:cs="宋体"/>
                <w:b w:val="0"/>
                <w:bCs/>
                <w:sz w:val="18"/>
                <w:szCs w:val="18"/>
                <w:lang w:eastAsia="zh-CN"/>
              </w:rPr>
              <w:t>》（</w:t>
            </w:r>
            <w:r>
              <w:rPr>
                <w:rFonts w:hint="eastAsia" w:ascii="宋体" w:hAnsi="宋体" w:eastAsia="宋体" w:cs="宋体"/>
                <w:b w:val="0"/>
                <w:bCs/>
                <w:sz w:val="18"/>
                <w:szCs w:val="18"/>
              </w:rPr>
              <w:t>豫政办〔2022〕99号</w:t>
            </w:r>
            <w:r>
              <w:rPr>
                <w:rFonts w:hint="eastAsia" w:ascii="宋体" w:hAnsi="宋体" w:eastAsia="宋体" w:cs="宋体"/>
                <w:b w:val="0"/>
                <w:bCs/>
                <w:sz w:val="18"/>
                <w:szCs w:val="18"/>
                <w:lang w:eastAsia="zh-CN"/>
              </w:rPr>
              <w:t>）</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中共西华县委机构编制委员会</w:t>
            </w:r>
            <w:r>
              <w:rPr>
                <w:rFonts w:hint="eastAsia" w:ascii="宋体" w:hAnsi="宋体" w:cs="宋体"/>
                <w:b w:val="0"/>
                <w:bCs/>
                <w:sz w:val="18"/>
                <w:szCs w:val="18"/>
                <w:lang w:eastAsia="zh-CN"/>
              </w:rPr>
              <w:t>关于</w:t>
            </w:r>
            <w:r>
              <w:rPr>
                <w:rFonts w:hint="eastAsia" w:ascii="宋体" w:hAnsi="宋体" w:cs="宋体"/>
                <w:b w:val="0"/>
                <w:bCs/>
                <w:sz w:val="18"/>
                <w:szCs w:val="18"/>
                <w:lang w:val="en-US" w:eastAsia="zh-CN"/>
              </w:rPr>
              <w:t>调整权力事项清单</w:t>
            </w:r>
            <w:r>
              <w:rPr>
                <w:rFonts w:hint="eastAsia" w:ascii="宋体" w:hAnsi="宋体" w:cs="宋体"/>
                <w:b w:val="0"/>
                <w:bCs/>
                <w:sz w:val="18"/>
                <w:szCs w:val="18"/>
                <w:lang w:eastAsia="zh-CN"/>
              </w:rPr>
              <w:t>的</w:t>
            </w:r>
            <w:r>
              <w:rPr>
                <w:rFonts w:hint="eastAsia" w:ascii="宋体" w:hAnsi="宋体" w:cs="宋体"/>
                <w:b w:val="0"/>
                <w:bCs/>
                <w:sz w:val="18"/>
                <w:szCs w:val="18"/>
                <w:lang w:val="en-US" w:eastAsia="zh-CN"/>
              </w:rPr>
              <w:t>通知</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西编</w:t>
            </w:r>
            <w:r>
              <w:rPr>
                <w:rFonts w:hint="eastAsia" w:ascii="宋体" w:hAnsi="宋体" w:cs="宋体"/>
                <w:b w:val="0"/>
                <w:bCs/>
                <w:sz w:val="18"/>
                <w:szCs w:val="18"/>
                <w:lang w:eastAsia="zh-CN"/>
              </w:rPr>
              <w:t>〔202</w:t>
            </w:r>
            <w:r>
              <w:rPr>
                <w:rFonts w:hint="eastAsia" w:ascii="宋体" w:hAnsi="宋体" w:cs="宋体"/>
                <w:b w:val="0"/>
                <w:bCs/>
                <w:sz w:val="18"/>
                <w:szCs w:val="18"/>
                <w:lang w:val="en-US" w:eastAsia="zh-CN"/>
              </w:rPr>
              <w:t>3</w:t>
            </w:r>
            <w:r>
              <w:rPr>
                <w:rFonts w:hint="eastAsia" w:ascii="宋体" w:hAnsi="宋体" w:cs="宋体"/>
                <w:b w:val="0"/>
                <w:bCs/>
                <w:sz w:val="18"/>
                <w:szCs w:val="18"/>
                <w:lang w:eastAsia="zh-CN"/>
              </w:rPr>
              <w:t>〕</w:t>
            </w:r>
            <w:r>
              <w:rPr>
                <w:rFonts w:hint="eastAsia" w:ascii="宋体" w:hAnsi="宋体" w:cs="宋体"/>
                <w:b w:val="0"/>
                <w:bCs/>
                <w:sz w:val="18"/>
                <w:szCs w:val="18"/>
                <w:lang w:val="en-US" w:eastAsia="zh-CN"/>
              </w:rPr>
              <w:t>2</w:t>
            </w:r>
            <w:r>
              <w:rPr>
                <w:rFonts w:hint="eastAsia" w:ascii="宋体" w:hAnsi="宋体" w:cs="宋体"/>
                <w:b w:val="0"/>
                <w:bCs/>
                <w:sz w:val="18"/>
                <w:szCs w:val="18"/>
                <w:lang w:eastAsia="zh-CN"/>
              </w:rPr>
              <w:t>号）</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6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8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1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8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90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c>
          <w:tcPr>
            <w:tcW w:w="572"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40" w:lineRule="auto"/>
              <w:ind w:left="0" w:leftChars="0" w:right="0" w:rightChars="0"/>
              <w:jc w:val="center"/>
              <w:textAlignment w:val="auto"/>
              <w:outlineLvl w:val="9"/>
              <w:rPr>
                <w:rFonts w:hint="eastAsia" w:ascii="宋体" w:hAnsi="宋体" w:eastAsia="宋体" w:cs="宋体"/>
                <w:color w:val="000000"/>
                <w:kern w:val="0"/>
                <w:sz w:val="18"/>
                <w:szCs w:val="18"/>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1" w:type="dxa"/>
          <w:trHeight w:val="612" w:hRule="atLeast"/>
        </w:trPr>
        <w:tc>
          <w:tcPr>
            <w:tcW w:w="15100" w:type="dxa"/>
            <w:gridSpan w:val="10"/>
            <w:tcBorders>
              <w:top w:val="single" w:color="auto" w:sz="4" w:space="0"/>
              <w:left w:val="nil"/>
              <w:bottom w:val="nil"/>
              <w:right w:val="nil"/>
            </w:tcBorders>
            <w:vAlign w:val="center"/>
          </w:tcPr>
          <w:p>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right="0" w:rightChars="0"/>
              <w:jc w:val="both"/>
              <w:outlineLvl w:val="9"/>
              <w:rPr>
                <w:rFonts w:hint="eastAsia" w:ascii="宋体" w:hAnsi="宋体" w:eastAsia="宋体" w:cs="宋体"/>
                <w:b w:val="0"/>
                <w:bCs w:val="0"/>
                <w:color w:val="000000"/>
                <w:sz w:val="18"/>
                <w:szCs w:val="18"/>
              </w:rPr>
            </w:pPr>
            <w:r>
              <w:rPr>
                <w:rFonts w:hint="eastAsia" w:ascii="宋体" w:hAnsi="宋体" w:eastAsia="宋体" w:cs="宋体"/>
                <w:b w:val="0"/>
                <w:bCs w:val="0"/>
                <w:color w:val="000000"/>
                <w:kern w:val="0"/>
                <w:sz w:val="18"/>
                <w:szCs w:val="18"/>
                <w:lang w:val="en-US" w:eastAsia="zh-CN" w:bidi="ar"/>
              </w:rPr>
              <w:t xml:space="preserve">                                                                </w:t>
            </w:r>
          </w:p>
        </w:tc>
      </w:tr>
    </w:tbl>
    <w:p>
      <w:pPr>
        <w:rPr>
          <w:rFonts w:hint="eastAsia" w:ascii="楷体_GB2312" w:hAnsi="楷体_GB2312" w:eastAsia="楷体_GB2312" w:cs="楷体_GB2312"/>
          <w:color w:val="000000"/>
          <w:sz w:val="30"/>
          <w:szCs w:val="30"/>
          <w:lang w:eastAsia="zh-CN"/>
        </w:rPr>
        <w:sectPr>
          <w:footerReference r:id="rId3" w:type="default"/>
          <w:pgSz w:w="16838" w:h="11906" w:orient="landscape"/>
          <w:pgMar w:top="1417" w:right="1417" w:bottom="1417" w:left="1134" w:header="851" w:footer="1587" w:gutter="0"/>
          <w:pgBorders>
            <w:top w:val="none" w:sz="0" w:space="0"/>
            <w:left w:val="none" w:sz="0" w:space="0"/>
            <w:bottom w:val="none" w:sz="0" w:space="0"/>
            <w:right w:val="none" w:sz="0" w:space="0"/>
          </w:pgBorders>
          <w:pgNumType w:fmt="numberInDash"/>
          <w:cols w:space="720" w:num="1"/>
          <w:rtlGutter w:val="0"/>
          <w:docGrid w:type="lines" w:linePitch="312" w:charSpace="0"/>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roman"/>
    <w:pitch w:val="default"/>
    <w:sig w:usb0="800002BF" w:usb1="38CF7CFA" w:usb2="00000016" w:usb3="00000000" w:csb0="00040001" w:csb1="00000000"/>
  </w:font>
  <w:font w:name="方正小标宋简体">
    <w:altName w:val="黑体"/>
    <w:panose1 w:val="02010601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hint="eastAsia"/>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3"/>
                            <w:rPr>
                              <w:rStyle w:val="6"/>
                              <w:rFonts w:hint="eastAsia" w:ascii="楷体_GB2312" w:hAnsi="楷体_GB2312" w:eastAsia="楷体_GB2312" w:cs="楷体_GB2312"/>
                              <w:sz w:val="32"/>
                              <w:szCs w:val="32"/>
                            </w:rPr>
                          </w:pPr>
                          <w:r>
                            <w:rPr>
                              <w:rFonts w:hint="eastAsia" w:ascii="楷体_GB2312" w:hAnsi="楷体_GB2312" w:eastAsia="楷体_GB2312" w:cs="楷体_GB2312"/>
                              <w:sz w:val="32"/>
                              <w:szCs w:val="32"/>
                            </w:rPr>
                            <w:fldChar w:fldCharType="begin"/>
                          </w:r>
                          <w:r>
                            <w:rPr>
                              <w:rStyle w:val="6"/>
                              <w:rFonts w:hint="eastAsia" w:ascii="楷体_GB2312" w:hAnsi="楷体_GB2312" w:eastAsia="楷体_GB2312" w:cs="楷体_GB2312"/>
                              <w:sz w:val="32"/>
                              <w:szCs w:val="32"/>
                            </w:rPr>
                            <w:instrText xml:space="preserve">PAGE  </w:instrText>
                          </w:r>
                          <w:r>
                            <w:rPr>
                              <w:rFonts w:hint="eastAsia" w:ascii="楷体_GB2312" w:hAnsi="楷体_GB2312" w:eastAsia="楷体_GB2312" w:cs="楷体_GB2312"/>
                              <w:sz w:val="32"/>
                              <w:szCs w:val="32"/>
                            </w:rPr>
                            <w:fldChar w:fldCharType="separate"/>
                          </w:r>
                          <w:r>
                            <w:rPr>
                              <w:rStyle w:val="6"/>
                              <w:rFonts w:hint="eastAsia" w:ascii="楷体_GB2312" w:hAnsi="楷体_GB2312" w:eastAsia="楷体_GB2312" w:cs="楷体_GB2312"/>
                              <w:sz w:val="32"/>
                              <w:szCs w:val="32"/>
                            </w:rPr>
                            <w:t>21</w:t>
                          </w:r>
                          <w:r>
                            <w:rPr>
                              <w:rFonts w:hint="eastAsia" w:ascii="楷体_GB2312" w:hAnsi="楷体_GB2312" w:eastAsia="楷体_GB2312" w:cs="楷体_GB2312"/>
                              <w:sz w:val="32"/>
                              <w:szCs w:val="32"/>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aGmCS9MAAAAFAQAADwAAAAAAAAABACAAAAAiAAAA&#10;ZHJzL2Rvd25yZXYueG1sUEsBAhQAFAAAAAgAh07iQKaWbUbTAQAApQMAAA4AAAAAAAAAAQAgAAAA&#10;IgEAAGRycy9lMm9Eb2MueG1sUEsFBgAAAAAGAAYAWQEAAGcFAAAAAA==&#10;">
              <v:fill on="f" focussize="0,0"/>
              <v:stroke on="f" weight="1.25pt"/>
              <v:imagedata o:title=""/>
              <o:lock v:ext="edit" aspectratio="f"/>
              <v:textbox inset="0mm,0mm,0mm,0mm" style="mso-fit-shape-to-text:t;">
                <w:txbxContent>
                  <w:p>
                    <w:pPr>
                      <w:pStyle w:val="3"/>
                      <w:rPr>
                        <w:rStyle w:val="6"/>
                        <w:rFonts w:hint="eastAsia" w:ascii="楷体_GB2312" w:hAnsi="楷体_GB2312" w:eastAsia="楷体_GB2312" w:cs="楷体_GB2312"/>
                        <w:sz w:val="32"/>
                        <w:szCs w:val="32"/>
                      </w:rPr>
                    </w:pPr>
                    <w:r>
                      <w:rPr>
                        <w:rFonts w:hint="eastAsia" w:ascii="楷体_GB2312" w:hAnsi="楷体_GB2312" w:eastAsia="楷体_GB2312" w:cs="楷体_GB2312"/>
                        <w:sz w:val="32"/>
                        <w:szCs w:val="32"/>
                      </w:rPr>
                      <w:fldChar w:fldCharType="begin"/>
                    </w:r>
                    <w:r>
                      <w:rPr>
                        <w:rStyle w:val="6"/>
                        <w:rFonts w:hint="eastAsia" w:ascii="楷体_GB2312" w:hAnsi="楷体_GB2312" w:eastAsia="楷体_GB2312" w:cs="楷体_GB2312"/>
                        <w:sz w:val="32"/>
                        <w:szCs w:val="32"/>
                      </w:rPr>
                      <w:instrText xml:space="preserve">PAGE  </w:instrText>
                    </w:r>
                    <w:r>
                      <w:rPr>
                        <w:rFonts w:hint="eastAsia" w:ascii="楷体_GB2312" w:hAnsi="楷体_GB2312" w:eastAsia="楷体_GB2312" w:cs="楷体_GB2312"/>
                        <w:sz w:val="32"/>
                        <w:szCs w:val="32"/>
                      </w:rPr>
                      <w:fldChar w:fldCharType="separate"/>
                    </w:r>
                    <w:r>
                      <w:rPr>
                        <w:rStyle w:val="6"/>
                        <w:rFonts w:hint="eastAsia" w:ascii="楷体_GB2312" w:hAnsi="楷体_GB2312" w:eastAsia="楷体_GB2312" w:cs="楷体_GB2312"/>
                        <w:sz w:val="32"/>
                        <w:szCs w:val="32"/>
                      </w:rPr>
                      <w:t>21</w:t>
                    </w:r>
                    <w:r>
                      <w:rPr>
                        <w:rFonts w:hint="eastAsia" w:ascii="楷体_GB2312" w:hAnsi="楷体_GB2312" w:eastAsia="楷体_GB2312" w:cs="楷体_GB2312"/>
                        <w:sz w:val="32"/>
                        <w:szCs w:val="32"/>
                      </w:rPr>
                      <w:fldChar w:fldCharType="end"/>
                    </w:r>
                  </w:p>
                </w:txbxContent>
              </v:textbox>
            </v:shape>
          </w:pict>
        </mc:Fallback>
      </mc:AlternateContent>
    </w:r>
    <w:r>
      <w:rPr>
        <w:rFonts w:hint="eastAsia"/>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U3ZWNkOGZlZmY3Mzg2MWIwMDc1Y2NjMWMwM2I5OWYifQ=="/>
  </w:docVars>
  <w:rsids>
    <w:rsidRoot w:val="00000000"/>
    <w:rsid w:val="7DE40A0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unhideWhenUsed/>
    <w:qFormat/>
    <w:uiPriority w:val="99"/>
    <w:rPr>
      <w:sz w:val="32"/>
    </w:rPr>
  </w:style>
  <w:style w:type="paragraph" w:styleId="3">
    <w:name w:val="footer"/>
    <w:basedOn w:val="1"/>
    <w:qFormat/>
    <w:uiPriority w:val="0"/>
    <w:pPr>
      <w:tabs>
        <w:tab w:val="center" w:pos="4153"/>
        <w:tab w:val="right" w:pos="8306"/>
      </w:tabs>
      <w:snapToGrid w:val="0"/>
      <w:jc w:val="left"/>
    </w:pPr>
    <w:rPr>
      <w:sz w:val="18"/>
      <w:szCs w:val="18"/>
    </w:rPr>
  </w:style>
  <w:style w:type="character" w:styleId="6">
    <w:name w:val="page number"/>
    <w:basedOn w:val="5"/>
    <w:qFormat/>
    <w:uiPriority w:val="0"/>
  </w:style>
  <w:style w:type="paragraph" w:customStyle="1" w:styleId="7">
    <w:name w:val="列出段落1"/>
    <w:basedOn w:val="1"/>
    <w:qFormat/>
    <w:uiPriority w:val="0"/>
    <w:pPr>
      <w:widowControl/>
      <w:ind w:firstLine="420" w:firstLineChars="200"/>
      <w:jc w:val="left"/>
    </w:pPr>
    <w:rPr>
      <w:rFonts w:ascii="宋体" w:hAnsi="宋体" w:cs="宋体"/>
      <w:kern w:val="0"/>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LiJie</dc:creator>
  <cp:lastModifiedBy>月夜，花裳</cp:lastModifiedBy>
  <dcterms:modified xsi:type="dcterms:W3CDTF">2023-05-04T02:25:26Z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0DB3947DE64349BE9F25D37CD30569C1_12</vt:lpwstr>
  </property>
</Properties>
</file>