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760" w:lineRule="exact"/>
        <w:jc w:val="center"/>
        <w:rPr>
          <w:rFonts w:hint="default" w:ascii="方正小标宋简体" w:hAnsi="黑体" w:eastAsia="方正小标宋简体"/>
          <w:sz w:val="48"/>
          <w:szCs w:val="48"/>
          <w:lang w:val="en-US" w:eastAsia="zh-CN"/>
        </w:rPr>
      </w:pPr>
    </w:p>
    <w:p>
      <w:pPr>
        <w:spacing w:line="760" w:lineRule="exact"/>
        <w:jc w:val="center"/>
        <w:rPr>
          <w:rFonts w:ascii="方正小标宋简体" w:hAnsi="黑体" w:eastAsia="方正小标宋简体"/>
          <w:sz w:val="48"/>
          <w:szCs w:val="48"/>
        </w:rPr>
      </w:pPr>
    </w:p>
    <w:p>
      <w:pPr>
        <w:spacing w:line="780" w:lineRule="exact"/>
        <w:jc w:val="center"/>
        <w:rPr>
          <w:rFonts w:hint="eastAsia" w:ascii="方正小标宋简体" w:hAnsi="黑体" w:eastAsia="方正小标宋简体"/>
          <w:sz w:val="48"/>
          <w:szCs w:val="48"/>
        </w:rPr>
      </w:pPr>
      <w:r>
        <w:rPr>
          <w:rFonts w:hint="eastAsia" w:ascii="方正小标宋简体" w:hAnsi="黑体" w:eastAsia="方正小标宋简体"/>
          <w:sz w:val="48"/>
          <w:szCs w:val="48"/>
        </w:rPr>
        <w:t>西华县国民经济和社会发展第十四个五年规划和二〇三五年远景目标纲要</w:t>
      </w:r>
    </w:p>
    <w:p>
      <w:pPr>
        <w:spacing w:line="780" w:lineRule="exact"/>
        <w:jc w:val="center"/>
        <w:rPr>
          <w:rFonts w:hint="eastAsia" w:eastAsia="方正小标宋简体"/>
          <w:lang w:eastAsia="zh-CN"/>
        </w:rPr>
      </w:pPr>
    </w:p>
    <w:p>
      <w:pPr>
        <w:spacing w:line="360" w:lineRule="auto"/>
        <w:ind w:firstLine="960" w:firstLineChars="200"/>
        <w:jc w:val="center"/>
        <w:rPr>
          <w:rFonts w:ascii="方正小标宋简体" w:hAnsi="黑体" w:eastAsia="方正小标宋简体"/>
          <w:sz w:val="48"/>
          <w:szCs w:val="48"/>
        </w:rPr>
      </w:pPr>
    </w:p>
    <w:p>
      <w:pPr>
        <w:spacing w:line="360" w:lineRule="auto"/>
        <w:jc w:val="center"/>
        <w:rPr>
          <w:rFonts w:ascii="方正小标宋简体" w:hAnsi="黑体" w:eastAsia="方正小标宋简体"/>
          <w:sz w:val="44"/>
          <w:szCs w:val="44"/>
        </w:rPr>
      </w:pPr>
    </w:p>
    <w:p>
      <w:pPr>
        <w:spacing w:line="360" w:lineRule="auto"/>
        <w:jc w:val="center"/>
        <w:rPr>
          <w:rFonts w:ascii="方正小标宋简体" w:hAnsi="黑体" w:eastAsia="方正小标宋简体"/>
          <w:sz w:val="44"/>
          <w:szCs w:val="44"/>
        </w:rPr>
      </w:pPr>
    </w:p>
    <w:p>
      <w:pPr>
        <w:spacing w:line="360" w:lineRule="auto"/>
        <w:jc w:val="center"/>
        <w:rPr>
          <w:rFonts w:ascii="方正小标宋简体" w:hAnsi="黑体" w:eastAsia="方正小标宋简体"/>
          <w:sz w:val="44"/>
          <w:szCs w:val="44"/>
        </w:rPr>
      </w:pPr>
    </w:p>
    <w:p>
      <w:pPr>
        <w:spacing w:line="360" w:lineRule="auto"/>
        <w:jc w:val="center"/>
        <w:rPr>
          <w:rFonts w:ascii="方正小标宋简体" w:hAnsi="黑体" w:eastAsia="方正小标宋简体"/>
          <w:sz w:val="44"/>
          <w:szCs w:val="44"/>
        </w:rPr>
      </w:pPr>
    </w:p>
    <w:p>
      <w:pPr>
        <w:spacing w:line="360" w:lineRule="auto"/>
        <w:jc w:val="center"/>
        <w:rPr>
          <w:rFonts w:ascii="方正小标宋简体" w:hAnsi="黑体" w:eastAsia="方正小标宋简体"/>
          <w:sz w:val="44"/>
          <w:szCs w:val="44"/>
        </w:rPr>
      </w:pPr>
    </w:p>
    <w:p>
      <w:pPr>
        <w:spacing w:line="360" w:lineRule="auto"/>
        <w:jc w:val="center"/>
        <w:rPr>
          <w:rFonts w:ascii="方正小标宋简体" w:hAnsi="黑体" w:eastAsia="方正小标宋简体"/>
          <w:sz w:val="44"/>
          <w:szCs w:val="44"/>
        </w:rPr>
      </w:pPr>
    </w:p>
    <w:p>
      <w:pPr>
        <w:spacing w:line="360" w:lineRule="auto"/>
        <w:jc w:val="center"/>
        <w:rPr>
          <w:rFonts w:ascii="方正小标宋简体" w:hAnsi="黑体" w:eastAsia="方正小标宋简体"/>
          <w:sz w:val="44"/>
          <w:szCs w:val="44"/>
        </w:rPr>
      </w:pPr>
    </w:p>
    <w:p>
      <w:pPr>
        <w:spacing w:line="360" w:lineRule="auto"/>
        <w:jc w:val="center"/>
        <w:rPr>
          <w:rFonts w:ascii="方正小标宋简体" w:hAnsi="黑体" w:eastAsia="方正小标宋简体"/>
          <w:spacing w:val="32"/>
          <w:sz w:val="32"/>
          <w:szCs w:val="32"/>
        </w:rPr>
      </w:pPr>
      <w:r>
        <w:rPr>
          <w:rFonts w:hint="eastAsia" w:ascii="方正小标宋简体" w:hAnsi="黑体" w:eastAsia="方正小标宋简体"/>
          <w:spacing w:val="32"/>
          <w:sz w:val="32"/>
          <w:szCs w:val="32"/>
        </w:rPr>
        <w:t>西华县发展和改革委员会</w:t>
      </w:r>
    </w:p>
    <w:p>
      <w:pPr>
        <w:spacing w:line="360" w:lineRule="auto"/>
        <w:jc w:val="center"/>
        <w:rPr>
          <w:rFonts w:ascii="方正小标宋简体" w:hAnsi="黑体" w:eastAsia="方正小标宋简体"/>
          <w:spacing w:val="32"/>
          <w:sz w:val="32"/>
          <w:szCs w:val="32"/>
        </w:rPr>
      </w:pPr>
      <w:r>
        <w:rPr>
          <w:rFonts w:hint="eastAsia" w:ascii="方正小标宋简体" w:hAnsi="黑体" w:eastAsia="方正小标宋简体"/>
          <w:spacing w:val="32"/>
          <w:sz w:val="32"/>
          <w:szCs w:val="32"/>
        </w:rPr>
        <w:t>二</w:t>
      </w:r>
      <w:r>
        <w:rPr>
          <w:rFonts w:hint="eastAsia" w:ascii="方正小标宋简体" w:hAnsi="黑体" w:eastAsia="黑体"/>
          <w:spacing w:val="32"/>
          <w:sz w:val="32"/>
          <w:szCs w:val="32"/>
        </w:rPr>
        <w:t>〇</w:t>
      </w:r>
      <w:r>
        <w:rPr>
          <w:rFonts w:hint="eastAsia" w:ascii="方正小标宋简体" w:hAnsi="黑体" w:eastAsia="方正小标宋简体"/>
          <w:spacing w:val="32"/>
          <w:sz w:val="32"/>
          <w:szCs w:val="32"/>
        </w:rPr>
        <w:t>二</w:t>
      </w:r>
      <w:r>
        <w:rPr>
          <w:rFonts w:hint="eastAsia" w:ascii="方正小标宋简体" w:hAnsi="黑体" w:eastAsia="黑体"/>
          <w:spacing w:val="32"/>
          <w:sz w:val="32"/>
          <w:szCs w:val="32"/>
        </w:rPr>
        <w:t>一</w:t>
      </w:r>
      <w:r>
        <w:rPr>
          <w:rFonts w:hint="eastAsia" w:ascii="方正小标宋简体" w:hAnsi="黑体" w:eastAsia="方正小标宋简体"/>
          <w:spacing w:val="32"/>
          <w:sz w:val="32"/>
          <w:szCs w:val="32"/>
        </w:rPr>
        <w:t>年九月</w:t>
      </w:r>
    </w:p>
    <w:p>
      <w:pPr>
        <w:spacing w:line="360" w:lineRule="auto"/>
        <w:jc w:val="center"/>
        <w:rPr>
          <w:rFonts w:ascii="方正小标宋简体" w:hAnsi="黑体" w:eastAsia="方正小标宋简体"/>
          <w:spacing w:val="32"/>
          <w:sz w:val="32"/>
          <w:szCs w:val="32"/>
        </w:rPr>
        <w:sectPr>
          <w:headerReference r:id="rId5" w:type="first"/>
          <w:footerReference r:id="rId8" w:type="first"/>
          <w:headerReference r:id="rId3" w:type="default"/>
          <w:footerReference r:id="rId6" w:type="default"/>
          <w:headerReference r:id="rId4" w:type="even"/>
          <w:footerReference r:id="rId7" w:type="even"/>
          <w:pgSz w:w="11906" w:h="16838"/>
          <w:pgMar w:top="1440" w:right="1800" w:bottom="1440" w:left="1800" w:header="851" w:footer="992" w:gutter="0"/>
          <w:cols w:space="720" w:num="1"/>
          <w:titlePg/>
          <w:docGrid w:type="lines" w:linePitch="312" w:charSpace="0"/>
        </w:sectPr>
      </w:pPr>
    </w:p>
    <w:p>
      <w:pPr>
        <w:spacing w:line="360" w:lineRule="auto"/>
        <w:jc w:val="center"/>
        <w:rPr>
          <w:rFonts w:ascii="方正小标宋简体" w:hAnsi="黑体" w:eastAsia="方正小标宋简体"/>
          <w:spacing w:val="32"/>
          <w:sz w:val="32"/>
          <w:szCs w:val="32"/>
        </w:rPr>
      </w:pPr>
      <w:r>
        <w:rPr>
          <w:rFonts w:hint="eastAsia" w:ascii="方正小标宋简体" w:hAnsi="黑体" w:eastAsia="方正小标宋简体"/>
          <w:spacing w:val="32"/>
          <w:sz w:val="32"/>
          <w:szCs w:val="32"/>
        </w:rPr>
        <w:t>目 录</w:t>
      </w:r>
    </w:p>
    <w:p>
      <w:pPr>
        <w:pStyle w:val="8"/>
        <w:tabs>
          <w:tab w:val="right" w:leader="dot" w:pos="8296"/>
        </w:tabs>
        <w:spacing w:line="360" w:lineRule="auto"/>
        <w:rPr>
          <w:rFonts w:asciiTheme="minorHAnsi" w:hAnsiTheme="minorHAnsi" w:eastAsiaTheme="minorEastAsia" w:cstheme="minorBidi"/>
          <w:sz w:val="28"/>
          <w:szCs w:val="28"/>
        </w:rPr>
      </w:pPr>
      <w:r>
        <w:rPr>
          <w:rFonts w:ascii="方正小标宋简体" w:hAnsi="黑体" w:eastAsia="方正小标宋简体"/>
          <w:spacing w:val="32"/>
          <w:sz w:val="28"/>
          <w:szCs w:val="28"/>
        </w:rPr>
        <w:fldChar w:fldCharType="begin"/>
      </w:r>
      <w:r>
        <w:rPr>
          <w:rFonts w:hint="eastAsia" w:ascii="方正小标宋简体" w:hAnsi="黑体" w:eastAsia="方正小标宋简体"/>
          <w:spacing w:val="32"/>
          <w:sz w:val="28"/>
          <w:szCs w:val="28"/>
        </w:rPr>
        <w:instrText xml:space="preserve">TOC \o "1-3" \h \z \u</w:instrText>
      </w:r>
      <w:r>
        <w:rPr>
          <w:rFonts w:ascii="方正小标宋简体" w:hAnsi="黑体" w:eastAsia="方正小标宋简体"/>
          <w:spacing w:val="32"/>
          <w:sz w:val="28"/>
          <w:szCs w:val="28"/>
        </w:rPr>
        <w:fldChar w:fldCharType="separate"/>
      </w:r>
      <w:r>
        <w:fldChar w:fldCharType="begin"/>
      </w:r>
      <w:r>
        <w:instrText xml:space="preserve"> HYPERLINK \l "_Toc65514247" </w:instrText>
      </w:r>
      <w:r>
        <w:fldChar w:fldCharType="separate"/>
      </w:r>
      <w:r>
        <w:rPr>
          <w:rStyle w:val="14"/>
          <w:rFonts w:hint="eastAsia" w:ascii="黑体" w:hAnsi="黑体" w:eastAsia="黑体"/>
          <w:color w:val="auto"/>
          <w:sz w:val="28"/>
          <w:szCs w:val="28"/>
        </w:rPr>
        <w:t>序言</w:t>
      </w:r>
      <w:r>
        <w:rPr>
          <w:sz w:val="28"/>
          <w:szCs w:val="28"/>
        </w:rPr>
        <w:tab/>
      </w:r>
      <w:r>
        <w:rPr>
          <w:sz w:val="28"/>
          <w:szCs w:val="28"/>
        </w:rPr>
        <w:fldChar w:fldCharType="begin"/>
      </w:r>
      <w:r>
        <w:rPr>
          <w:sz w:val="28"/>
          <w:szCs w:val="28"/>
        </w:rPr>
        <w:instrText xml:space="preserve"> PAGEREF _Toc65514247 \h </w:instrText>
      </w:r>
      <w:r>
        <w:rPr>
          <w:sz w:val="28"/>
          <w:szCs w:val="28"/>
        </w:rPr>
        <w:fldChar w:fldCharType="separate"/>
      </w:r>
      <w:r>
        <w:rPr>
          <w:sz w:val="28"/>
          <w:szCs w:val="28"/>
        </w:rPr>
        <w:t>1</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"_Toc65514248" </w:instrText>
      </w:r>
      <w:r>
        <w:fldChar w:fldCharType="separate"/>
      </w:r>
      <w:r>
        <w:rPr>
          <w:rStyle w:val="14"/>
          <w:rFonts w:hint="eastAsia" w:ascii="黑体" w:hAnsi="黑体" w:eastAsia="黑体"/>
          <w:color w:val="auto"/>
          <w:sz w:val="28"/>
          <w:szCs w:val="28"/>
        </w:rPr>
        <w:t>第一章</w:t>
      </w:r>
      <w:r>
        <w:rPr>
          <w:rStyle w:val="14"/>
          <w:rFonts w:hint="eastAsia" w:ascii="黑体" w:hAnsi="黑体" w:eastAsia="黑体" w:cs="黑体"/>
          <w:color w:val="auto"/>
          <w:spacing w:val="6"/>
          <w:sz w:val="28"/>
          <w:szCs w:val="28"/>
        </w:rPr>
        <w:t>全面建成小康社会，开启</w:t>
      </w:r>
      <w:r>
        <w:rPr>
          <w:rStyle w:val="14"/>
          <w:rFonts w:ascii="黑体" w:hAnsi="黑体" w:eastAsia="黑体" w:cs="黑体"/>
          <w:color w:val="auto"/>
          <w:spacing w:val="6"/>
          <w:sz w:val="28"/>
          <w:szCs w:val="28"/>
        </w:rPr>
        <w:t>“</w:t>
      </w:r>
      <w:r>
        <w:rPr>
          <w:rStyle w:val="14"/>
          <w:rFonts w:hint="eastAsia" w:ascii="黑体" w:hAnsi="黑体" w:eastAsia="黑体" w:cs="黑体"/>
          <w:color w:val="auto"/>
          <w:spacing w:val="6"/>
          <w:sz w:val="28"/>
          <w:szCs w:val="28"/>
        </w:rPr>
        <w:t>四区</w:t>
      </w:r>
      <w:r>
        <w:rPr>
          <w:rStyle w:val="14"/>
          <w:rFonts w:ascii="黑体" w:hAnsi="黑体" w:eastAsia="黑体" w:cs="黑体"/>
          <w:color w:val="auto"/>
          <w:spacing w:val="6"/>
          <w:sz w:val="28"/>
          <w:szCs w:val="28"/>
        </w:rPr>
        <w:t>”</w:t>
      </w:r>
      <w:r>
        <w:rPr>
          <w:rStyle w:val="14"/>
          <w:rFonts w:hint="eastAsia" w:ascii="黑体" w:hAnsi="黑体" w:eastAsia="黑体" w:cs="黑体"/>
          <w:color w:val="auto"/>
          <w:spacing w:val="6"/>
          <w:sz w:val="28"/>
          <w:szCs w:val="28"/>
        </w:rPr>
        <w:t>统筹战略新征程，谱写</w:t>
      </w:r>
      <w:r>
        <w:rPr>
          <w:rStyle w:val="14"/>
          <w:rFonts w:ascii="黑体" w:hAnsi="黑体" w:eastAsia="黑体" w:cs="黑体"/>
          <w:color w:val="auto"/>
          <w:spacing w:val="6"/>
          <w:sz w:val="28"/>
          <w:szCs w:val="28"/>
        </w:rPr>
        <w:t>“</w:t>
      </w:r>
      <w:r>
        <w:rPr>
          <w:rStyle w:val="14"/>
          <w:rFonts w:hint="eastAsia" w:ascii="黑体" w:hAnsi="黑体" w:eastAsia="黑体" w:cs="黑体"/>
          <w:color w:val="auto"/>
          <w:spacing w:val="6"/>
          <w:sz w:val="28"/>
          <w:szCs w:val="28"/>
        </w:rPr>
        <w:t>四个西华</w:t>
      </w:r>
      <w:r>
        <w:rPr>
          <w:rStyle w:val="14"/>
          <w:rFonts w:ascii="黑体" w:hAnsi="黑体" w:eastAsia="黑体" w:cs="黑体"/>
          <w:color w:val="auto"/>
          <w:spacing w:val="6"/>
          <w:sz w:val="28"/>
          <w:szCs w:val="28"/>
        </w:rPr>
        <w:t>”</w:t>
      </w:r>
      <w:r>
        <w:rPr>
          <w:rStyle w:val="14"/>
          <w:rFonts w:hint="eastAsia" w:ascii="黑体" w:hAnsi="黑体" w:eastAsia="黑体" w:cs="黑体"/>
          <w:color w:val="auto"/>
          <w:spacing w:val="6"/>
          <w:sz w:val="28"/>
          <w:szCs w:val="28"/>
        </w:rPr>
        <w:t>建设新篇章</w:t>
      </w:r>
      <w:r>
        <w:rPr>
          <w:sz w:val="28"/>
          <w:szCs w:val="28"/>
        </w:rPr>
        <w:tab/>
      </w:r>
      <w:r>
        <w:rPr>
          <w:sz w:val="28"/>
          <w:szCs w:val="28"/>
        </w:rPr>
        <w:fldChar w:fldCharType="begin"/>
      </w:r>
      <w:r>
        <w:rPr>
          <w:sz w:val="28"/>
          <w:szCs w:val="28"/>
        </w:rPr>
        <w:instrText xml:space="preserve"> PAGEREF _Toc65514248 \h </w:instrText>
      </w:r>
      <w:r>
        <w:rPr>
          <w:sz w:val="28"/>
          <w:szCs w:val="28"/>
        </w:rPr>
        <w:fldChar w:fldCharType="separate"/>
      </w:r>
      <w:r>
        <w:rPr>
          <w:sz w:val="28"/>
          <w:szCs w:val="28"/>
        </w:rPr>
        <w:t>1</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"_Toc65514249" </w:instrText>
      </w:r>
      <w:r>
        <w:fldChar w:fldCharType="separate"/>
      </w:r>
      <w:r>
        <w:rPr>
          <w:rStyle w:val="14"/>
          <w:rFonts w:hint="eastAsia" w:ascii="仿宋_GB2312" w:eastAsia="仿宋_GB2312"/>
          <w:color w:val="auto"/>
          <w:sz w:val="28"/>
          <w:szCs w:val="28"/>
        </w:rPr>
        <w:t>第一节</w:t>
      </w:r>
      <w:r>
        <w:rPr>
          <w:rStyle w:val="14"/>
          <w:rFonts w:hint="eastAsia" w:ascii="仿宋_GB2312" w:eastAsia="仿宋_GB2312"/>
          <w:bCs/>
          <w:color w:val="auto"/>
          <w:sz w:val="28"/>
          <w:szCs w:val="28"/>
        </w:rPr>
        <w:t>全面建设小康社会取得决定性成就</w:t>
      </w:r>
      <w:r>
        <w:rPr>
          <w:sz w:val="28"/>
          <w:szCs w:val="28"/>
        </w:rPr>
        <w:tab/>
      </w:r>
      <w:r>
        <w:rPr>
          <w:sz w:val="28"/>
          <w:szCs w:val="28"/>
        </w:rPr>
        <w:fldChar w:fldCharType="begin"/>
      </w:r>
      <w:r>
        <w:rPr>
          <w:sz w:val="28"/>
          <w:szCs w:val="28"/>
        </w:rPr>
        <w:instrText xml:space="preserve"> PAGEREF _Toc65514249 \h </w:instrText>
      </w:r>
      <w:r>
        <w:rPr>
          <w:sz w:val="28"/>
          <w:szCs w:val="28"/>
        </w:rPr>
        <w:fldChar w:fldCharType="separate"/>
      </w:r>
      <w:r>
        <w:rPr>
          <w:sz w:val="28"/>
          <w:szCs w:val="28"/>
        </w:rPr>
        <w:t>1</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"_Toc65514250" </w:instrText>
      </w:r>
      <w:r>
        <w:fldChar w:fldCharType="separate"/>
      </w:r>
      <w:r>
        <w:rPr>
          <w:rStyle w:val="14"/>
          <w:rFonts w:hint="eastAsia" w:ascii="仿宋_GB2312" w:eastAsia="仿宋_GB2312"/>
          <w:color w:val="auto"/>
          <w:sz w:val="28"/>
          <w:szCs w:val="28"/>
        </w:rPr>
        <w:t>第二节新发展阶段面临新机遇新挑战</w:t>
      </w:r>
      <w:r>
        <w:rPr>
          <w:sz w:val="28"/>
          <w:szCs w:val="28"/>
        </w:rPr>
        <w:tab/>
      </w:r>
      <w:r>
        <w:rPr>
          <w:sz w:val="28"/>
          <w:szCs w:val="28"/>
        </w:rPr>
        <w:fldChar w:fldCharType="begin"/>
      </w:r>
      <w:r>
        <w:rPr>
          <w:sz w:val="28"/>
          <w:szCs w:val="28"/>
        </w:rPr>
        <w:instrText xml:space="preserve"> PAGEREF _Toc65514250 \h </w:instrText>
      </w:r>
      <w:r>
        <w:rPr>
          <w:sz w:val="28"/>
          <w:szCs w:val="28"/>
        </w:rPr>
        <w:fldChar w:fldCharType="separate"/>
      </w:r>
      <w:r>
        <w:rPr>
          <w:sz w:val="28"/>
          <w:szCs w:val="28"/>
        </w:rPr>
        <w:t>12</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"_Toc65514251" </w:instrText>
      </w:r>
      <w:r>
        <w:fldChar w:fldCharType="separate"/>
      </w:r>
      <w:r>
        <w:rPr>
          <w:rStyle w:val="14"/>
          <w:rFonts w:hint="eastAsia" w:ascii="黑体" w:hAnsi="黑体" w:eastAsia="黑体"/>
          <w:color w:val="auto"/>
          <w:sz w:val="28"/>
          <w:szCs w:val="28"/>
        </w:rPr>
        <w:t>第二章擘画新时代发展蓝图，明晰“十四五”发展思路目标</w:t>
      </w:r>
      <w:r>
        <w:rPr>
          <w:sz w:val="28"/>
          <w:szCs w:val="28"/>
        </w:rPr>
        <w:tab/>
      </w:r>
      <w:r>
        <w:rPr>
          <w:sz w:val="28"/>
          <w:szCs w:val="28"/>
        </w:rPr>
        <w:fldChar w:fldCharType="begin"/>
      </w:r>
      <w:r>
        <w:rPr>
          <w:sz w:val="28"/>
          <w:szCs w:val="28"/>
        </w:rPr>
        <w:instrText xml:space="preserve"> PAGEREF _Toc65514251 \h </w:instrText>
      </w:r>
      <w:r>
        <w:rPr>
          <w:sz w:val="28"/>
          <w:szCs w:val="28"/>
        </w:rPr>
        <w:fldChar w:fldCharType="separate"/>
      </w:r>
      <w:r>
        <w:rPr>
          <w:sz w:val="28"/>
          <w:szCs w:val="28"/>
        </w:rPr>
        <w:t>14</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"_Toc65514252" </w:instrText>
      </w:r>
      <w:r>
        <w:fldChar w:fldCharType="separate"/>
      </w:r>
      <w:r>
        <w:rPr>
          <w:rStyle w:val="14"/>
          <w:rFonts w:hint="eastAsia" w:ascii="仿宋_GB2312" w:eastAsia="仿宋_GB2312"/>
          <w:color w:val="auto"/>
          <w:sz w:val="28"/>
          <w:szCs w:val="28"/>
        </w:rPr>
        <w:t>第一节总体思路</w:t>
      </w:r>
      <w:r>
        <w:rPr>
          <w:sz w:val="28"/>
          <w:szCs w:val="28"/>
        </w:rPr>
        <w:tab/>
      </w:r>
      <w:r>
        <w:rPr>
          <w:sz w:val="28"/>
          <w:szCs w:val="28"/>
        </w:rPr>
        <w:fldChar w:fldCharType="begin"/>
      </w:r>
      <w:r>
        <w:rPr>
          <w:sz w:val="28"/>
          <w:szCs w:val="28"/>
        </w:rPr>
        <w:instrText xml:space="preserve"> PAGEREF _Toc65514252 \h </w:instrText>
      </w:r>
      <w:r>
        <w:rPr>
          <w:sz w:val="28"/>
          <w:szCs w:val="28"/>
        </w:rPr>
        <w:fldChar w:fldCharType="separate"/>
      </w:r>
      <w:r>
        <w:rPr>
          <w:sz w:val="28"/>
          <w:szCs w:val="28"/>
        </w:rPr>
        <w:t>14</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"_Toc65514253" </w:instrText>
      </w:r>
      <w:r>
        <w:fldChar w:fldCharType="separate"/>
      </w:r>
      <w:r>
        <w:rPr>
          <w:rStyle w:val="14"/>
          <w:rFonts w:hint="eastAsia" w:ascii="仿宋_GB2312" w:eastAsia="仿宋_GB2312"/>
          <w:color w:val="auto"/>
          <w:sz w:val="28"/>
          <w:szCs w:val="28"/>
        </w:rPr>
        <w:t>第二节基本原则</w:t>
      </w:r>
      <w:r>
        <w:rPr>
          <w:sz w:val="28"/>
          <w:szCs w:val="28"/>
        </w:rPr>
        <w:tab/>
      </w:r>
      <w:r>
        <w:rPr>
          <w:sz w:val="28"/>
          <w:szCs w:val="28"/>
        </w:rPr>
        <w:fldChar w:fldCharType="begin"/>
      </w:r>
      <w:r>
        <w:rPr>
          <w:sz w:val="28"/>
          <w:szCs w:val="28"/>
        </w:rPr>
        <w:instrText xml:space="preserve"> PAGEREF _Toc65514253 \h </w:instrText>
      </w:r>
      <w:r>
        <w:rPr>
          <w:sz w:val="28"/>
          <w:szCs w:val="28"/>
        </w:rPr>
        <w:fldChar w:fldCharType="separate"/>
      </w:r>
      <w:r>
        <w:rPr>
          <w:sz w:val="28"/>
          <w:szCs w:val="28"/>
        </w:rPr>
        <w:t>15</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"_Toc65514254" </w:instrText>
      </w:r>
      <w:r>
        <w:fldChar w:fldCharType="separate"/>
      </w:r>
      <w:r>
        <w:rPr>
          <w:rStyle w:val="14"/>
          <w:rFonts w:hint="eastAsia" w:ascii="仿宋_GB2312" w:eastAsia="仿宋_GB2312"/>
          <w:color w:val="auto"/>
          <w:sz w:val="28"/>
          <w:szCs w:val="28"/>
        </w:rPr>
        <w:t>第三节战略路径</w:t>
      </w:r>
      <w:r>
        <w:rPr>
          <w:sz w:val="28"/>
          <w:szCs w:val="28"/>
        </w:rPr>
        <w:tab/>
      </w:r>
      <w:r>
        <w:rPr>
          <w:sz w:val="28"/>
          <w:szCs w:val="28"/>
        </w:rPr>
        <w:fldChar w:fldCharType="begin"/>
      </w:r>
      <w:r>
        <w:rPr>
          <w:sz w:val="28"/>
          <w:szCs w:val="28"/>
        </w:rPr>
        <w:instrText xml:space="preserve"> PAGEREF _Toc65514254 \h </w:instrText>
      </w:r>
      <w:r>
        <w:rPr>
          <w:sz w:val="28"/>
          <w:szCs w:val="28"/>
        </w:rPr>
        <w:fldChar w:fldCharType="separate"/>
      </w:r>
      <w:r>
        <w:rPr>
          <w:sz w:val="28"/>
          <w:szCs w:val="28"/>
        </w:rPr>
        <w:t>17</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"_Toc65514255" </w:instrText>
      </w:r>
      <w:r>
        <w:fldChar w:fldCharType="separate"/>
      </w:r>
      <w:r>
        <w:rPr>
          <w:rStyle w:val="14"/>
          <w:rFonts w:hint="eastAsia" w:ascii="仿宋_GB2312" w:eastAsia="仿宋_GB2312"/>
          <w:color w:val="auto"/>
          <w:sz w:val="28"/>
          <w:szCs w:val="28"/>
        </w:rPr>
        <w:t>第四节战略愿景</w:t>
      </w:r>
      <w:r>
        <w:rPr>
          <w:sz w:val="28"/>
          <w:szCs w:val="28"/>
        </w:rPr>
        <w:tab/>
      </w:r>
      <w:r>
        <w:rPr>
          <w:sz w:val="28"/>
          <w:szCs w:val="28"/>
        </w:rPr>
        <w:fldChar w:fldCharType="begin"/>
      </w:r>
      <w:r>
        <w:rPr>
          <w:sz w:val="28"/>
          <w:szCs w:val="28"/>
        </w:rPr>
        <w:instrText xml:space="preserve"> PAGEREF _Toc65514255 \h </w:instrText>
      </w:r>
      <w:r>
        <w:rPr>
          <w:sz w:val="28"/>
          <w:szCs w:val="28"/>
        </w:rPr>
        <w:fldChar w:fldCharType="separate"/>
      </w:r>
      <w:r>
        <w:rPr>
          <w:sz w:val="28"/>
          <w:szCs w:val="28"/>
        </w:rPr>
        <w:t>19</w:t>
      </w:r>
      <w:r>
        <w:rPr>
          <w:sz w:val="28"/>
          <w:szCs w:val="28"/>
        </w:rPr>
        <w:fldChar w:fldCharType="end"/>
      </w:r>
      <w:r>
        <w:rPr>
          <w:sz w:val="28"/>
          <w:szCs w:val="28"/>
        </w:rPr>
        <w:fldChar w:fldCharType="end"/>
      </w:r>
    </w:p>
    <w:p>
      <w:pPr>
        <w:pStyle w:val="5"/>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"_Toc65514256" </w:instrText>
      </w:r>
      <w:r>
        <w:fldChar w:fldCharType="separate"/>
      </w:r>
      <w:r>
        <w:rPr>
          <w:rStyle w:val="14"/>
          <w:rFonts w:hint="eastAsia" w:ascii="Times New Roman" w:eastAsia="仿宋_GB2312"/>
          <w:color w:val="auto"/>
          <w:sz w:val="28"/>
          <w:szCs w:val="28"/>
        </w:rPr>
        <w:t>一、</w:t>
      </w:r>
      <w:r>
        <w:rPr>
          <w:rStyle w:val="14"/>
          <w:rFonts w:hint="eastAsia" w:ascii="Times New Roman" w:hAnsi="Times New Roman" w:eastAsia="仿宋_GB2312"/>
          <w:color w:val="auto"/>
          <w:sz w:val="28"/>
          <w:szCs w:val="28"/>
        </w:rPr>
        <w:t>二</w:t>
      </w:r>
      <w:r>
        <w:rPr>
          <w:rStyle w:val="14"/>
          <w:rFonts w:hint="eastAsia" w:ascii="宋体" w:hAnsi="宋体" w:cs="宋体"/>
          <w:color w:val="auto"/>
          <w:sz w:val="28"/>
          <w:szCs w:val="28"/>
        </w:rPr>
        <w:t>〇</w:t>
      </w:r>
      <w:r>
        <w:rPr>
          <w:rStyle w:val="14"/>
          <w:rFonts w:hint="eastAsia" w:ascii="Times New Roman" w:hAnsi="Times New Roman" w:eastAsia="仿宋_GB2312"/>
          <w:color w:val="auto"/>
          <w:sz w:val="28"/>
          <w:szCs w:val="28"/>
        </w:rPr>
        <w:t>三五</w:t>
      </w:r>
      <w:r>
        <w:rPr>
          <w:rStyle w:val="14"/>
          <w:rFonts w:hint="eastAsia" w:ascii="Times New Roman" w:eastAsia="仿宋_GB2312"/>
          <w:color w:val="auto"/>
          <w:sz w:val="28"/>
          <w:szCs w:val="28"/>
        </w:rPr>
        <w:t>年远景目标</w:t>
      </w:r>
      <w:r>
        <w:rPr>
          <w:sz w:val="28"/>
          <w:szCs w:val="28"/>
        </w:rPr>
        <w:tab/>
      </w:r>
      <w:r>
        <w:rPr>
          <w:sz w:val="28"/>
          <w:szCs w:val="28"/>
        </w:rPr>
        <w:fldChar w:fldCharType="begin"/>
      </w:r>
      <w:r>
        <w:rPr>
          <w:sz w:val="28"/>
          <w:szCs w:val="28"/>
        </w:rPr>
        <w:instrText xml:space="preserve"> PAGEREF _Toc65514256 \h </w:instrText>
      </w:r>
      <w:r>
        <w:rPr>
          <w:sz w:val="28"/>
          <w:szCs w:val="28"/>
        </w:rPr>
        <w:fldChar w:fldCharType="separate"/>
      </w:r>
      <w:r>
        <w:rPr>
          <w:sz w:val="28"/>
          <w:szCs w:val="28"/>
        </w:rPr>
        <w:t>19</w:t>
      </w:r>
      <w:r>
        <w:rPr>
          <w:sz w:val="28"/>
          <w:szCs w:val="28"/>
        </w:rPr>
        <w:fldChar w:fldCharType="end"/>
      </w:r>
      <w:r>
        <w:rPr>
          <w:sz w:val="28"/>
          <w:szCs w:val="28"/>
        </w:rPr>
        <w:fldChar w:fldCharType="end"/>
      </w:r>
    </w:p>
    <w:p>
      <w:pPr>
        <w:pStyle w:val="5"/>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"_Toc65514257" </w:instrText>
      </w:r>
      <w:r>
        <w:fldChar w:fldCharType="separate"/>
      </w:r>
      <w:r>
        <w:rPr>
          <w:rStyle w:val="14"/>
          <w:rFonts w:hint="eastAsia" w:ascii="Times New Roman" w:eastAsia="仿宋_GB2312"/>
          <w:color w:val="auto"/>
          <w:sz w:val="28"/>
          <w:szCs w:val="28"/>
        </w:rPr>
        <w:t>二、“十四五”时期主要目标</w:t>
      </w:r>
      <w:r>
        <w:rPr>
          <w:sz w:val="28"/>
          <w:szCs w:val="28"/>
        </w:rPr>
        <w:tab/>
      </w:r>
      <w:r>
        <w:rPr>
          <w:sz w:val="28"/>
          <w:szCs w:val="28"/>
        </w:rPr>
        <w:fldChar w:fldCharType="begin"/>
      </w:r>
      <w:r>
        <w:rPr>
          <w:sz w:val="28"/>
          <w:szCs w:val="28"/>
        </w:rPr>
        <w:instrText xml:space="preserve"> PAGEREF _Toc65514257 \h </w:instrText>
      </w:r>
      <w:r>
        <w:rPr>
          <w:sz w:val="28"/>
          <w:szCs w:val="28"/>
        </w:rPr>
        <w:fldChar w:fldCharType="separate"/>
      </w:r>
      <w:r>
        <w:rPr>
          <w:sz w:val="28"/>
          <w:szCs w:val="28"/>
        </w:rPr>
        <w:t>21</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"_Toc65514258" </w:instrText>
      </w:r>
      <w:r>
        <w:fldChar w:fldCharType="separate"/>
      </w:r>
      <w:r>
        <w:rPr>
          <w:rStyle w:val="14"/>
          <w:rFonts w:hint="eastAsia" w:ascii="黑体" w:hAnsi="黑体" w:eastAsia="黑体"/>
          <w:color w:val="auto"/>
          <w:sz w:val="28"/>
          <w:szCs w:val="28"/>
        </w:rPr>
        <w:t>第三章</w:t>
      </w:r>
      <w:r>
        <w:rPr>
          <w:rStyle w:val="14"/>
          <w:rFonts w:hint="eastAsia" w:ascii="黑体" w:hAnsi="黑体" w:eastAsia="黑体"/>
          <w:bCs/>
          <w:color w:val="auto"/>
          <w:sz w:val="28"/>
          <w:szCs w:val="28"/>
        </w:rPr>
        <w:t>加速新旧动能转化，打造豫皖省际区域创新高地</w:t>
      </w:r>
      <w:r>
        <w:rPr>
          <w:sz w:val="28"/>
          <w:szCs w:val="28"/>
        </w:rPr>
        <w:tab/>
      </w:r>
      <w:r>
        <w:rPr>
          <w:sz w:val="28"/>
          <w:szCs w:val="28"/>
        </w:rPr>
        <w:fldChar w:fldCharType="begin"/>
      </w:r>
      <w:r>
        <w:rPr>
          <w:sz w:val="28"/>
          <w:szCs w:val="28"/>
        </w:rPr>
        <w:instrText xml:space="preserve"> PAGEREF _Toc65514258 \h </w:instrText>
      </w:r>
      <w:r>
        <w:rPr>
          <w:sz w:val="28"/>
          <w:szCs w:val="28"/>
        </w:rPr>
        <w:fldChar w:fldCharType="separate"/>
      </w:r>
      <w:r>
        <w:rPr>
          <w:sz w:val="28"/>
          <w:szCs w:val="28"/>
        </w:rPr>
        <w:t>23</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"_Toc65514259" </w:instrText>
      </w:r>
      <w:r>
        <w:fldChar w:fldCharType="separate"/>
      </w:r>
      <w:r>
        <w:rPr>
          <w:rStyle w:val="14"/>
          <w:rFonts w:hint="eastAsia" w:ascii="仿宋_GB2312" w:eastAsia="仿宋_GB2312"/>
          <w:color w:val="auto"/>
          <w:sz w:val="28"/>
          <w:szCs w:val="28"/>
        </w:rPr>
        <w:t>第一节强化农业科技创新</w:t>
      </w:r>
      <w:r>
        <w:rPr>
          <w:sz w:val="28"/>
          <w:szCs w:val="28"/>
        </w:rPr>
        <w:tab/>
      </w:r>
      <w:r>
        <w:rPr>
          <w:sz w:val="28"/>
          <w:szCs w:val="28"/>
        </w:rPr>
        <w:fldChar w:fldCharType="begin"/>
      </w:r>
      <w:r>
        <w:rPr>
          <w:sz w:val="28"/>
          <w:szCs w:val="28"/>
        </w:rPr>
        <w:instrText xml:space="preserve"> PAGEREF _Toc65514259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"_Toc65514260" </w:instrText>
      </w:r>
      <w:r>
        <w:fldChar w:fldCharType="separate"/>
      </w:r>
      <w:r>
        <w:rPr>
          <w:rStyle w:val="14"/>
          <w:rFonts w:hint="eastAsia" w:ascii="仿宋_GB2312" w:eastAsia="仿宋_GB2312"/>
          <w:color w:val="auto"/>
          <w:sz w:val="28"/>
          <w:szCs w:val="28"/>
        </w:rPr>
        <w:t>第二节加强创新载体平台建设</w:t>
      </w:r>
      <w:r>
        <w:rPr>
          <w:sz w:val="28"/>
          <w:szCs w:val="28"/>
        </w:rPr>
        <w:tab/>
      </w:r>
      <w:r>
        <w:rPr>
          <w:sz w:val="28"/>
          <w:szCs w:val="28"/>
        </w:rPr>
        <w:fldChar w:fldCharType="begin"/>
      </w:r>
      <w:r>
        <w:rPr>
          <w:sz w:val="28"/>
          <w:szCs w:val="28"/>
        </w:rPr>
        <w:instrText xml:space="preserve"> PAGEREF _Toc65514260 \h </w:instrText>
      </w:r>
      <w:r>
        <w:rPr>
          <w:sz w:val="28"/>
          <w:szCs w:val="28"/>
        </w:rPr>
        <w:fldChar w:fldCharType="separate"/>
      </w:r>
      <w:r>
        <w:rPr>
          <w:sz w:val="28"/>
          <w:szCs w:val="28"/>
        </w:rPr>
        <w:t>24</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"_Toc65514261" </w:instrText>
      </w:r>
      <w:r>
        <w:fldChar w:fldCharType="separate"/>
      </w:r>
      <w:r>
        <w:rPr>
          <w:rStyle w:val="14"/>
          <w:rFonts w:hint="eastAsia" w:ascii="仿宋_GB2312" w:eastAsia="仿宋_GB2312"/>
          <w:color w:val="auto"/>
          <w:sz w:val="28"/>
          <w:szCs w:val="28"/>
        </w:rPr>
        <w:t>第三节提升企业技术创新能力</w:t>
      </w:r>
      <w:r>
        <w:rPr>
          <w:sz w:val="28"/>
          <w:szCs w:val="28"/>
        </w:rPr>
        <w:tab/>
      </w:r>
      <w:r>
        <w:rPr>
          <w:sz w:val="28"/>
          <w:szCs w:val="28"/>
        </w:rPr>
        <w:fldChar w:fldCharType="begin"/>
      </w:r>
      <w:r>
        <w:rPr>
          <w:sz w:val="28"/>
          <w:szCs w:val="28"/>
        </w:rPr>
        <w:instrText xml:space="preserve"> PAGEREF _Toc65514261 \h </w:instrText>
      </w:r>
      <w:r>
        <w:rPr>
          <w:sz w:val="28"/>
          <w:szCs w:val="28"/>
        </w:rPr>
        <w:fldChar w:fldCharType="separate"/>
      </w:r>
      <w:r>
        <w:rPr>
          <w:sz w:val="28"/>
          <w:szCs w:val="28"/>
        </w:rPr>
        <w:t>26</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"_Toc65514262" </w:instrText>
      </w:r>
      <w:r>
        <w:fldChar w:fldCharType="separate"/>
      </w:r>
      <w:r>
        <w:rPr>
          <w:rStyle w:val="14"/>
          <w:rFonts w:hint="eastAsia" w:ascii="仿宋_GB2312" w:eastAsia="仿宋_GB2312"/>
          <w:color w:val="auto"/>
          <w:sz w:val="28"/>
          <w:szCs w:val="28"/>
        </w:rPr>
        <w:t>第四节实施科技成果转换与示范应用工程</w:t>
      </w:r>
      <w:r>
        <w:rPr>
          <w:sz w:val="28"/>
          <w:szCs w:val="28"/>
        </w:rPr>
        <w:tab/>
      </w:r>
      <w:r>
        <w:rPr>
          <w:sz w:val="28"/>
          <w:szCs w:val="28"/>
        </w:rPr>
        <w:fldChar w:fldCharType="begin"/>
      </w:r>
      <w:r>
        <w:rPr>
          <w:sz w:val="28"/>
          <w:szCs w:val="28"/>
        </w:rPr>
        <w:instrText xml:space="preserve"> PAGEREF _Toc65514262 \h </w:instrText>
      </w:r>
      <w:r>
        <w:rPr>
          <w:sz w:val="28"/>
          <w:szCs w:val="28"/>
        </w:rPr>
        <w:fldChar w:fldCharType="separate"/>
      </w:r>
      <w:r>
        <w:rPr>
          <w:sz w:val="28"/>
          <w:szCs w:val="28"/>
        </w:rPr>
        <w:t>27</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"_Toc65514263" </w:instrText>
      </w:r>
      <w:r>
        <w:fldChar w:fldCharType="separate"/>
      </w:r>
      <w:r>
        <w:rPr>
          <w:rStyle w:val="14"/>
          <w:rFonts w:hint="eastAsia" w:ascii="仿宋_GB2312" w:eastAsia="仿宋_GB2312"/>
          <w:color w:val="auto"/>
          <w:sz w:val="28"/>
          <w:szCs w:val="28"/>
        </w:rPr>
        <w:t>第五节优化创新创业环境</w:t>
      </w:r>
      <w:r>
        <w:rPr>
          <w:sz w:val="28"/>
          <w:szCs w:val="28"/>
        </w:rPr>
        <w:tab/>
      </w:r>
      <w:r>
        <w:rPr>
          <w:sz w:val="28"/>
          <w:szCs w:val="28"/>
        </w:rPr>
        <w:fldChar w:fldCharType="begin"/>
      </w:r>
      <w:r>
        <w:rPr>
          <w:sz w:val="28"/>
          <w:szCs w:val="28"/>
        </w:rPr>
        <w:instrText xml:space="preserve"> PAGEREF _Toc65514263 \h </w:instrText>
      </w:r>
      <w:r>
        <w:rPr>
          <w:sz w:val="28"/>
          <w:szCs w:val="28"/>
        </w:rPr>
        <w:fldChar w:fldCharType="separate"/>
      </w:r>
      <w:r>
        <w:rPr>
          <w:sz w:val="28"/>
          <w:szCs w:val="28"/>
        </w:rPr>
        <w:t>28</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"_Toc65514264" </w:instrText>
      </w:r>
      <w:r>
        <w:fldChar w:fldCharType="separate"/>
      </w:r>
      <w:r>
        <w:rPr>
          <w:rStyle w:val="14"/>
          <w:rFonts w:hint="eastAsia" w:ascii="黑体" w:hAnsi="黑体" w:eastAsia="黑体"/>
          <w:color w:val="auto"/>
          <w:sz w:val="28"/>
          <w:szCs w:val="28"/>
        </w:rPr>
        <w:t>第四章</w:t>
      </w:r>
      <w:r>
        <w:rPr>
          <w:rStyle w:val="14"/>
          <w:rFonts w:hint="eastAsia" w:ascii="黑体" w:hAnsi="黑体" w:eastAsia="黑体"/>
          <w:bCs/>
          <w:color w:val="auto"/>
          <w:sz w:val="28"/>
          <w:szCs w:val="28"/>
        </w:rPr>
        <w:t>聚焦高质量发展，</w:t>
      </w:r>
      <w:r>
        <w:rPr>
          <w:rStyle w:val="14"/>
          <w:rFonts w:hint="eastAsia" w:ascii="黑体" w:hAnsi="黑体" w:eastAsia="黑体" w:cs="黑体"/>
          <w:color w:val="auto"/>
          <w:spacing w:val="6"/>
          <w:sz w:val="28"/>
          <w:szCs w:val="28"/>
        </w:rPr>
        <w:t>加快构建现代产业体系</w:t>
      </w:r>
      <w:r>
        <w:rPr>
          <w:sz w:val="28"/>
          <w:szCs w:val="28"/>
        </w:rPr>
        <w:tab/>
      </w:r>
      <w:r>
        <w:rPr>
          <w:sz w:val="28"/>
          <w:szCs w:val="28"/>
        </w:rPr>
        <w:fldChar w:fldCharType="begin"/>
      </w:r>
      <w:r>
        <w:rPr>
          <w:sz w:val="28"/>
          <w:szCs w:val="28"/>
        </w:rPr>
        <w:instrText xml:space="preserve"> PAGEREF _Toc65514264 \h </w:instrText>
      </w:r>
      <w:r>
        <w:rPr>
          <w:sz w:val="28"/>
          <w:szCs w:val="28"/>
        </w:rPr>
        <w:fldChar w:fldCharType="separate"/>
      </w:r>
      <w:r>
        <w:rPr>
          <w:sz w:val="28"/>
          <w:szCs w:val="28"/>
        </w:rPr>
        <w:t>29</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"_Toc65514265" </w:instrText>
      </w:r>
      <w:r>
        <w:fldChar w:fldCharType="separate"/>
      </w:r>
      <w:r>
        <w:rPr>
          <w:rStyle w:val="14"/>
          <w:rFonts w:hint="eastAsia" w:ascii="仿宋_GB2312" w:eastAsia="仿宋_GB2312"/>
          <w:color w:val="auto"/>
          <w:sz w:val="28"/>
          <w:szCs w:val="28"/>
        </w:rPr>
        <w:t>第一节打造西华航空特色产业优势</w:t>
      </w:r>
      <w:r>
        <w:rPr>
          <w:sz w:val="28"/>
          <w:szCs w:val="28"/>
        </w:rPr>
        <w:tab/>
      </w:r>
      <w:r>
        <w:rPr>
          <w:sz w:val="28"/>
          <w:szCs w:val="28"/>
        </w:rPr>
        <w:fldChar w:fldCharType="begin"/>
      </w:r>
      <w:r>
        <w:rPr>
          <w:sz w:val="28"/>
          <w:szCs w:val="28"/>
        </w:rPr>
        <w:instrText xml:space="preserve"> PAGEREF _Toc65514265 \h </w:instrText>
      </w:r>
      <w:r>
        <w:rPr>
          <w:sz w:val="28"/>
          <w:szCs w:val="28"/>
        </w:rPr>
        <w:fldChar w:fldCharType="separate"/>
      </w:r>
      <w:r>
        <w:rPr>
          <w:sz w:val="28"/>
          <w:szCs w:val="28"/>
        </w:rPr>
        <w:t>29</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"_Toc65514266" </w:instrText>
      </w:r>
      <w:r>
        <w:fldChar w:fldCharType="separate"/>
      </w:r>
      <w:r>
        <w:rPr>
          <w:rStyle w:val="14"/>
          <w:rFonts w:hint="eastAsia" w:ascii="仿宋_GB2312" w:eastAsia="仿宋_GB2312"/>
          <w:color w:val="auto"/>
          <w:sz w:val="28"/>
          <w:szCs w:val="28"/>
        </w:rPr>
        <w:t>第二节打造两大超百亿级主导产业集群</w:t>
      </w:r>
      <w:r>
        <w:rPr>
          <w:sz w:val="28"/>
          <w:szCs w:val="28"/>
        </w:rPr>
        <w:tab/>
      </w:r>
      <w:r>
        <w:rPr>
          <w:sz w:val="28"/>
          <w:szCs w:val="28"/>
        </w:rPr>
        <w:fldChar w:fldCharType="begin"/>
      </w:r>
      <w:r>
        <w:rPr>
          <w:sz w:val="28"/>
          <w:szCs w:val="28"/>
        </w:rPr>
        <w:instrText xml:space="preserve"> PAGEREF _Toc65514266 \h </w:instrText>
      </w:r>
      <w:r>
        <w:rPr>
          <w:sz w:val="28"/>
          <w:szCs w:val="28"/>
        </w:rPr>
        <w:fldChar w:fldCharType="separate"/>
      </w:r>
      <w:r>
        <w:rPr>
          <w:sz w:val="28"/>
          <w:szCs w:val="28"/>
        </w:rPr>
        <w:t>32</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"_Toc65514267" </w:instrText>
      </w:r>
      <w:r>
        <w:fldChar w:fldCharType="separate"/>
      </w:r>
      <w:r>
        <w:rPr>
          <w:rStyle w:val="14"/>
          <w:rFonts w:hint="eastAsia" w:ascii="仿宋_GB2312" w:eastAsia="仿宋_GB2312"/>
          <w:color w:val="auto"/>
          <w:sz w:val="28"/>
          <w:szCs w:val="28"/>
        </w:rPr>
        <w:t>第三节打造豫东现代服务业发展新高地</w:t>
      </w:r>
      <w:r>
        <w:rPr>
          <w:sz w:val="28"/>
          <w:szCs w:val="28"/>
        </w:rPr>
        <w:tab/>
      </w:r>
      <w:r>
        <w:rPr>
          <w:sz w:val="28"/>
          <w:szCs w:val="28"/>
        </w:rPr>
        <w:fldChar w:fldCharType="begin"/>
      </w:r>
      <w:r>
        <w:rPr>
          <w:sz w:val="28"/>
          <w:szCs w:val="28"/>
        </w:rPr>
        <w:instrText xml:space="preserve"> PAGEREF _Toc65514267 \h </w:instrText>
      </w:r>
      <w:r>
        <w:rPr>
          <w:sz w:val="28"/>
          <w:szCs w:val="28"/>
        </w:rPr>
        <w:fldChar w:fldCharType="separate"/>
      </w:r>
      <w:r>
        <w:rPr>
          <w:sz w:val="28"/>
          <w:szCs w:val="28"/>
        </w:rPr>
        <w:t>35</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"_Toc65514268" </w:instrText>
      </w:r>
      <w:r>
        <w:fldChar w:fldCharType="separate"/>
      </w:r>
      <w:r>
        <w:rPr>
          <w:rStyle w:val="14"/>
          <w:rFonts w:hint="eastAsia" w:ascii="仿宋_GB2312" w:eastAsia="仿宋_GB2312"/>
          <w:color w:val="auto"/>
          <w:sz w:val="28"/>
          <w:szCs w:val="28"/>
        </w:rPr>
        <w:t>第四节拓展数字经济新优势</w:t>
      </w:r>
      <w:r>
        <w:rPr>
          <w:sz w:val="28"/>
          <w:szCs w:val="28"/>
        </w:rPr>
        <w:tab/>
      </w:r>
      <w:r>
        <w:rPr>
          <w:sz w:val="28"/>
          <w:szCs w:val="28"/>
        </w:rPr>
        <w:fldChar w:fldCharType="begin"/>
      </w:r>
      <w:r>
        <w:rPr>
          <w:sz w:val="28"/>
          <w:szCs w:val="28"/>
        </w:rPr>
        <w:instrText xml:space="preserve"> PAGEREF _Toc65514268 \h </w:instrText>
      </w:r>
      <w:r>
        <w:rPr>
          <w:sz w:val="28"/>
          <w:szCs w:val="28"/>
        </w:rPr>
        <w:fldChar w:fldCharType="separate"/>
      </w:r>
      <w:r>
        <w:rPr>
          <w:sz w:val="28"/>
          <w:szCs w:val="28"/>
        </w:rPr>
        <w:t>40</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"_Toc65514269" </w:instrText>
      </w:r>
      <w:r>
        <w:fldChar w:fldCharType="separate"/>
      </w:r>
      <w:r>
        <w:rPr>
          <w:rStyle w:val="14"/>
          <w:rFonts w:hint="eastAsia" w:ascii="仿宋_GB2312" w:eastAsia="仿宋_GB2312"/>
          <w:color w:val="auto"/>
          <w:sz w:val="28"/>
          <w:szCs w:val="28"/>
        </w:rPr>
        <w:t>第五节培育发展新兴产业</w:t>
      </w:r>
      <w:r>
        <w:rPr>
          <w:sz w:val="28"/>
          <w:szCs w:val="28"/>
        </w:rPr>
        <w:tab/>
      </w:r>
      <w:r>
        <w:rPr>
          <w:sz w:val="28"/>
          <w:szCs w:val="28"/>
        </w:rPr>
        <w:fldChar w:fldCharType="begin"/>
      </w:r>
      <w:r>
        <w:rPr>
          <w:sz w:val="28"/>
          <w:szCs w:val="28"/>
        </w:rPr>
        <w:instrText xml:space="preserve"> PAGEREF _Toc65514269 \h </w:instrText>
      </w:r>
      <w:r>
        <w:rPr>
          <w:sz w:val="28"/>
          <w:szCs w:val="28"/>
        </w:rPr>
        <w:fldChar w:fldCharType="separate"/>
      </w:r>
      <w:r>
        <w:rPr>
          <w:sz w:val="28"/>
          <w:szCs w:val="28"/>
        </w:rPr>
        <w:t>41</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"_Toc65514270" </w:instrText>
      </w:r>
      <w:r>
        <w:fldChar w:fldCharType="separate"/>
      </w:r>
      <w:r>
        <w:rPr>
          <w:rStyle w:val="14"/>
          <w:rFonts w:hint="eastAsia" w:ascii="仿宋_GB2312" w:eastAsia="仿宋_GB2312"/>
          <w:color w:val="auto"/>
          <w:sz w:val="28"/>
          <w:szCs w:val="28"/>
        </w:rPr>
        <w:t>第六节完善优化产业链条</w:t>
      </w:r>
      <w:r>
        <w:rPr>
          <w:sz w:val="28"/>
          <w:szCs w:val="28"/>
        </w:rPr>
        <w:tab/>
      </w:r>
      <w:r>
        <w:rPr>
          <w:sz w:val="28"/>
          <w:szCs w:val="28"/>
        </w:rPr>
        <w:fldChar w:fldCharType="begin"/>
      </w:r>
      <w:r>
        <w:rPr>
          <w:sz w:val="28"/>
          <w:szCs w:val="28"/>
        </w:rPr>
        <w:instrText xml:space="preserve"> PAGEREF _Toc65514270 \h </w:instrText>
      </w:r>
      <w:r>
        <w:rPr>
          <w:sz w:val="28"/>
          <w:szCs w:val="28"/>
        </w:rPr>
        <w:fldChar w:fldCharType="separate"/>
      </w:r>
      <w:r>
        <w:rPr>
          <w:sz w:val="28"/>
          <w:szCs w:val="28"/>
        </w:rPr>
        <w:t>42</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"_Toc65514271" </w:instrText>
      </w:r>
      <w:r>
        <w:fldChar w:fldCharType="separate"/>
      </w:r>
      <w:r>
        <w:rPr>
          <w:rStyle w:val="14"/>
          <w:rFonts w:hint="eastAsia" w:ascii="黑体" w:hAnsi="黑体" w:eastAsia="黑体"/>
          <w:color w:val="auto"/>
          <w:sz w:val="28"/>
          <w:szCs w:val="28"/>
        </w:rPr>
        <w:t>第五章抢抓“双循环”战略机遇，融入新发展格局</w:t>
      </w:r>
      <w:r>
        <w:rPr>
          <w:sz w:val="28"/>
          <w:szCs w:val="28"/>
        </w:rPr>
        <w:tab/>
      </w:r>
      <w:r>
        <w:rPr>
          <w:sz w:val="28"/>
          <w:szCs w:val="28"/>
        </w:rPr>
        <w:fldChar w:fldCharType="begin"/>
      </w:r>
      <w:r>
        <w:rPr>
          <w:sz w:val="28"/>
          <w:szCs w:val="28"/>
        </w:rPr>
        <w:instrText xml:space="preserve"> PAGEREF _Toc65514271 \h </w:instrText>
      </w:r>
      <w:r>
        <w:rPr>
          <w:sz w:val="28"/>
          <w:szCs w:val="28"/>
        </w:rPr>
        <w:fldChar w:fldCharType="separate"/>
      </w:r>
      <w:r>
        <w:rPr>
          <w:sz w:val="28"/>
          <w:szCs w:val="28"/>
        </w:rPr>
        <w:t>43</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"_Toc65514272" </w:instrText>
      </w:r>
      <w:r>
        <w:fldChar w:fldCharType="separate"/>
      </w:r>
      <w:r>
        <w:rPr>
          <w:rStyle w:val="14"/>
          <w:rFonts w:hint="eastAsia" w:ascii="仿宋_GB2312" w:eastAsia="仿宋_GB2312"/>
          <w:color w:val="auto"/>
          <w:sz w:val="28"/>
          <w:szCs w:val="28"/>
        </w:rPr>
        <w:t>第一节完善现代流通网络</w:t>
      </w:r>
      <w:r>
        <w:rPr>
          <w:sz w:val="28"/>
          <w:szCs w:val="28"/>
        </w:rPr>
        <w:tab/>
      </w:r>
      <w:r>
        <w:rPr>
          <w:sz w:val="28"/>
          <w:szCs w:val="28"/>
        </w:rPr>
        <w:fldChar w:fldCharType="begin"/>
      </w:r>
      <w:r>
        <w:rPr>
          <w:sz w:val="28"/>
          <w:szCs w:val="28"/>
        </w:rPr>
        <w:instrText xml:space="preserve"> PAGEREF _Toc65514272 \h </w:instrText>
      </w:r>
      <w:r>
        <w:rPr>
          <w:sz w:val="28"/>
          <w:szCs w:val="28"/>
        </w:rPr>
        <w:fldChar w:fldCharType="separate"/>
      </w:r>
      <w:r>
        <w:rPr>
          <w:sz w:val="28"/>
          <w:szCs w:val="28"/>
        </w:rPr>
        <w:t>43</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"_Toc65514273" </w:instrText>
      </w:r>
      <w:r>
        <w:fldChar w:fldCharType="separate"/>
      </w:r>
      <w:r>
        <w:rPr>
          <w:rStyle w:val="14"/>
          <w:rFonts w:hint="eastAsia" w:ascii="仿宋_GB2312" w:eastAsia="仿宋_GB2312"/>
          <w:color w:val="auto"/>
          <w:sz w:val="28"/>
          <w:szCs w:val="28"/>
        </w:rPr>
        <w:t>第二节精准扩大有效投资</w:t>
      </w:r>
      <w:r>
        <w:rPr>
          <w:sz w:val="28"/>
          <w:szCs w:val="28"/>
        </w:rPr>
        <w:tab/>
      </w:r>
      <w:r>
        <w:rPr>
          <w:sz w:val="28"/>
          <w:szCs w:val="28"/>
        </w:rPr>
        <w:fldChar w:fldCharType="begin"/>
      </w:r>
      <w:r>
        <w:rPr>
          <w:sz w:val="28"/>
          <w:szCs w:val="28"/>
        </w:rPr>
        <w:instrText xml:space="preserve"> PAGEREF _Toc65514273 \h </w:instrText>
      </w:r>
      <w:r>
        <w:rPr>
          <w:sz w:val="28"/>
          <w:szCs w:val="28"/>
        </w:rPr>
        <w:fldChar w:fldCharType="separate"/>
      </w:r>
      <w:r>
        <w:rPr>
          <w:sz w:val="28"/>
          <w:szCs w:val="28"/>
        </w:rPr>
        <w:t>45</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"_Toc65514274" </w:instrText>
      </w:r>
      <w:r>
        <w:fldChar w:fldCharType="separate"/>
      </w:r>
      <w:r>
        <w:rPr>
          <w:rStyle w:val="14"/>
          <w:rFonts w:hint="eastAsia" w:ascii="仿宋_GB2312" w:eastAsia="仿宋_GB2312"/>
          <w:color w:val="auto"/>
          <w:sz w:val="28"/>
          <w:szCs w:val="28"/>
        </w:rPr>
        <w:t>第三节促进消费扩容提质</w:t>
      </w:r>
      <w:r>
        <w:rPr>
          <w:sz w:val="28"/>
          <w:szCs w:val="28"/>
        </w:rPr>
        <w:tab/>
      </w:r>
      <w:r>
        <w:rPr>
          <w:sz w:val="28"/>
          <w:szCs w:val="28"/>
        </w:rPr>
        <w:fldChar w:fldCharType="begin"/>
      </w:r>
      <w:r>
        <w:rPr>
          <w:sz w:val="28"/>
          <w:szCs w:val="28"/>
        </w:rPr>
        <w:instrText xml:space="preserve"> PAGEREF _Toc65514274 \h </w:instrText>
      </w:r>
      <w:r>
        <w:rPr>
          <w:sz w:val="28"/>
          <w:szCs w:val="28"/>
        </w:rPr>
        <w:fldChar w:fldCharType="separate"/>
      </w:r>
      <w:r>
        <w:rPr>
          <w:sz w:val="28"/>
          <w:szCs w:val="28"/>
        </w:rPr>
        <w:t>47</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"_Toc65514275" </w:instrText>
      </w:r>
      <w:r>
        <w:fldChar w:fldCharType="separate"/>
      </w:r>
      <w:r>
        <w:rPr>
          <w:rStyle w:val="14"/>
          <w:rFonts w:hint="eastAsia" w:ascii="仿宋_GB2312" w:eastAsia="仿宋_GB2312"/>
          <w:color w:val="auto"/>
          <w:sz w:val="28"/>
          <w:szCs w:val="28"/>
        </w:rPr>
        <w:t>第四节提高对外开放合作能级</w:t>
      </w:r>
      <w:r>
        <w:rPr>
          <w:sz w:val="28"/>
          <w:szCs w:val="28"/>
        </w:rPr>
        <w:tab/>
      </w:r>
      <w:r>
        <w:rPr>
          <w:sz w:val="28"/>
          <w:szCs w:val="28"/>
        </w:rPr>
        <w:fldChar w:fldCharType="begin"/>
      </w:r>
      <w:r>
        <w:rPr>
          <w:sz w:val="28"/>
          <w:szCs w:val="28"/>
        </w:rPr>
        <w:instrText xml:space="preserve"> PAGEREF _Toc65514275 \h </w:instrText>
      </w:r>
      <w:r>
        <w:rPr>
          <w:sz w:val="28"/>
          <w:szCs w:val="28"/>
        </w:rPr>
        <w:fldChar w:fldCharType="separate"/>
      </w:r>
      <w:r>
        <w:rPr>
          <w:sz w:val="28"/>
          <w:szCs w:val="28"/>
        </w:rPr>
        <w:t>49</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"_Toc65514276" </w:instrText>
      </w:r>
      <w:r>
        <w:fldChar w:fldCharType="separate"/>
      </w:r>
      <w:r>
        <w:rPr>
          <w:rStyle w:val="14"/>
          <w:rFonts w:hint="eastAsia" w:ascii="黑体" w:hAnsi="黑体" w:eastAsia="黑体"/>
          <w:color w:val="auto"/>
          <w:sz w:val="28"/>
          <w:szCs w:val="28"/>
        </w:rPr>
        <w:t>第六章持续深化改革，构建充满活力的市场经济新机制</w:t>
      </w:r>
      <w:r>
        <w:rPr>
          <w:sz w:val="28"/>
          <w:szCs w:val="28"/>
        </w:rPr>
        <w:tab/>
      </w:r>
      <w:r>
        <w:rPr>
          <w:sz w:val="28"/>
          <w:szCs w:val="28"/>
        </w:rPr>
        <w:fldChar w:fldCharType="begin"/>
      </w:r>
      <w:r>
        <w:rPr>
          <w:sz w:val="28"/>
          <w:szCs w:val="28"/>
        </w:rPr>
        <w:instrText xml:space="preserve"> PAGEREF _Toc65514276 \h </w:instrText>
      </w:r>
      <w:r>
        <w:rPr>
          <w:sz w:val="28"/>
          <w:szCs w:val="28"/>
        </w:rPr>
        <w:fldChar w:fldCharType="separate"/>
      </w:r>
      <w:r>
        <w:rPr>
          <w:sz w:val="28"/>
          <w:szCs w:val="28"/>
        </w:rPr>
        <w:t>51</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"_Toc65514277" </w:instrText>
      </w:r>
      <w:r>
        <w:fldChar w:fldCharType="separate"/>
      </w:r>
      <w:r>
        <w:rPr>
          <w:rStyle w:val="14"/>
          <w:rFonts w:hint="eastAsia" w:ascii="仿宋_GB2312" w:hAnsi="Times New Roman" w:eastAsia="仿宋_GB2312"/>
          <w:color w:val="auto"/>
          <w:sz w:val="28"/>
          <w:szCs w:val="28"/>
        </w:rPr>
        <w:t>第一节持续强市场主体活力</w:t>
      </w:r>
      <w:r>
        <w:rPr>
          <w:sz w:val="28"/>
          <w:szCs w:val="28"/>
        </w:rPr>
        <w:tab/>
      </w:r>
      <w:r>
        <w:rPr>
          <w:sz w:val="28"/>
          <w:szCs w:val="28"/>
        </w:rPr>
        <w:fldChar w:fldCharType="begin"/>
      </w:r>
      <w:r>
        <w:rPr>
          <w:sz w:val="28"/>
          <w:szCs w:val="28"/>
        </w:rPr>
        <w:instrText xml:space="preserve"> PAGEREF _Toc65514277 \h </w:instrText>
      </w:r>
      <w:r>
        <w:rPr>
          <w:sz w:val="28"/>
          <w:szCs w:val="28"/>
        </w:rPr>
        <w:fldChar w:fldCharType="separate"/>
      </w:r>
      <w:r>
        <w:rPr>
          <w:sz w:val="28"/>
          <w:szCs w:val="28"/>
        </w:rPr>
        <w:t>51</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"_Toc65514278" </w:instrText>
      </w:r>
      <w:r>
        <w:fldChar w:fldCharType="separate"/>
      </w:r>
      <w:r>
        <w:rPr>
          <w:rStyle w:val="14"/>
          <w:rFonts w:hint="eastAsia" w:ascii="仿宋_GB2312" w:hAnsi="Times New Roman" w:eastAsia="仿宋_GB2312"/>
          <w:color w:val="auto"/>
          <w:sz w:val="28"/>
          <w:szCs w:val="28"/>
        </w:rPr>
        <w:t>第二节强化要素配置市场化改革</w:t>
      </w:r>
      <w:r>
        <w:rPr>
          <w:sz w:val="28"/>
          <w:szCs w:val="28"/>
        </w:rPr>
        <w:tab/>
      </w:r>
      <w:r>
        <w:rPr>
          <w:sz w:val="28"/>
          <w:szCs w:val="28"/>
        </w:rPr>
        <w:fldChar w:fldCharType="begin"/>
      </w:r>
      <w:r>
        <w:rPr>
          <w:sz w:val="28"/>
          <w:szCs w:val="28"/>
        </w:rPr>
        <w:instrText xml:space="preserve"> PAGEREF _Toc65514278 \h </w:instrText>
      </w:r>
      <w:r>
        <w:rPr>
          <w:sz w:val="28"/>
          <w:szCs w:val="28"/>
        </w:rPr>
        <w:fldChar w:fldCharType="separate"/>
      </w:r>
      <w:r>
        <w:rPr>
          <w:sz w:val="28"/>
          <w:szCs w:val="28"/>
        </w:rPr>
        <w:t>52</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"_Toc65514279" </w:instrText>
      </w:r>
      <w:r>
        <w:fldChar w:fldCharType="separate"/>
      </w:r>
      <w:r>
        <w:rPr>
          <w:rStyle w:val="14"/>
          <w:rFonts w:hint="eastAsia" w:ascii="仿宋_GB2312" w:hAnsi="Times New Roman" w:eastAsia="仿宋_GB2312"/>
          <w:color w:val="auto"/>
          <w:sz w:val="28"/>
          <w:szCs w:val="28"/>
        </w:rPr>
        <w:t>第三节加快推进政府职能转变</w:t>
      </w:r>
      <w:r>
        <w:rPr>
          <w:sz w:val="28"/>
          <w:szCs w:val="28"/>
        </w:rPr>
        <w:tab/>
      </w:r>
      <w:r>
        <w:rPr>
          <w:sz w:val="28"/>
          <w:szCs w:val="28"/>
        </w:rPr>
        <w:fldChar w:fldCharType="begin"/>
      </w:r>
      <w:r>
        <w:rPr>
          <w:sz w:val="28"/>
          <w:szCs w:val="28"/>
        </w:rPr>
        <w:instrText xml:space="preserve"> PAGEREF _Toc65514279 \h </w:instrText>
      </w:r>
      <w:r>
        <w:rPr>
          <w:sz w:val="28"/>
          <w:szCs w:val="28"/>
        </w:rPr>
        <w:fldChar w:fldCharType="separate"/>
      </w:r>
      <w:r>
        <w:rPr>
          <w:sz w:val="28"/>
          <w:szCs w:val="28"/>
        </w:rPr>
        <w:t>54</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"_Toc65514280" </w:instrText>
      </w:r>
      <w:r>
        <w:fldChar w:fldCharType="separate"/>
      </w:r>
      <w:r>
        <w:rPr>
          <w:rStyle w:val="14"/>
          <w:rFonts w:hint="eastAsia" w:ascii="仿宋_GB2312" w:hAnsi="Times New Roman" w:eastAsia="仿宋_GB2312"/>
          <w:color w:val="auto"/>
          <w:sz w:val="28"/>
          <w:szCs w:val="28"/>
        </w:rPr>
        <w:t>第四节全面优化营商环境</w:t>
      </w:r>
      <w:r>
        <w:rPr>
          <w:sz w:val="28"/>
          <w:szCs w:val="28"/>
        </w:rPr>
        <w:tab/>
      </w:r>
      <w:r>
        <w:rPr>
          <w:sz w:val="28"/>
          <w:szCs w:val="28"/>
        </w:rPr>
        <w:fldChar w:fldCharType="begin"/>
      </w:r>
      <w:r>
        <w:rPr>
          <w:sz w:val="28"/>
          <w:szCs w:val="28"/>
        </w:rPr>
        <w:instrText xml:space="preserve"> PAGEREF _Toc65514280 \h </w:instrText>
      </w:r>
      <w:r>
        <w:rPr>
          <w:sz w:val="28"/>
          <w:szCs w:val="28"/>
        </w:rPr>
        <w:fldChar w:fldCharType="separate"/>
      </w:r>
      <w:r>
        <w:rPr>
          <w:sz w:val="28"/>
          <w:szCs w:val="28"/>
        </w:rPr>
        <w:t>57</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"_Toc65514281" </w:instrText>
      </w:r>
      <w:r>
        <w:fldChar w:fldCharType="separate"/>
      </w:r>
      <w:r>
        <w:rPr>
          <w:rStyle w:val="14"/>
          <w:rFonts w:hint="eastAsia" w:ascii="黑体" w:hAnsi="黑体" w:eastAsia="黑体"/>
          <w:color w:val="auto"/>
          <w:sz w:val="28"/>
          <w:szCs w:val="28"/>
        </w:rPr>
        <w:t>第七章实施乡村振兴战略，全面推进农业农村现代化</w:t>
      </w:r>
      <w:r>
        <w:rPr>
          <w:sz w:val="28"/>
          <w:szCs w:val="28"/>
        </w:rPr>
        <w:tab/>
      </w:r>
      <w:r>
        <w:rPr>
          <w:sz w:val="28"/>
          <w:szCs w:val="28"/>
        </w:rPr>
        <w:fldChar w:fldCharType="begin"/>
      </w:r>
      <w:r>
        <w:rPr>
          <w:sz w:val="28"/>
          <w:szCs w:val="28"/>
        </w:rPr>
        <w:instrText xml:space="preserve"> PAGEREF _Toc65514281 \h </w:instrText>
      </w:r>
      <w:r>
        <w:rPr>
          <w:sz w:val="28"/>
          <w:szCs w:val="28"/>
        </w:rPr>
        <w:fldChar w:fldCharType="separate"/>
      </w:r>
      <w:r>
        <w:rPr>
          <w:sz w:val="28"/>
          <w:szCs w:val="28"/>
        </w:rPr>
        <w:t>59</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"_Toc65514282" </w:instrText>
      </w:r>
      <w:r>
        <w:fldChar w:fldCharType="separate"/>
      </w:r>
      <w:r>
        <w:rPr>
          <w:rStyle w:val="14"/>
          <w:rFonts w:hint="eastAsia" w:ascii="仿宋_GB2312" w:eastAsia="仿宋_GB2312"/>
          <w:color w:val="auto"/>
          <w:sz w:val="28"/>
          <w:szCs w:val="28"/>
        </w:rPr>
        <w:t>第一节坚决扛稳粮食安全重任</w:t>
      </w:r>
      <w:r>
        <w:rPr>
          <w:sz w:val="28"/>
          <w:szCs w:val="28"/>
        </w:rPr>
        <w:tab/>
      </w:r>
      <w:r>
        <w:rPr>
          <w:sz w:val="28"/>
          <w:szCs w:val="28"/>
        </w:rPr>
        <w:fldChar w:fldCharType="begin"/>
      </w:r>
      <w:r>
        <w:rPr>
          <w:sz w:val="28"/>
          <w:szCs w:val="28"/>
        </w:rPr>
        <w:instrText xml:space="preserve"> PAGEREF _Toc65514282 \h </w:instrText>
      </w:r>
      <w:r>
        <w:rPr>
          <w:sz w:val="28"/>
          <w:szCs w:val="28"/>
        </w:rPr>
        <w:fldChar w:fldCharType="separate"/>
      </w:r>
      <w:r>
        <w:rPr>
          <w:sz w:val="28"/>
          <w:szCs w:val="28"/>
        </w:rPr>
        <w:t>59</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"_Toc65514283" </w:instrText>
      </w:r>
      <w:r>
        <w:fldChar w:fldCharType="separate"/>
      </w:r>
      <w:r>
        <w:rPr>
          <w:rStyle w:val="14"/>
          <w:rFonts w:hint="eastAsia" w:ascii="仿宋_GB2312" w:eastAsia="仿宋_GB2312"/>
          <w:color w:val="auto"/>
          <w:sz w:val="28"/>
          <w:szCs w:val="28"/>
        </w:rPr>
        <w:t>第二节大力发展形成富民产业</w:t>
      </w:r>
      <w:r>
        <w:rPr>
          <w:sz w:val="28"/>
          <w:szCs w:val="28"/>
        </w:rPr>
        <w:tab/>
      </w:r>
      <w:r>
        <w:rPr>
          <w:sz w:val="28"/>
          <w:szCs w:val="28"/>
        </w:rPr>
        <w:fldChar w:fldCharType="begin"/>
      </w:r>
      <w:r>
        <w:rPr>
          <w:sz w:val="28"/>
          <w:szCs w:val="28"/>
        </w:rPr>
        <w:instrText xml:space="preserve"> PAGEREF _Toc65514283 \h </w:instrText>
      </w:r>
      <w:r>
        <w:rPr>
          <w:sz w:val="28"/>
          <w:szCs w:val="28"/>
        </w:rPr>
        <w:fldChar w:fldCharType="separate"/>
      </w:r>
      <w:r>
        <w:rPr>
          <w:sz w:val="28"/>
          <w:szCs w:val="28"/>
        </w:rPr>
        <w:t>61</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"_Toc65514284" </w:instrText>
      </w:r>
      <w:r>
        <w:fldChar w:fldCharType="separate"/>
      </w:r>
      <w:r>
        <w:rPr>
          <w:rStyle w:val="14"/>
          <w:rFonts w:hint="eastAsia" w:ascii="仿宋_GB2312" w:hAnsi="Times New Roman" w:eastAsia="仿宋_GB2312"/>
          <w:color w:val="auto"/>
          <w:sz w:val="28"/>
          <w:szCs w:val="28"/>
        </w:rPr>
        <w:t>第三节推动农村一二三产业融合发展</w:t>
      </w:r>
      <w:r>
        <w:rPr>
          <w:sz w:val="28"/>
          <w:szCs w:val="28"/>
        </w:rPr>
        <w:tab/>
      </w:r>
      <w:r>
        <w:rPr>
          <w:sz w:val="28"/>
          <w:szCs w:val="28"/>
        </w:rPr>
        <w:fldChar w:fldCharType="begin"/>
      </w:r>
      <w:r>
        <w:rPr>
          <w:sz w:val="28"/>
          <w:szCs w:val="28"/>
        </w:rPr>
        <w:instrText xml:space="preserve"> PAGEREF _Toc65514284 \h </w:instrText>
      </w:r>
      <w:r>
        <w:rPr>
          <w:sz w:val="28"/>
          <w:szCs w:val="28"/>
        </w:rPr>
        <w:fldChar w:fldCharType="separate"/>
      </w:r>
      <w:r>
        <w:rPr>
          <w:sz w:val="28"/>
          <w:szCs w:val="28"/>
        </w:rPr>
        <w:t>66</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"_Toc65514285" </w:instrText>
      </w:r>
      <w:r>
        <w:fldChar w:fldCharType="separate"/>
      </w:r>
      <w:r>
        <w:rPr>
          <w:rStyle w:val="14"/>
          <w:rFonts w:hint="eastAsia" w:ascii="仿宋_GB2312" w:hAnsi="Times New Roman" w:eastAsia="仿宋_GB2312"/>
          <w:color w:val="auto"/>
          <w:sz w:val="28"/>
          <w:szCs w:val="28"/>
        </w:rPr>
        <w:t>第四节实施乡村建设行动</w:t>
      </w:r>
      <w:r>
        <w:rPr>
          <w:sz w:val="28"/>
          <w:szCs w:val="28"/>
        </w:rPr>
        <w:tab/>
      </w:r>
      <w:r>
        <w:rPr>
          <w:sz w:val="28"/>
          <w:szCs w:val="28"/>
        </w:rPr>
        <w:fldChar w:fldCharType="begin"/>
      </w:r>
      <w:r>
        <w:rPr>
          <w:sz w:val="28"/>
          <w:szCs w:val="28"/>
        </w:rPr>
        <w:instrText xml:space="preserve"> PAGEREF _Toc65514285 \h </w:instrText>
      </w:r>
      <w:r>
        <w:rPr>
          <w:sz w:val="28"/>
          <w:szCs w:val="28"/>
        </w:rPr>
        <w:fldChar w:fldCharType="separate"/>
      </w:r>
      <w:r>
        <w:rPr>
          <w:sz w:val="28"/>
          <w:szCs w:val="28"/>
        </w:rPr>
        <w:t>69</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"_Toc65514286" </w:instrText>
      </w:r>
      <w:r>
        <w:fldChar w:fldCharType="separate"/>
      </w:r>
      <w:r>
        <w:rPr>
          <w:rStyle w:val="14"/>
          <w:rFonts w:hint="eastAsia" w:ascii="仿宋_GB2312" w:hAnsi="Times New Roman" w:eastAsia="仿宋_GB2312"/>
          <w:color w:val="auto"/>
          <w:sz w:val="28"/>
          <w:szCs w:val="28"/>
        </w:rPr>
        <w:t>第五节实现巩固脱贫攻坚成果同乡村振兴有效衔接</w:t>
      </w:r>
      <w:r>
        <w:rPr>
          <w:sz w:val="28"/>
          <w:szCs w:val="28"/>
        </w:rPr>
        <w:tab/>
      </w:r>
      <w:r>
        <w:rPr>
          <w:sz w:val="28"/>
          <w:szCs w:val="28"/>
        </w:rPr>
        <w:fldChar w:fldCharType="begin"/>
      </w:r>
      <w:r>
        <w:rPr>
          <w:sz w:val="28"/>
          <w:szCs w:val="28"/>
        </w:rPr>
        <w:instrText xml:space="preserve"> PAGEREF _Toc65514286 \h </w:instrText>
      </w:r>
      <w:r>
        <w:rPr>
          <w:sz w:val="28"/>
          <w:szCs w:val="28"/>
        </w:rPr>
        <w:fldChar w:fldCharType="separate"/>
      </w:r>
      <w:r>
        <w:rPr>
          <w:sz w:val="28"/>
          <w:szCs w:val="28"/>
        </w:rPr>
        <w:t>71</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"_Toc65514287" </w:instrText>
      </w:r>
      <w:r>
        <w:fldChar w:fldCharType="separate"/>
      </w:r>
      <w:r>
        <w:rPr>
          <w:rStyle w:val="14"/>
          <w:rFonts w:hint="eastAsia" w:ascii="黑体" w:hAnsi="黑体" w:eastAsia="黑体"/>
          <w:color w:val="auto"/>
          <w:sz w:val="28"/>
          <w:szCs w:val="28"/>
        </w:rPr>
        <w:t>第八章推进新型城镇化，着力促进城乡融合发展</w:t>
      </w:r>
      <w:r>
        <w:rPr>
          <w:sz w:val="28"/>
          <w:szCs w:val="28"/>
        </w:rPr>
        <w:tab/>
      </w:r>
      <w:r>
        <w:rPr>
          <w:sz w:val="28"/>
          <w:szCs w:val="28"/>
        </w:rPr>
        <w:fldChar w:fldCharType="begin"/>
      </w:r>
      <w:r>
        <w:rPr>
          <w:sz w:val="28"/>
          <w:szCs w:val="28"/>
        </w:rPr>
        <w:instrText xml:space="preserve"> PAGEREF _Toc65514287 \h </w:instrText>
      </w:r>
      <w:r>
        <w:rPr>
          <w:sz w:val="28"/>
          <w:szCs w:val="28"/>
        </w:rPr>
        <w:fldChar w:fldCharType="separate"/>
      </w:r>
      <w:r>
        <w:rPr>
          <w:sz w:val="28"/>
          <w:szCs w:val="28"/>
        </w:rPr>
        <w:t>73</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"_Toc65514288" </w:instrText>
      </w:r>
      <w:r>
        <w:fldChar w:fldCharType="separate"/>
      </w:r>
      <w:r>
        <w:rPr>
          <w:rStyle w:val="14"/>
          <w:rFonts w:hint="eastAsia" w:ascii="仿宋_GB2312" w:eastAsia="仿宋_GB2312"/>
          <w:color w:val="auto"/>
          <w:sz w:val="28"/>
          <w:szCs w:val="28"/>
        </w:rPr>
        <w:t>第一节优化城乡空间布局</w:t>
      </w:r>
      <w:r>
        <w:rPr>
          <w:sz w:val="28"/>
          <w:szCs w:val="28"/>
        </w:rPr>
        <w:tab/>
      </w:r>
      <w:r>
        <w:rPr>
          <w:sz w:val="28"/>
          <w:szCs w:val="28"/>
        </w:rPr>
        <w:fldChar w:fldCharType="begin"/>
      </w:r>
      <w:r>
        <w:rPr>
          <w:sz w:val="28"/>
          <w:szCs w:val="28"/>
        </w:rPr>
        <w:instrText xml:space="preserve"> PAGEREF _Toc65514288 \h </w:instrText>
      </w:r>
      <w:r>
        <w:rPr>
          <w:sz w:val="28"/>
          <w:szCs w:val="28"/>
        </w:rPr>
        <w:fldChar w:fldCharType="separate"/>
      </w:r>
      <w:r>
        <w:rPr>
          <w:sz w:val="28"/>
          <w:szCs w:val="28"/>
        </w:rPr>
        <w:t>74</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"_Toc65514289" </w:instrText>
      </w:r>
      <w:r>
        <w:fldChar w:fldCharType="separate"/>
      </w:r>
      <w:r>
        <w:rPr>
          <w:rStyle w:val="14"/>
          <w:rFonts w:hint="eastAsia" w:ascii="仿宋_GB2312" w:eastAsia="仿宋_GB2312"/>
          <w:color w:val="auto"/>
          <w:sz w:val="28"/>
          <w:szCs w:val="28"/>
        </w:rPr>
        <w:t>第二节做优做强中心城区</w:t>
      </w:r>
      <w:r>
        <w:rPr>
          <w:sz w:val="28"/>
          <w:szCs w:val="28"/>
        </w:rPr>
        <w:tab/>
      </w:r>
      <w:r>
        <w:rPr>
          <w:sz w:val="28"/>
          <w:szCs w:val="28"/>
        </w:rPr>
        <w:fldChar w:fldCharType="begin"/>
      </w:r>
      <w:r>
        <w:rPr>
          <w:sz w:val="28"/>
          <w:szCs w:val="28"/>
        </w:rPr>
        <w:instrText xml:space="preserve"> PAGEREF _Toc65514289 \h </w:instrText>
      </w:r>
      <w:r>
        <w:rPr>
          <w:sz w:val="28"/>
          <w:szCs w:val="28"/>
        </w:rPr>
        <w:fldChar w:fldCharType="separate"/>
      </w:r>
      <w:r>
        <w:rPr>
          <w:sz w:val="28"/>
          <w:szCs w:val="28"/>
        </w:rPr>
        <w:t>74</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"_Toc65514290" </w:instrText>
      </w:r>
      <w:r>
        <w:fldChar w:fldCharType="separate"/>
      </w:r>
      <w:r>
        <w:rPr>
          <w:rStyle w:val="14"/>
          <w:rFonts w:hint="eastAsia" w:ascii="仿宋_GB2312" w:eastAsia="仿宋_GB2312"/>
          <w:color w:val="auto"/>
          <w:sz w:val="28"/>
          <w:szCs w:val="28"/>
        </w:rPr>
        <w:t>第三节做精做细特色城镇</w:t>
      </w:r>
      <w:r>
        <w:rPr>
          <w:sz w:val="28"/>
          <w:szCs w:val="28"/>
        </w:rPr>
        <w:tab/>
      </w:r>
      <w:r>
        <w:rPr>
          <w:sz w:val="28"/>
          <w:szCs w:val="28"/>
        </w:rPr>
        <w:fldChar w:fldCharType="begin"/>
      </w:r>
      <w:r>
        <w:rPr>
          <w:sz w:val="28"/>
          <w:szCs w:val="28"/>
        </w:rPr>
        <w:instrText xml:space="preserve"> PAGEREF _Toc65514290 \h </w:instrText>
      </w:r>
      <w:r>
        <w:rPr>
          <w:sz w:val="28"/>
          <w:szCs w:val="28"/>
        </w:rPr>
        <w:fldChar w:fldCharType="separate"/>
      </w:r>
      <w:r>
        <w:rPr>
          <w:sz w:val="28"/>
          <w:szCs w:val="28"/>
        </w:rPr>
        <w:t>79</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"_Toc65514291" </w:instrText>
      </w:r>
      <w:r>
        <w:fldChar w:fldCharType="separate"/>
      </w:r>
      <w:r>
        <w:rPr>
          <w:rStyle w:val="14"/>
          <w:rFonts w:hint="eastAsia" w:ascii="仿宋_GB2312" w:eastAsia="仿宋_GB2312"/>
          <w:color w:val="auto"/>
          <w:sz w:val="28"/>
          <w:szCs w:val="28"/>
        </w:rPr>
        <w:t>第四节完善城乡融合体制机制</w:t>
      </w:r>
      <w:r>
        <w:rPr>
          <w:sz w:val="28"/>
          <w:szCs w:val="28"/>
        </w:rPr>
        <w:tab/>
      </w:r>
      <w:r>
        <w:rPr>
          <w:sz w:val="28"/>
          <w:szCs w:val="28"/>
        </w:rPr>
        <w:fldChar w:fldCharType="begin"/>
      </w:r>
      <w:r>
        <w:rPr>
          <w:sz w:val="28"/>
          <w:szCs w:val="28"/>
        </w:rPr>
        <w:instrText xml:space="preserve"> PAGEREF _Toc65514291 \h </w:instrText>
      </w:r>
      <w:r>
        <w:rPr>
          <w:sz w:val="28"/>
          <w:szCs w:val="28"/>
        </w:rPr>
        <w:fldChar w:fldCharType="separate"/>
      </w:r>
      <w:r>
        <w:rPr>
          <w:sz w:val="28"/>
          <w:szCs w:val="28"/>
        </w:rPr>
        <w:t>80</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"_Toc65514292" </w:instrText>
      </w:r>
      <w:r>
        <w:fldChar w:fldCharType="separate"/>
      </w:r>
      <w:r>
        <w:rPr>
          <w:rStyle w:val="14"/>
          <w:rFonts w:hint="eastAsia" w:ascii="黑体" w:hAnsi="黑体" w:eastAsia="黑体"/>
          <w:color w:val="auto"/>
          <w:sz w:val="28"/>
          <w:szCs w:val="28"/>
        </w:rPr>
        <w:t>第九章促进文化繁荣发展，凝聚“四个西华”高质量发展精神力量</w:t>
      </w:r>
      <w:r>
        <w:rPr>
          <w:sz w:val="28"/>
          <w:szCs w:val="28"/>
        </w:rPr>
        <w:tab/>
      </w:r>
      <w:r>
        <w:rPr>
          <w:sz w:val="28"/>
          <w:szCs w:val="28"/>
        </w:rPr>
        <w:fldChar w:fldCharType="begin"/>
      </w:r>
      <w:r>
        <w:rPr>
          <w:sz w:val="28"/>
          <w:szCs w:val="28"/>
        </w:rPr>
        <w:instrText xml:space="preserve"> PAGEREF _Toc65514292 \h </w:instrText>
      </w:r>
      <w:r>
        <w:rPr>
          <w:sz w:val="28"/>
          <w:szCs w:val="28"/>
        </w:rPr>
        <w:fldChar w:fldCharType="separate"/>
      </w:r>
      <w:r>
        <w:rPr>
          <w:sz w:val="28"/>
          <w:szCs w:val="28"/>
        </w:rPr>
        <w:t>82</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"_Toc65514293" </w:instrText>
      </w:r>
      <w:r>
        <w:fldChar w:fldCharType="separate"/>
      </w:r>
      <w:r>
        <w:rPr>
          <w:rStyle w:val="14"/>
          <w:rFonts w:hint="eastAsia" w:ascii="仿宋_GB2312" w:eastAsia="仿宋_GB2312"/>
          <w:color w:val="auto"/>
          <w:sz w:val="28"/>
          <w:szCs w:val="28"/>
        </w:rPr>
        <w:t>第一节提升社会文明程度</w:t>
      </w:r>
      <w:r>
        <w:rPr>
          <w:sz w:val="28"/>
          <w:szCs w:val="28"/>
        </w:rPr>
        <w:tab/>
      </w:r>
      <w:r>
        <w:rPr>
          <w:sz w:val="28"/>
          <w:szCs w:val="28"/>
        </w:rPr>
        <w:fldChar w:fldCharType="begin"/>
      </w:r>
      <w:r>
        <w:rPr>
          <w:sz w:val="28"/>
          <w:szCs w:val="28"/>
        </w:rPr>
        <w:instrText xml:space="preserve"> PAGEREF _Toc65514293 \h </w:instrText>
      </w:r>
      <w:r>
        <w:rPr>
          <w:sz w:val="28"/>
          <w:szCs w:val="28"/>
        </w:rPr>
        <w:fldChar w:fldCharType="separate"/>
      </w:r>
      <w:r>
        <w:rPr>
          <w:sz w:val="28"/>
          <w:szCs w:val="28"/>
        </w:rPr>
        <w:t>82</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"_Toc65514294" </w:instrText>
      </w:r>
      <w:r>
        <w:fldChar w:fldCharType="separate"/>
      </w:r>
      <w:r>
        <w:rPr>
          <w:rStyle w:val="14"/>
          <w:rFonts w:hint="eastAsia" w:ascii="仿宋_GB2312" w:hAnsi="Times New Roman" w:eastAsia="仿宋_GB2312"/>
          <w:color w:val="auto"/>
          <w:sz w:val="28"/>
          <w:szCs w:val="28"/>
        </w:rPr>
        <w:t>第二节构筑新时代西华文化高地</w:t>
      </w:r>
      <w:r>
        <w:rPr>
          <w:sz w:val="28"/>
          <w:szCs w:val="28"/>
        </w:rPr>
        <w:tab/>
      </w:r>
      <w:r>
        <w:rPr>
          <w:sz w:val="28"/>
          <w:szCs w:val="28"/>
        </w:rPr>
        <w:fldChar w:fldCharType="begin"/>
      </w:r>
      <w:r>
        <w:rPr>
          <w:sz w:val="28"/>
          <w:szCs w:val="28"/>
        </w:rPr>
        <w:instrText xml:space="preserve"> PAGEREF _Toc65514294 \h </w:instrText>
      </w:r>
      <w:r>
        <w:rPr>
          <w:sz w:val="28"/>
          <w:szCs w:val="28"/>
        </w:rPr>
        <w:fldChar w:fldCharType="separate"/>
      </w:r>
      <w:r>
        <w:rPr>
          <w:sz w:val="28"/>
          <w:szCs w:val="28"/>
        </w:rPr>
        <w:t>84</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"_Toc65514295" </w:instrText>
      </w:r>
      <w:r>
        <w:fldChar w:fldCharType="separate"/>
      </w:r>
      <w:r>
        <w:rPr>
          <w:rStyle w:val="14"/>
          <w:rFonts w:hint="eastAsia" w:ascii="仿宋_GB2312" w:hAnsi="Times New Roman" w:eastAsia="仿宋_GB2312"/>
          <w:color w:val="auto"/>
          <w:sz w:val="28"/>
          <w:szCs w:val="28"/>
        </w:rPr>
        <w:t>第三节提升公共文化服务水平</w:t>
      </w:r>
      <w:r>
        <w:rPr>
          <w:sz w:val="28"/>
          <w:szCs w:val="28"/>
        </w:rPr>
        <w:tab/>
      </w:r>
      <w:r>
        <w:rPr>
          <w:sz w:val="28"/>
          <w:szCs w:val="28"/>
        </w:rPr>
        <w:fldChar w:fldCharType="begin"/>
      </w:r>
      <w:r>
        <w:rPr>
          <w:sz w:val="28"/>
          <w:szCs w:val="28"/>
        </w:rPr>
        <w:instrText xml:space="preserve"> PAGEREF _Toc65514295 \h </w:instrText>
      </w:r>
      <w:r>
        <w:rPr>
          <w:sz w:val="28"/>
          <w:szCs w:val="28"/>
        </w:rPr>
        <w:fldChar w:fldCharType="separate"/>
      </w:r>
      <w:r>
        <w:rPr>
          <w:sz w:val="28"/>
          <w:szCs w:val="28"/>
        </w:rPr>
        <w:t>86</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"_Toc65514296" </w:instrText>
      </w:r>
      <w:r>
        <w:fldChar w:fldCharType="separate"/>
      </w:r>
      <w:r>
        <w:rPr>
          <w:rStyle w:val="14"/>
          <w:rFonts w:hint="eastAsia" w:ascii="仿宋_GB2312" w:hAnsi="Times New Roman" w:eastAsia="仿宋_GB2312"/>
          <w:color w:val="auto"/>
          <w:sz w:val="28"/>
          <w:szCs w:val="28"/>
        </w:rPr>
        <w:t>第四节健全现代文化产业体系</w:t>
      </w:r>
      <w:r>
        <w:rPr>
          <w:sz w:val="28"/>
          <w:szCs w:val="28"/>
        </w:rPr>
        <w:tab/>
      </w:r>
      <w:r>
        <w:rPr>
          <w:sz w:val="28"/>
          <w:szCs w:val="28"/>
        </w:rPr>
        <w:fldChar w:fldCharType="begin"/>
      </w:r>
      <w:r>
        <w:rPr>
          <w:sz w:val="28"/>
          <w:szCs w:val="28"/>
        </w:rPr>
        <w:instrText xml:space="preserve"> PAGEREF _Toc65514296 \h </w:instrText>
      </w:r>
      <w:r>
        <w:rPr>
          <w:sz w:val="28"/>
          <w:szCs w:val="28"/>
        </w:rPr>
        <w:fldChar w:fldCharType="separate"/>
      </w:r>
      <w:r>
        <w:rPr>
          <w:sz w:val="28"/>
          <w:szCs w:val="28"/>
        </w:rPr>
        <w:t>88</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"_Toc65514297" </w:instrText>
      </w:r>
      <w:r>
        <w:fldChar w:fldCharType="separate"/>
      </w:r>
      <w:r>
        <w:rPr>
          <w:rStyle w:val="14"/>
          <w:rFonts w:hint="eastAsia" w:ascii="黑体" w:hAnsi="黑体" w:eastAsia="黑体"/>
          <w:color w:val="auto"/>
          <w:sz w:val="28"/>
          <w:szCs w:val="28"/>
        </w:rPr>
        <w:t>第十章坚持绿色发展，加快推进生态文明建设</w:t>
      </w:r>
      <w:r>
        <w:rPr>
          <w:sz w:val="28"/>
          <w:szCs w:val="28"/>
        </w:rPr>
        <w:tab/>
      </w:r>
      <w:r>
        <w:rPr>
          <w:sz w:val="28"/>
          <w:szCs w:val="28"/>
        </w:rPr>
        <w:fldChar w:fldCharType="begin"/>
      </w:r>
      <w:r>
        <w:rPr>
          <w:sz w:val="28"/>
          <w:szCs w:val="28"/>
        </w:rPr>
        <w:instrText xml:space="preserve"> PAGEREF _Toc65514297 \h </w:instrText>
      </w:r>
      <w:r>
        <w:rPr>
          <w:sz w:val="28"/>
          <w:szCs w:val="28"/>
        </w:rPr>
        <w:fldChar w:fldCharType="separate"/>
      </w:r>
      <w:r>
        <w:rPr>
          <w:sz w:val="28"/>
          <w:szCs w:val="28"/>
        </w:rPr>
        <w:t>91</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"_Toc65514298" </w:instrText>
      </w:r>
      <w:r>
        <w:fldChar w:fldCharType="separate"/>
      </w:r>
      <w:r>
        <w:rPr>
          <w:rStyle w:val="14"/>
          <w:rFonts w:hint="eastAsia" w:ascii="仿宋_GB2312" w:eastAsia="仿宋_GB2312"/>
          <w:color w:val="auto"/>
          <w:sz w:val="28"/>
          <w:szCs w:val="28"/>
        </w:rPr>
        <w:t>第一节推进生态保护与修复</w:t>
      </w:r>
      <w:r>
        <w:rPr>
          <w:sz w:val="28"/>
          <w:szCs w:val="28"/>
        </w:rPr>
        <w:tab/>
      </w:r>
      <w:r>
        <w:rPr>
          <w:sz w:val="28"/>
          <w:szCs w:val="28"/>
        </w:rPr>
        <w:fldChar w:fldCharType="begin"/>
      </w:r>
      <w:r>
        <w:rPr>
          <w:sz w:val="28"/>
          <w:szCs w:val="28"/>
        </w:rPr>
        <w:instrText xml:space="preserve"> PAGEREF _Toc65514298 \h </w:instrText>
      </w:r>
      <w:r>
        <w:rPr>
          <w:sz w:val="28"/>
          <w:szCs w:val="28"/>
        </w:rPr>
        <w:fldChar w:fldCharType="separate"/>
      </w:r>
      <w:r>
        <w:rPr>
          <w:sz w:val="28"/>
          <w:szCs w:val="28"/>
        </w:rPr>
        <w:t>91</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"_Toc65514299" </w:instrText>
      </w:r>
      <w:r>
        <w:fldChar w:fldCharType="separate"/>
      </w:r>
      <w:r>
        <w:rPr>
          <w:rStyle w:val="14"/>
          <w:rFonts w:hint="eastAsia" w:ascii="仿宋_GB2312" w:hAnsi="Times New Roman" w:eastAsia="仿宋_GB2312"/>
          <w:color w:val="auto"/>
          <w:sz w:val="28"/>
          <w:szCs w:val="28"/>
        </w:rPr>
        <w:t>第二节全面改善环境质量</w:t>
      </w:r>
      <w:r>
        <w:rPr>
          <w:sz w:val="28"/>
          <w:szCs w:val="28"/>
        </w:rPr>
        <w:tab/>
      </w:r>
      <w:r>
        <w:rPr>
          <w:sz w:val="28"/>
          <w:szCs w:val="28"/>
        </w:rPr>
        <w:fldChar w:fldCharType="begin"/>
      </w:r>
      <w:r>
        <w:rPr>
          <w:sz w:val="28"/>
          <w:szCs w:val="28"/>
        </w:rPr>
        <w:instrText xml:space="preserve"> PAGEREF _Toc65514299 \h </w:instrText>
      </w:r>
      <w:r>
        <w:rPr>
          <w:sz w:val="28"/>
          <w:szCs w:val="28"/>
        </w:rPr>
        <w:fldChar w:fldCharType="separate"/>
      </w:r>
      <w:r>
        <w:rPr>
          <w:sz w:val="28"/>
          <w:szCs w:val="28"/>
        </w:rPr>
        <w:t>93</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"_Toc65514300" </w:instrText>
      </w:r>
      <w:r>
        <w:fldChar w:fldCharType="separate"/>
      </w:r>
      <w:r>
        <w:rPr>
          <w:rStyle w:val="14"/>
          <w:rFonts w:hint="eastAsia" w:ascii="仿宋_GB2312" w:hAnsi="Times New Roman" w:eastAsia="仿宋_GB2312"/>
          <w:color w:val="auto"/>
          <w:sz w:val="28"/>
          <w:szCs w:val="28"/>
        </w:rPr>
        <w:t>第三节提升资源综合利用效率</w:t>
      </w:r>
      <w:r>
        <w:rPr>
          <w:sz w:val="28"/>
          <w:szCs w:val="28"/>
        </w:rPr>
        <w:tab/>
      </w:r>
      <w:r>
        <w:rPr>
          <w:sz w:val="28"/>
          <w:szCs w:val="28"/>
        </w:rPr>
        <w:fldChar w:fldCharType="begin"/>
      </w:r>
      <w:r>
        <w:rPr>
          <w:sz w:val="28"/>
          <w:szCs w:val="28"/>
        </w:rPr>
        <w:instrText xml:space="preserve"> PAGEREF _Toc65514300 \h </w:instrText>
      </w:r>
      <w:r>
        <w:rPr>
          <w:sz w:val="28"/>
          <w:szCs w:val="28"/>
        </w:rPr>
        <w:fldChar w:fldCharType="separate"/>
      </w:r>
      <w:r>
        <w:rPr>
          <w:sz w:val="28"/>
          <w:szCs w:val="28"/>
        </w:rPr>
        <w:t>95</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"_Toc65514301" </w:instrText>
      </w:r>
      <w:r>
        <w:fldChar w:fldCharType="separate"/>
      </w:r>
      <w:r>
        <w:rPr>
          <w:rStyle w:val="14"/>
          <w:rFonts w:hint="eastAsia" w:ascii="仿宋_GB2312" w:hAnsi="Times New Roman" w:eastAsia="仿宋_GB2312"/>
          <w:color w:val="auto"/>
          <w:sz w:val="28"/>
          <w:szCs w:val="28"/>
        </w:rPr>
        <w:t>第四节积极践行绿色发展方式</w:t>
      </w:r>
      <w:r>
        <w:rPr>
          <w:sz w:val="28"/>
          <w:szCs w:val="28"/>
        </w:rPr>
        <w:tab/>
      </w:r>
      <w:r>
        <w:rPr>
          <w:sz w:val="28"/>
          <w:szCs w:val="28"/>
        </w:rPr>
        <w:fldChar w:fldCharType="begin"/>
      </w:r>
      <w:r>
        <w:rPr>
          <w:sz w:val="28"/>
          <w:szCs w:val="28"/>
        </w:rPr>
        <w:instrText xml:space="preserve"> PAGEREF _Toc65514301 \h </w:instrText>
      </w:r>
      <w:r>
        <w:rPr>
          <w:sz w:val="28"/>
          <w:szCs w:val="28"/>
        </w:rPr>
        <w:fldChar w:fldCharType="separate"/>
      </w:r>
      <w:r>
        <w:rPr>
          <w:sz w:val="28"/>
          <w:szCs w:val="28"/>
        </w:rPr>
        <w:t>98</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"_Toc65514302" </w:instrText>
      </w:r>
      <w:r>
        <w:fldChar w:fldCharType="separate"/>
      </w:r>
      <w:r>
        <w:rPr>
          <w:rStyle w:val="14"/>
          <w:rFonts w:hint="eastAsia" w:ascii="黑体" w:hAnsi="黑体" w:eastAsia="黑体"/>
          <w:color w:val="auto"/>
          <w:sz w:val="28"/>
          <w:szCs w:val="28"/>
        </w:rPr>
        <w:t>第十一章夯实发展支撑，构建现代基础设施支撑体系</w:t>
      </w:r>
      <w:r>
        <w:rPr>
          <w:sz w:val="28"/>
          <w:szCs w:val="28"/>
        </w:rPr>
        <w:tab/>
      </w:r>
      <w:r>
        <w:rPr>
          <w:sz w:val="28"/>
          <w:szCs w:val="28"/>
        </w:rPr>
        <w:fldChar w:fldCharType="begin"/>
      </w:r>
      <w:r>
        <w:rPr>
          <w:sz w:val="28"/>
          <w:szCs w:val="28"/>
        </w:rPr>
        <w:instrText xml:space="preserve"> PAGEREF _Toc65514302 \h </w:instrText>
      </w:r>
      <w:r>
        <w:rPr>
          <w:sz w:val="28"/>
          <w:szCs w:val="28"/>
        </w:rPr>
        <w:fldChar w:fldCharType="separate"/>
      </w:r>
      <w:r>
        <w:rPr>
          <w:sz w:val="28"/>
          <w:szCs w:val="28"/>
        </w:rPr>
        <w:t>99</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"_Toc65514303" </w:instrText>
      </w:r>
      <w:r>
        <w:fldChar w:fldCharType="separate"/>
      </w:r>
      <w:r>
        <w:rPr>
          <w:rStyle w:val="14"/>
          <w:rFonts w:hint="eastAsia" w:ascii="仿宋_GB2312" w:eastAsia="仿宋_GB2312"/>
          <w:color w:val="auto"/>
          <w:sz w:val="28"/>
          <w:szCs w:val="28"/>
        </w:rPr>
        <w:t>第一节打造现代交通体系</w:t>
      </w:r>
      <w:r>
        <w:rPr>
          <w:sz w:val="28"/>
          <w:szCs w:val="28"/>
        </w:rPr>
        <w:tab/>
      </w:r>
      <w:r>
        <w:rPr>
          <w:sz w:val="28"/>
          <w:szCs w:val="28"/>
        </w:rPr>
        <w:fldChar w:fldCharType="begin"/>
      </w:r>
      <w:r>
        <w:rPr>
          <w:sz w:val="28"/>
          <w:szCs w:val="28"/>
        </w:rPr>
        <w:instrText xml:space="preserve"> PAGEREF _Toc65514303 \h </w:instrText>
      </w:r>
      <w:r>
        <w:rPr>
          <w:sz w:val="28"/>
          <w:szCs w:val="28"/>
        </w:rPr>
        <w:fldChar w:fldCharType="separate"/>
      </w:r>
      <w:r>
        <w:rPr>
          <w:sz w:val="28"/>
          <w:szCs w:val="28"/>
        </w:rPr>
        <w:t>100</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"_Toc65514304" </w:instrText>
      </w:r>
      <w:r>
        <w:fldChar w:fldCharType="separate"/>
      </w:r>
      <w:r>
        <w:rPr>
          <w:rStyle w:val="14"/>
          <w:rFonts w:hint="eastAsia" w:ascii="仿宋_GB2312" w:eastAsia="仿宋_GB2312"/>
          <w:color w:val="auto"/>
          <w:sz w:val="28"/>
          <w:szCs w:val="28"/>
        </w:rPr>
        <w:t>第二节构建现代水利体系</w:t>
      </w:r>
      <w:r>
        <w:rPr>
          <w:sz w:val="28"/>
          <w:szCs w:val="28"/>
        </w:rPr>
        <w:tab/>
      </w:r>
      <w:r>
        <w:rPr>
          <w:sz w:val="28"/>
          <w:szCs w:val="28"/>
        </w:rPr>
        <w:fldChar w:fldCharType="begin"/>
      </w:r>
      <w:r>
        <w:rPr>
          <w:sz w:val="28"/>
          <w:szCs w:val="28"/>
        </w:rPr>
        <w:instrText xml:space="preserve"> PAGEREF _Toc65514304 \h </w:instrText>
      </w:r>
      <w:r>
        <w:rPr>
          <w:sz w:val="28"/>
          <w:szCs w:val="28"/>
        </w:rPr>
        <w:fldChar w:fldCharType="separate"/>
      </w:r>
      <w:r>
        <w:rPr>
          <w:sz w:val="28"/>
          <w:szCs w:val="28"/>
        </w:rPr>
        <w:t>102</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"_Toc65514305" </w:instrText>
      </w:r>
      <w:r>
        <w:fldChar w:fldCharType="separate"/>
      </w:r>
      <w:r>
        <w:rPr>
          <w:rStyle w:val="14"/>
          <w:rFonts w:hint="eastAsia" w:ascii="仿宋_GB2312" w:eastAsia="仿宋_GB2312"/>
          <w:color w:val="auto"/>
          <w:sz w:val="28"/>
          <w:szCs w:val="28"/>
        </w:rPr>
        <w:t>第三节推进清洁低碳能源体系建设</w:t>
      </w:r>
      <w:r>
        <w:rPr>
          <w:sz w:val="28"/>
          <w:szCs w:val="28"/>
        </w:rPr>
        <w:tab/>
      </w:r>
      <w:r>
        <w:rPr>
          <w:sz w:val="28"/>
          <w:szCs w:val="28"/>
        </w:rPr>
        <w:fldChar w:fldCharType="begin"/>
      </w:r>
      <w:r>
        <w:rPr>
          <w:sz w:val="28"/>
          <w:szCs w:val="28"/>
        </w:rPr>
        <w:instrText xml:space="preserve"> PAGEREF _Toc65514305 \h </w:instrText>
      </w:r>
      <w:r>
        <w:rPr>
          <w:sz w:val="28"/>
          <w:szCs w:val="28"/>
        </w:rPr>
        <w:fldChar w:fldCharType="separate"/>
      </w:r>
      <w:r>
        <w:rPr>
          <w:sz w:val="28"/>
          <w:szCs w:val="28"/>
        </w:rPr>
        <w:t>103</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"_Toc65514306" </w:instrText>
      </w:r>
      <w:r>
        <w:fldChar w:fldCharType="separate"/>
      </w:r>
      <w:r>
        <w:rPr>
          <w:rStyle w:val="14"/>
          <w:rFonts w:hint="eastAsia" w:ascii="仿宋_GB2312" w:hAnsi="Times New Roman" w:eastAsia="仿宋_GB2312"/>
          <w:color w:val="auto"/>
          <w:sz w:val="28"/>
          <w:szCs w:val="28"/>
        </w:rPr>
        <w:t>第四节打造高效信息基础设施</w:t>
      </w:r>
      <w:r>
        <w:rPr>
          <w:sz w:val="28"/>
          <w:szCs w:val="28"/>
        </w:rPr>
        <w:tab/>
      </w:r>
      <w:r>
        <w:rPr>
          <w:sz w:val="28"/>
          <w:szCs w:val="28"/>
        </w:rPr>
        <w:fldChar w:fldCharType="begin"/>
      </w:r>
      <w:r>
        <w:rPr>
          <w:sz w:val="28"/>
          <w:szCs w:val="28"/>
        </w:rPr>
        <w:instrText xml:space="preserve"> PAGEREF _Toc65514306 \h </w:instrText>
      </w:r>
      <w:r>
        <w:rPr>
          <w:sz w:val="28"/>
          <w:szCs w:val="28"/>
        </w:rPr>
        <w:fldChar w:fldCharType="separate"/>
      </w:r>
      <w:r>
        <w:rPr>
          <w:sz w:val="28"/>
          <w:szCs w:val="28"/>
        </w:rPr>
        <w:t>105</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"_Toc65514307" </w:instrText>
      </w:r>
      <w:r>
        <w:fldChar w:fldCharType="separate"/>
      </w:r>
      <w:r>
        <w:rPr>
          <w:rStyle w:val="14"/>
          <w:rFonts w:hint="eastAsia" w:ascii="黑体" w:hAnsi="黑体" w:eastAsia="黑体"/>
          <w:color w:val="auto"/>
          <w:sz w:val="28"/>
          <w:szCs w:val="28"/>
        </w:rPr>
        <w:t>第十二章改善人民生活品质，加快建设幸福美好家园</w:t>
      </w:r>
      <w:r>
        <w:rPr>
          <w:sz w:val="28"/>
          <w:szCs w:val="28"/>
        </w:rPr>
        <w:tab/>
      </w:r>
      <w:r>
        <w:rPr>
          <w:sz w:val="28"/>
          <w:szCs w:val="28"/>
        </w:rPr>
        <w:fldChar w:fldCharType="begin"/>
      </w:r>
      <w:r>
        <w:rPr>
          <w:sz w:val="28"/>
          <w:szCs w:val="28"/>
        </w:rPr>
        <w:instrText xml:space="preserve"> PAGEREF _Toc65514307 \h </w:instrText>
      </w:r>
      <w:r>
        <w:rPr>
          <w:sz w:val="28"/>
          <w:szCs w:val="28"/>
        </w:rPr>
        <w:fldChar w:fldCharType="separate"/>
      </w:r>
      <w:r>
        <w:rPr>
          <w:sz w:val="28"/>
          <w:szCs w:val="28"/>
        </w:rPr>
        <w:t>107</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"_Toc65514308" </w:instrText>
      </w:r>
      <w:r>
        <w:fldChar w:fldCharType="separate"/>
      </w:r>
      <w:r>
        <w:rPr>
          <w:rStyle w:val="14"/>
          <w:rFonts w:hint="eastAsia" w:ascii="仿宋_GB2312" w:hAnsi="Times New Roman" w:eastAsia="仿宋_GB2312"/>
          <w:color w:val="auto"/>
          <w:sz w:val="28"/>
          <w:szCs w:val="28"/>
        </w:rPr>
        <w:t>第一节推进更高质量充分就业</w:t>
      </w:r>
      <w:r>
        <w:rPr>
          <w:sz w:val="28"/>
          <w:szCs w:val="28"/>
        </w:rPr>
        <w:tab/>
      </w:r>
      <w:r>
        <w:rPr>
          <w:sz w:val="28"/>
          <w:szCs w:val="28"/>
        </w:rPr>
        <w:fldChar w:fldCharType="begin"/>
      </w:r>
      <w:r>
        <w:rPr>
          <w:sz w:val="28"/>
          <w:szCs w:val="28"/>
        </w:rPr>
        <w:instrText xml:space="preserve"> PAGEREF _Toc65514308 \h </w:instrText>
      </w:r>
      <w:r>
        <w:rPr>
          <w:sz w:val="28"/>
          <w:szCs w:val="28"/>
        </w:rPr>
        <w:fldChar w:fldCharType="separate"/>
      </w:r>
      <w:r>
        <w:rPr>
          <w:sz w:val="28"/>
          <w:szCs w:val="28"/>
        </w:rPr>
        <w:t>107</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"_Toc65514309" </w:instrText>
      </w:r>
      <w:r>
        <w:fldChar w:fldCharType="separate"/>
      </w:r>
      <w:r>
        <w:rPr>
          <w:rStyle w:val="14"/>
          <w:rFonts w:hint="eastAsia" w:ascii="仿宋_GB2312" w:hAnsi="Times New Roman" w:eastAsia="仿宋_GB2312"/>
          <w:color w:val="auto"/>
          <w:sz w:val="28"/>
          <w:szCs w:val="28"/>
        </w:rPr>
        <w:t>第二节加快推进教育现代化</w:t>
      </w:r>
      <w:r>
        <w:rPr>
          <w:sz w:val="28"/>
          <w:szCs w:val="28"/>
        </w:rPr>
        <w:tab/>
      </w:r>
      <w:r>
        <w:rPr>
          <w:sz w:val="28"/>
          <w:szCs w:val="28"/>
        </w:rPr>
        <w:fldChar w:fldCharType="begin"/>
      </w:r>
      <w:r>
        <w:rPr>
          <w:sz w:val="28"/>
          <w:szCs w:val="28"/>
        </w:rPr>
        <w:instrText xml:space="preserve"> PAGEREF _Toc65514309 \h </w:instrText>
      </w:r>
      <w:r>
        <w:rPr>
          <w:sz w:val="28"/>
          <w:szCs w:val="28"/>
        </w:rPr>
        <w:fldChar w:fldCharType="separate"/>
      </w:r>
      <w:r>
        <w:rPr>
          <w:sz w:val="28"/>
          <w:szCs w:val="28"/>
        </w:rPr>
        <w:t>110</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"_Toc65514310" </w:instrText>
      </w:r>
      <w:r>
        <w:fldChar w:fldCharType="separate"/>
      </w:r>
      <w:r>
        <w:rPr>
          <w:rStyle w:val="14"/>
          <w:rFonts w:hint="eastAsia" w:ascii="仿宋_GB2312" w:hAnsi="Times New Roman" w:eastAsia="仿宋_GB2312"/>
          <w:color w:val="auto"/>
          <w:sz w:val="28"/>
          <w:szCs w:val="28"/>
        </w:rPr>
        <w:t>第三节深入实施健康西华行动</w:t>
      </w:r>
      <w:r>
        <w:rPr>
          <w:sz w:val="28"/>
          <w:szCs w:val="28"/>
        </w:rPr>
        <w:tab/>
      </w:r>
      <w:r>
        <w:rPr>
          <w:sz w:val="28"/>
          <w:szCs w:val="28"/>
        </w:rPr>
        <w:fldChar w:fldCharType="begin"/>
      </w:r>
      <w:r>
        <w:rPr>
          <w:sz w:val="28"/>
          <w:szCs w:val="28"/>
        </w:rPr>
        <w:instrText xml:space="preserve"> PAGEREF _Toc65514310 \h </w:instrText>
      </w:r>
      <w:r>
        <w:rPr>
          <w:sz w:val="28"/>
          <w:szCs w:val="28"/>
        </w:rPr>
        <w:fldChar w:fldCharType="separate"/>
      </w:r>
      <w:r>
        <w:rPr>
          <w:sz w:val="28"/>
          <w:szCs w:val="28"/>
        </w:rPr>
        <w:t>110</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"_Toc65514311" </w:instrText>
      </w:r>
      <w:r>
        <w:fldChar w:fldCharType="separate"/>
      </w:r>
      <w:r>
        <w:rPr>
          <w:rStyle w:val="14"/>
          <w:rFonts w:hint="eastAsia" w:ascii="仿宋_GB2312" w:hAnsi="Times New Roman" w:eastAsia="仿宋_GB2312"/>
          <w:color w:val="auto"/>
          <w:sz w:val="28"/>
          <w:szCs w:val="28"/>
        </w:rPr>
        <w:t>第四节促进妇女儿童和青年全面发展</w:t>
      </w:r>
      <w:r>
        <w:rPr>
          <w:sz w:val="28"/>
          <w:szCs w:val="28"/>
        </w:rPr>
        <w:tab/>
      </w:r>
      <w:r>
        <w:rPr>
          <w:sz w:val="28"/>
          <w:szCs w:val="28"/>
        </w:rPr>
        <w:fldChar w:fldCharType="begin"/>
      </w:r>
      <w:r>
        <w:rPr>
          <w:sz w:val="28"/>
          <w:szCs w:val="28"/>
        </w:rPr>
        <w:instrText xml:space="preserve"> PAGEREF _Toc65514311 \h </w:instrText>
      </w:r>
      <w:r>
        <w:rPr>
          <w:sz w:val="28"/>
          <w:szCs w:val="28"/>
        </w:rPr>
        <w:fldChar w:fldCharType="separate"/>
      </w:r>
      <w:r>
        <w:rPr>
          <w:sz w:val="28"/>
          <w:szCs w:val="28"/>
        </w:rPr>
        <w:t>118</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"_Toc65514312" </w:instrText>
      </w:r>
      <w:r>
        <w:fldChar w:fldCharType="separate"/>
      </w:r>
      <w:r>
        <w:rPr>
          <w:rStyle w:val="14"/>
          <w:rFonts w:hint="eastAsia" w:ascii="仿宋_GB2312" w:hAnsi="Times New Roman" w:eastAsia="仿宋_GB2312"/>
          <w:color w:val="auto"/>
          <w:sz w:val="28"/>
          <w:szCs w:val="28"/>
        </w:rPr>
        <w:t>第五节完善社会保障体系</w:t>
      </w:r>
      <w:r>
        <w:rPr>
          <w:sz w:val="28"/>
          <w:szCs w:val="28"/>
        </w:rPr>
        <w:tab/>
      </w:r>
      <w:r>
        <w:rPr>
          <w:sz w:val="28"/>
          <w:szCs w:val="28"/>
        </w:rPr>
        <w:fldChar w:fldCharType="begin"/>
      </w:r>
      <w:r>
        <w:rPr>
          <w:sz w:val="28"/>
          <w:szCs w:val="28"/>
        </w:rPr>
        <w:instrText xml:space="preserve"> PAGEREF _Toc65514312 \h </w:instrText>
      </w:r>
      <w:r>
        <w:rPr>
          <w:sz w:val="28"/>
          <w:szCs w:val="28"/>
        </w:rPr>
        <w:fldChar w:fldCharType="separate"/>
      </w:r>
      <w:r>
        <w:rPr>
          <w:sz w:val="28"/>
          <w:szCs w:val="28"/>
        </w:rPr>
        <w:t>120</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"_Toc65514313" </w:instrText>
      </w:r>
      <w:r>
        <w:fldChar w:fldCharType="separate"/>
      </w:r>
      <w:r>
        <w:rPr>
          <w:rStyle w:val="14"/>
          <w:rFonts w:hint="eastAsia" w:ascii="黑体" w:hAnsi="黑体" w:eastAsia="黑体"/>
          <w:bCs/>
          <w:color w:val="auto"/>
          <w:sz w:val="28"/>
          <w:szCs w:val="28"/>
        </w:rPr>
        <w:t>第十三章统筹发展和安全，筑牢安全发展底线</w:t>
      </w:r>
      <w:r>
        <w:rPr>
          <w:sz w:val="28"/>
          <w:szCs w:val="28"/>
        </w:rPr>
        <w:tab/>
      </w:r>
      <w:r>
        <w:rPr>
          <w:sz w:val="28"/>
          <w:szCs w:val="28"/>
        </w:rPr>
        <w:fldChar w:fldCharType="begin"/>
      </w:r>
      <w:r>
        <w:rPr>
          <w:sz w:val="28"/>
          <w:szCs w:val="28"/>
        </w:rPr>
        <w:instrText xml:space="preserve"> PAGEREF _Toc65514313 \h </w:instrText>
      </w:r>
      <w:r>
        <w:rPr>
          <w:sz w:val="28"/>
          <w:szCs w:val="28"/>
        </w:rPr>
        <w:fldChar w:fldCharType="separate"/>
      </w:r>
      <w:r>
        <w:rPr>
          <w:sz w:val="28"/>
          <w:szCs w:val="28"/>
        </w:rPr>
        <w:t>123</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"_Toc65514314" </w:instrText>
      </w:r>
      <w:r>
        <w:fldChar w:fldCharType="separate"/>
      </w:r>
      <w:r>
        <w:rPr>
          <w:rStyle w:val="14"/>
          <w:rFonts w:hint="eastAsia" w:ascii="仿宋_GB2312" w:hAnsi="Times New Roman" w:eastAsia="仿宋_GB2312"/>
          <w:color w:val="auto"/>
          <w:sz w:val="28"/>
          <w:szCs w:val="28"/>
        </w:rPr>
        <w:t>第一节加强国家安全体系和能力建设</w:t>
      </w:r>
      <w:r>
        <w:rPr>
          <w:sz w:val="28"/>
          <w:szCs w:val="28"/>
        </w:rPr>
        <w:tab/>
      </w:r>
      <w:r>
        <w:rPr>
          <w:sz w:val="28"/>
          <w:szCs w:val="28"/>
        </w:rPr>
        <w:fldChar w:fldCharType="begin"/>
      </w:r>
      <w:r>
        <w:rPr>
          <w:sz w:val="28"/>
          <w:szCs w:val="28"/>
        </w:rPr>
        <w:instrText xml:space="preserve"> PAGEREF _Toc65514314 \h </w:instrText>
      </w:r>
      <w:r>
        <w:rPr>
          <w:sz w:val="28"/>
          <w:szCs w:val="28"/>
        </w:rPr>
        <w:fldChar w:fldCharType="separate"/>
      </w:r>
      <w:r>
        <w:rPr>
          <w:sz w:val="28"/>
          <w:szCs w:val="28"/>
        </w:rPr>
        <w:t>123</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"_Toc65514315" </w:instrText>
      </w:r>
      <w:r>
        <w:fldChar w:fldCharType="separate"/>
      </w:r>
      <w:r>
        <w:rPr>
          <w:rStyle w:val="14"/>
          <w:rFonts w:hint="eastAsia" w:ascii="仿宋_GB2312" w:hAnsi="Times New Roman" w:eastAsia="仿宋_GB2312"/>
          <w:color w:val="auto"/>
          <w:sz w:val="28"/>
          <w:szCs w:val="28"/>
        </w:rPr>
        <w:t>第二节推进社会治理创新发展</w:t>
      </w:r>
      <w:r>
        <w:rPr>
          <w:sz w:val="28"/>
          <w:szCs w:val="28"/>
        </w:rPr>
        <w:tab/>
      </w:r>
      <w:r>
        <w:rPr>
          <w:sz w:val="28"/>
          <w:szCs w:val="28"/>
        </w:rPr>
        <w:fldChar w:fldCharType="begin"/>
      </w:r>
      <w:r>
        <w:rPr>
          <w:sz w:val="28"/>
          <w:szCs w:val="28"/>
        </w:rPr>
        <w:instrText xml:space="preserve"> PAGEREF _Toc65514315 \h </w:instrText>
      </w:r>
      <w:r>
        <w:rPr>
          <w:sz w:val="28"/>
          <w:szCs w:val="28"/>
        </w:rPr>
        <w:fldChar w:fldCharType="separate"/>
      </w:r>
      <w:r>
        <w:rPr>
          <w:sz w:val="28"/>
          <w:szCs w:val="28"/>
        </w:rPr>
        <w:t>126</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"_Toc65514316" </w:instrText>
      </w:r>
      <w:r>
        <w:fldChar w:fldCharType="separate"/>
      </w:r>
      <w:r>
        <w:rPr>
          <w:rStyle w:val="14"/>
          <w:rFonts w:hint="eastAsia" w:ascii="仿宋_GB2312" w:hAnsi="Times New Roman" w:eastAsia="仿宋_GB2312"/>
          <w:color w:val="auto"/>
          <w:sz w:val="28"/>
          <w:szCs w:val="28"/>
        </w:rPr>
        <w:t>第三节推进社会主义民主法治建设</w:t>
      </w:r>
      <w:r>
        <w:rPr>
          <w:sz w:val="28"/>
          <w:szCs w:val="28"/>
        </w:rPr>
        <w:tab/>
      </w:r>
      <w:r>
        <w:rPr>
          <w:sz w:val="28"/>
          <w:szCs w:val="28"/>
        </w:rPr>
        <w:fldChar w:fldCharType="begin"/>
      </w:r>
      <w:r>
        <w:rPr>
          <w:sz w:val="28"/>
          <w:szCs w:val="28"/>
        </w:rPr>
        <w:instrText xml:space="preserve"> PAGEREF _Toc65514316 \h </w:instrText>
      </w:r>
      <w:r>
        <w:rPr>
          <w:sz w:val="28"/>
          <w:szCs w:val="28"/>
        </w:rPr>
        <w:fldChar w:fldCharType="separate"/>
      </w:r>
      <w:r>
        <w:rPr>
          <w:sz w:val="28"/>
          <w:szCs w:val="28"/>
        </w:rPr>
        <w:t>128</w:t>
      </w:r>
      <w:r>
        <w:rPr>
          <w:sz w:val="28"/>
          <w:szCs w:val="28"/>
        </w:rPr>
        <w:fldChar w:fldCharType="end"/>
      </w:r>
      <w:r>
        <w:rPr>
          <w:sz w:val="28"/>
          <w:szCs w:val="28"/>
        </w:rPr>
        <w:fldChar w:fldCharType="end"/>
      </w:r>
    </w:p>
    <w:p>
      <w:pPr>
        <w:pStyle w:val="8"/>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"_Toc65514317" </w:instrText>
      </w:r>
      <w:r>
        <w:fldChar w:fldCharType="separate"/>
      </w:r>
      <w:r>
        <w:rPr>
          <w:rStyle w:val="14"/>
          <w:rFonts w:hint="eastAsia" w:ascii="黑体" w:hAnsi="黑体" w:eastAsia="黑体"/>
          <w:bCs/>
          <w:color w:val="auto"/>
          <w:sz w:val="28"/>
          <w:szCs w:val="28"/>
        </w:rPr>
        <w:t>第十四章加强规划实施保障</w:t>
      </w:r>
      <w:r>
        <w:rPr>
          <w:rStyle w:val="14"/>
          <w:rFonts w:hint="eastAsia" w:ascii="黑体" w:hAnsi="黑体" w:eastAsia="黑体"/>
          <w:bCs/>
          <w:color w:val="auto"/>
          <w:spacing w:val="-6"/>
          <w:sz w:val="28"/>
          <w:szCs w:val="28"/>
        </w:rPr>
        <w:t>，实现宏伟蓝图目标</w:t>
      </w:r>
      <w:r>
        <w:rPr>
          <w:sz w:val="28"/>
          <w:szCs w:val="28"/>
        </w:rPr>
        <w:tab/>
      </w:r>
      <w:r>
        <w:rPr>
          <w:sz w:val="28"/>
          <w:szCs w:val="28"/>
        </w:rPr>
        <w:fldChar w:fldCharType="begin"/>
      </w:r>
      <w:r>
        <w:rPr>
          <w:sz w:val="28"/>
          <w:szCs w:val="28"/>
        </w:rPr>
        <w:instrText xml:space="preserve"> PAGEREF _Toc65514317 \h </w:instrText>
      </w:r>
      <w:r>
        <w:rPr>
          <w:sz w:val="28"/>
          <w:szCs w:val="28"/>
        </w:rPr>
        <w:fldChar w:fldCharType="separate"/>
      </w:r>
      <w:r>
        <w:rPr>
          <w:sz w:val="28"/>
          <w:szCs w:val="28"/>
        </w:rPr>
        <w:t>130</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"_Toc65514318" </w:instrText>
      </w:r>
      <w:r>
        <w:fldChar w:fldCharType="separate"/>
      </w:r>
      <w:r>
        <w:rPr>
          <w:rStyle w:val="14"/>
          <w:rFonts w:hint="eastAsia" w:ascii="仿宋_GB2312" w:hAnsi="Times New Roman" w:eastAsia="仿宋_GB2312"/>
          <w:color w:val="auto"/>
          <w:sz w:val="28"/>
          <w:szCs w:val="28"/>
        </w:rPr>
        <w:t>第一节加强党的全面领导</w:t>
      </w:r>
      <w:r>
        <w:rPr>
          <w:sz w:val="28"/>
          <w:szCs w:val="28"/>
        </w:rPr>
        <w:tab/>
      </w:r>
      <w:r>
        <w:rPr>
          <w:sz w:val="28"/>
          <w:szCs w:val="28"/>
        </w:rPr>
        <w:fldChar w:fldCharType="begin"/>
      </w:r>
      <w:r>
        <w:rPr>
          <w:sz w:val="28"/>
          <w:szCs w:val="28"/>
        </w:rPr>
        <w:instrText xml:space="preserve"> PAGEREF _Toc65514318 \h </w:instrText>
      </w:r>
      <w:r>
        <w:rPr>
          <w:sz w:val="28"/>
          <w:szCs w:val="28"/>
        </w:rPr>
        <w:fldChar w:fldCharType="separate"/>
      </w:r>
      <w:r>
        <w:rPr>
          <w:sz w:val="28"/>
          <w:szCs w:val="28"/>
        </w:rPr>
        <w:t>130</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"_Toc65514319" </w:instrText>
      </w:r>
      <w:r>
        <w:fldChar w:fldCharType="separate"/>
      </w:r>
      <w:r>
        <w:rPr>
          <w:rStyle w:val="14"/>
          <w:rFonts w:hint="eastAsia" w:ascii="仿宋_GB2312" w:hAnsi="Times New Roman" w:eastAsia="仿宋_GB2312"/>
          <w:color w:val="auto"/>
          <w:sz w:val="28"/>
          <w:szCs w:val="28"/>
        </w:rPr>
        <w:t>第二节完善规划实施机制</w:t>
      </w:r>
      <w:r>
        <w:rPr>
          <w:sz w:val="28"/>
          <w:szCs w:val="28"/>
        </w:rPr>
        <w:tab/>
      </w:r>
      <w:r>
        <w:rPr>
          <w:sz w:val="28"/>
          <w:szCs w:val="28"/>
        </w:rPr>
        <w:fldChar w:fldCharType="begin"/>
      </w:r>
      <w:r>
        <w:rPr>
          <w:sz w:val="28"/>
          <w:szCs w:val="28"/>
        </w:rPr>
        <w:instrText xml:space="preserve"> PAGEREF _Toc65514319 \h </w:instrText>
      </w:r>
      <w:r>
        <w:rPr>
          <w:sz w:val="28"/>
          <w:szCs w:val="28"/>
        </w:rPr>
        <w:fldChar w:fldCharType="separate"/>
      </w:r>
      <w:r>
        <w:rPr>
          <w:sz w:val="28"/>
          <w:szCs w:val="28"/>
        </w:rPr>
        <w:t>132</w:t>
      </w:r>
      <w:r>
        <w:rPr>
          <w:sz w:val="28"/>
          <w:szCs w:val="28"/>
        </w:rPr>
        <w:fldChar w:fldCharType="end"/>
      </w:r>
      <w:r>
        <w:rPr>
          <w:sz w:val="28"/>
          <w:szCs w:val="28"/>
        </w:rPr>
        <w:fldChar w:fldCharType="end"/>
      </w:r>
    </w:p>
    <w:p>
      <w:pPr>
        <w:pStyle w:val="9"/>
        <w:tabs>
          <w:tab w:val="right" w:leader="dot" w:pos="8296"/>
        </w:tabs>
        <w:spacing w:line="360" w:lineRule="auto"/>
        <w:rPr>
          <w:rFonts w:asciiTheme="minorHAnsi" w:hAnsiTheme="minorHAnsi" w:eastAsiaTheme="minorEastAsia" w:cstheme="minorBidi"/>
          <w:sz w:val="28"/>
          <w:szCs w:val="28"/>
        </w:rPr>
      </w:pPr>
      <w:r>
        <w:fldChar w:fldCharType="begin"/>
      </w:r>
      <w:r>
        <w:instrText xml:space="preserve"> HYPERLINK \l "_Toc65514320" </w:instrText>
      </w:r>
      <w:r>
        <w:fldChar w:fldCharType="separate"/>
      </w:r>
      <w:r>
        <w:rPr>
          <w:rStyle w:val="14"/>
          <w:rFonts w:hint="eastAsia" w:ascii="仿宋_GB2312" w:hAnsi="Times New Roman" w:eastAsia="仿宋_GB2312"/>
          <w:color w:val="auto"/>
          <w:sz w:val="28"/>
          <w:szCs w:val="28"/>
        </w:rPr>
        <w:t>第三节充分调动全社会力量</w:t>
      </w:r>
      <w:r>
        <w:rPr>
          <w:sz w:val="28"/>
          <w:szCs w:val="28"/>
        </w:rPr>
        <w:tab/>
      </w:r>
      <w:r>
        <w:rPr>
          <w:sz w:val="28"/>
          <w:szCs w:val="28"/>
        </w:rPr>
        <w:fldChar w:fldCharType="begin"/>
      </w:r>
      <w:r>
        <w:rPr>
          <w:sz w:val="28"/>
          <w:szCs w:val="28"/>
        </w:rPr>
        <w:instrText xml:space="preserve"> PAGEREF _Toc65514320 \h </w:instrText>
      </w:r>
      <w:r>
        <w:rPr>
          <w:sz w:val="28"/>
          <w:szCs w:val="28"/>
        </w:rPr>
        <w:fldChar w:fldCharType="separate"/>
      </w:r>
      <w:r>
        <w:rPr>
          <w:sz w:val="28"/>
          <w:szCs w:val="28"/>
        </w:rPr>
        <w:t>133</w:t>
      </w:r>
      <w:r>
        <w:rPr>
          <w:sz w:val="28"/>
          <w:szCs w:val="28"/>
        </w:rPr>
        <w:fldChar w:fldCharType="end"/>
      </w:r>
      <w:r>
        <w:rPr>
          <w:sz w:val="28"/>
          <w:szCs w:val="28"/>
        </w:rPr>
        <w:fldChar w:fldCharType="end"/>
      </w:r>
    </w:p>
    <w:p>
      <w:pPr>
        <w:spacing w:line="360" w:lineRule="auto"/>
        <w:jc w:val="left"/>
        <w:rPr>
          <w:rFonts w:ascii="方正小标宋简体" w:hAnsi="黑体" w:eastAsia="方正小标宋简体"/>
          <w:spacing w:val="32"/>
          <w:sz w:val="28"/>
          <w:szCs w:val="28"/>
        </w:rPr>
      </w:pPr>
      <w:r>
        <w:rPr>
          <w:rFonts w:ascii="方正小标宋简体" w:hAnsi="黑体" w:eastAsia="方正小标宋简体"/>
          <w:spacing w:val="32"/>
          <w:sz w:val="28"/>
          <w:szCs w:val="28"/>
        </w:rPr>
        <w:fldChar w:fldCharType="end"/>
      </w:r>
    </w:p>
    <w:p>
      <w:pPr>
        <w:spacing w:line="360" w:lineRule="auto"/>
        <w:jc w:val="center"/>
        <w:rPr>
          <w:rFonts w:ascii="方正小标宋简体" w:hAnsi="黑体" w:eastAsia="方正小标宋简体"/>
          <w:spacing w:val="32"/>
          <w:sz w:val="32"/>
          <w:szCs w:val="32"/>
        </w:rPr>
      </w:pPr>
    </w:p>
    <w:p>
      <w:pPr>
        <w:spacing w:line="360" w:lineRule="auto"/>
        <w:jc w:val="center"/>
        <w:rPr>
          <w:rFonts w:ascii="方正小标宋简体" w:hAnsi="黑体" w:eastAsia="方正小标宋简体"/>
          <w:spacing w:val="32"/>
          <w:sz w:val="32"/>
          <w:szCs w:val="32"/>
        </w:rPr>
        <w:sectPr>
          <w:pgSz w:w="11906" w:h="16838"/>
          <w:pgMar w:top="1440" w:right="1800" w:bottom="1440" w:left="1800" w:header="851" w:footer="992" w:gutter="0"/>
          <w:pgNumType w:fmt="upperRoman" w:start="1"/>
          <w:cols w:space="720" w:num="1"/>
          <w:docGrid w:type="lines" w:linePitch="312" w:charSpace="0"/>
        </w:sectPr>
      </w:pPr>
    </w:p>
    <w:p>
      <w:pPr>
        <w:pStyle w:val="2"/>
        <w:spacing w:before="120" w:after="120" w:line="560" w:lineRule="exact"/>
        <w:jc w:val="center"/>
        <w:rPr>
          <w:rFonts w:ascii="黑体" w:hAnsi="黑体" w:eastAsia="黑体"/>
          <w:b w:val="0"/>
          <w:sz w:val="32"/>
          <w:szCs w:val="32"/>
        </w:rPr>
      </w:pPr>
      <w:bookmarkStart w:id="0" w:name="_Toc14094"/>
      <w:bookmarkStart w:id="1" w:name="_Toc65514247"/>
      <w:r>
        <w:rPr>
          <w:rFonts w:hint="eastAsia" w:ascii="黑体" w:hAnsi="黑体" w:eastAsia="黑体"/>
          <w:b w:val="0"/>
          <w:sz w:val="32"/>
          <w:szCs w:val="32"/>
        </w:rPr>
        <w:t>序言</w:t>
      </w:r>
      <w:bookmarkEnd w:id="0"/>
      <w:bookmarkEnd w:id="1"/>
    </w:p>
    <w:p>
      <w:pPr>
        <w:spacing w:line="600" w:lineRule="exact"/>
        <w:ind w:firstLine="640" w:firstLineChars="200"/>
        <w:rPr>
          <w:rFonts w:ascii="黑体" w:hAnsi="黑体" w:eastAsia="黑体"/>
          <w:sz w:val="28"/>
          <w:szCs w:val="28"/>
        </w:rPr>
      </w:pPr>
      <w:r>
        <w:rPr>
          <w:rFonts w:hint="eastAsia" w:ascii="仿宋_GB2312" w:eastAsia="仿宋_GB2312"/>
          <w:sz w:val="32"/>
          <w:szCs w:val="32"/>
        </w:rPr>
        <w:t>“十四五”（</w:t>
      </w:r>
      <w:r>
        <w:rPr>
          <w:rFonts w:ascii="Times New Roman" w:hAnsi="Times New Roman" w:eastAsia="仿宋_GB2312"/>
          <w:sz w:val="32"/>
          <w:szCs w:val="32"/>
        </w:rPr>
        <w:t>2021年</w:t>
      </w:r>
      <w:r>
        <w:rPr>
          <w:rFonts w:hint="eastAsia" w:ascii="Times New Roman" w:hAnsi="Times New Roman" w:eastAsia="仿宋_GB2312"/>
          <w:sz w:val="32"/>
          <w:szCs w:val="32"/>
        </w:rPr>
        <w:t>—</w:t>
      </w:r>
      <w:r>
        <w:rPr>
          <w:rFonts w:ascii="Times New Roman" w:hAnsi="Times New Roman" w:eastAsia="仿宋_GB2312"/>
          <w:sz w:val="32"/>
          <w:szCs w:val="32"/>
        </w:rPr>
        <w:t>2025年</w:t>
      </w:r>
      <w:r>
        <w:rPr>
          <w:rFonts w:hint="eastAsia" w:ascii="仿宋_GB2312" w:eastAsia="仿宋_GB2312"/>
          <w:sz w:val="32"/>
          <w:szCs w:val="32"/>
        </w:rPr>
        <w:t>）时期是我县开启全面建设社会主义现代化新征程、谱写新时代中原更加出彩西华绚丽新篇章的关键时期，是推动经济社会高质量发展的转型攻坚期。本纲要根据《中共西华县委关于制定西华县国民经济和社会发展第十四个五年规划和二○三五年远景目标的建议》编制，主要阐明未来五年全县发展战略意图、明确工作重点、引导规范市场主体行为，统筹重大任务举措，是政府履行职责的重要依据，是今后五年乃至更长时期全县发展的宏伟蓝图和全县人民共同奋斗的行动纲领。</w:t>
      </w:r>
    </w:p>
    <w:p>
      <w:pPr>
        <w:pStyle w:val="2"/>
        <w:spacing w:before="0" w:after="0" w:line="576" w:lineRule="exact"/>
        <w:ind w:firstLine="640" w:firstLineChars="200"/>
        <w:jc w:val="left"/>
        <w:rPr>
          <w:rFonts w:ascii="黑体" w:hAnsi="黑体" w:eastAsia="黑体" w:cs="黑体"/>
          <w:b w:val="0"/>
          <w:spacing w:val="6"/>
          <w:kern w:val="2"/>
          <w:sz w:val="32"/>
          <w:szCs w:val="32"/>
        </w:rPr>
      </w:pPr>
      <w:bookmarkStart w:id="2" w:name="_Toc27726"/>
      <w:bookmarkStart w:id="3" w:name="_Toc65514248"/>
      <w:r>
        <w:rPr>
          <w:rFonts w:hint="eastAsia" w:ascii="黑体" w:hAnsi="黑体" w:eastAsia="黑体"/>
          <w:b w:val="0"/>
          <w:sz w:val="32"/>
          <w:szCs w:val="32"/>
        </w:rPr>
        <w:t>第一章</w:t>
      </w:r>
      <w:bookmarkEnd w:id="2"/>
      <w:r>
        <w:rPr>
          <w:rFonts w:hint="eastAsia" w:ascii="黑体" w:hAnsi="黑体" w:eastAsia="黑体" w:cs="黑体"/>
          <w:b w:val="0"/>
          <w:spacing w:val="6"/>
          <w:kern w:val="2"/>
          <w:sz w:val="32"/>
          <w:szCs w:val="32"/>
        </w:rPr>
        <w:t>全面建成小康社会，开启“四区”统筹战略新征程，谱写“四个西华”建设新篇章</w:t>
      </w:r>
      <w:bookmarkEnd w:id="3"/>
    </w:p>
    <w:p>
      <w:pPr>
        <w:pStyle w:val="3"/>
        <w:spacing w:before="120" w:after="120" w:line="600" w:lineRule="exact"/>
        <w:ind w:firstLine="1606" w:firstLineChars="500"/>
        <w:rPr>
          <w:rFonts w:ascii="仿宋_GB2312" w:eastAsia="仿宋_GB2312"/>
        </w:rPr>
      </w:pPr>
      <w:bookmarkStart w:id="4" w:name="_Toc65514249"/>
      <w:bookmarkStart w:id="5" w:name="_Toc8027"/>
      <w:r>
        <w:rPr>
          <w:rFonts w:hint="eastAsia" w:ascii="仿宋_GB2312" w:eastAsia="仿宋_GB2312"/>
        </w:rPr>
        <w:t xml:space="preserve">第一节 </w:t>
      </w:r>
      <w:r>
        <w:rPr>
          <w:rFonts w:hint="eastAsia" w:ascii="仿宋_GB2312" w:eastAsia="仿宋_GB2312"/>
          <w:bCs/>
        </w:rPr>
        <w:t>全面建设小康社会取得决定性成就</w:t>
      </w:r>
      <w:bookmarkEnd w:id="4"/>
      <w:bookmarkEnd w:id="5"/>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“十三五”期间（</w:t>
      </w:r>
      <w:r>
        <w:rPr>
          <w:rFonts w:ascii="Times New Roman" w:hAnsi="Times New Roman" w:eastAsia="仿宋_GB2312"/>
          <w:sz w:val="32"/>
          <w:szCs w:val="32"/>
        </w:rPr>
        <w:t>201</w:t>
      </w:r>
      <w:r>
        <w:rPr>
          <w:rFonts w:hint="eastAsia" w:ascii="Times New Roman" w:hAnsi="Times New Roman" w:eastAsia="仿宋_GB2312"/>
          <w:sz w:val="32"/>
          <w:szCs w:val="32"/>
        </w:rPr>
        <w:t>6</w:t>
      </w:r>
      <w:r>
        <w:rPr>
          <w:rFonts w:ascii="Times New Roman" w:hAnsi="Times New Roman" w:eastAsia="仿宋_GB2312"/>
          <w:sz w:val="32"/>
          <w:szCs w:val="32"/>
        </w:rPr>
        <w:t>年</w:t>
      </w:r>
      <w:r>
        <w:rPr>
          <w:rFonts w:hint="eastAsia" w:ascii="Times New Roman" w:hAnsi="Times New Roman" w:eastAsia="仿宋_GB2312"/>
          <w:sz w:val="32"/>
          <w:szCs w:val="32"/>
        </w:rPr>
        <w:t>—</w:t>
      </w:r>
      <w:r>
        <w:rPr>
          <w:rFonts w:ascii="Times New Roman" w:hAnsi="Times New Roman" w:eastAsia="仿宋_GB2312"/>
          <w:sz w:val="32"/>
          <w:szCs w:val="32"/>
        </w:rPr>
        <w:t>202</w:t>
      </w:r>
      <w:r>
        <w:rPr>
          <w:rFonts w:hint="eastAsia" w:ascii="Times New Roman" w:hAnsi="Times New Roman" w:eastAsia="仿宋_GB2312"/>
          <w:sz w:val="32"/>
          <w:szCs w:val="32"/>
        </w:rPr>
        <w:t>0</w:t>
      </w:r>
      <w:r>
        <w:rPr>
          <w:rFonts w:ascii="Times New Roman" w:hAnsi="Times New Roman" w:eastAsia="仿宋_GB2312"/>
          <w:sz w:val="32"/>
          <w:szCs w:val="32"/>
        </w:rPr>
        <w:t>年</w:t>
      </w:r>
      <w:r>
        <w:rPr>
          <w:rFonts w:hint="eastAsia" w:ascii="仿宋_GB2312" w:eastAsia="仿宋_GB2312"/>
          <w:sz w:val="32"/>
          <w:szCs w:val="32"/>
        </w:rPr>
        <w:t>），特别是党的十九大以来，面对错综复杂的国际形势、艰巨繁重的改革发展稳定任务，在以习近平同志为核心的党中央坚强领导下，县委、县政府坚持以习近平新时代中国特色社会主义思想为指导，深入贯彻落实习近平总书记视察河南重要讲话和指示批示精神，全面贯彻落实党中央和省委、市委决策部署，展示广阔的政治胸襟和担当精神，充分发挥总揽全局、协调各方的领导核心作用，把西华发展放到全国大背景、全省大格局中寻突破、找出路，围绕中原更加出彩和周口崛起方略，立足基本县情，不走寻常路、打造新优势，团结带领全县干部群众，主动适应经济发展新常态，积极谋划县域经济发展新格局，在务实奋进中凝聚力量，在攻坚克难中阔步前进，全面开启经济开发区、临空经济实验区、特色商业区、盘古女娲创世文化产业园区“四区”统筹发展新征程，谱写了“生态西华、宜居西华、创业西华、魅力西华”绚丽新篇章，全县经济社会取得了前所未有的重大新成就，办成了一批打基础利长远的大事，办好了一批深受群众欢迎的实事，办妥了一批前所未有的难事，大大提升了西华在全市、全省的影响力和美誉度，“十三五”规划目标任务总体完成，为开启西华全面建成社会主义现代化事业新征程，向第二个百年奋斗目标进军奠定了坚实基础。</w:t>
      </w:r>
    </w:p>
    <w:p>
      <w:pPr>
        <w:spacing w:line="600" w:lineRule="exact"/>
        <w:ind w:firstLine="643" w:firstLineChars="200"/>
        <w:rPr>
          <w:rFonts w:ascii="Times New Roman" w:hAnsi="仿宋_GB2312" w:eastAsia="仿宋_GB2312"/>
          <w:sz w:val="32"/>
          <w:szCs w:val="32"/>
        </w:rPr>
      </w:pPr>
      <w:r>
        <w:rPr>
          <w:rFonts w:hint="eastAsia" w:ascii="仿宋_GB2312" w:eastAsia="仿宋_GB2312"/>
          <w:b/>
          <w:bCs/>
          <w:sz w:val="32"/>
          <w:szCs w:val="32"/>
        </w:rPr>
        <w:t>县域综合实力大跨越。</w:t>
      </w:r>
      <w:r>
        <w:rPr>
          <w:rFonts w:hint="eastAsia" w:ascii="仿宋_GB2312" w:hAnsi="Times New Roman" w:eastAsia="仿宋_GB2312"/>
          <w:sz w:val="32"/>
          <w:szCs w:val="32"/>
        </w:rPr>
        <w:t>“</w:t>
      </w:r>
      <w:r>
        <w:rPr>
          <w:rFonts w:hint="eastAsia" w:ascii="仿宋_GB2312" w:hAnsi="仿宋_GB2312" w:eastAsia="仿宋_GB2312"/>
          <w:sz w:val="32"/>
          <w:szCs w:val="32"/>
        </w:rPr>
        <w:t>十三五</w:t>
      </w:r>
      <w:r>
        <w:rPr>
          <w:rFonts w:hint="eastAsia" w:ascii="仿宋_GB2312" w:hAnsi="Times New Roman" w:eastAsia="仿宋_GB2312"/>
          <w:sz w:val="32"/>
          <w:szCs w:val="32"/>
        </w:rPr>
        <w:t>”</w:t>
      </w:r>
      <w:r>
        <w:rPr>
          <w:rFonts w:hint="eastAsia" w:ascii="仿宋_GB2312" w:hAnsi="仿宋_GB2312" w:eastAsia="仿宋_GB2312"/>
          <w:sz w:val="32"/>
          <w:szCs w:val="32"/>
        </w:rPr>
        <w:t>末，</w:t>
      </w:r>
      <w:r>
        <w:rPr>
          <w:rFonts w:ascii="Times New Roman" w:hAnsi="仿宋_GB2312" w:eastAsia="仿宋_GB2312"/>
          <w:snapToGrid w:val="0"/>
          <w:sz w:val="32"/>
          <w:szCs w:val="32"/>
        </w:rPr>
        <w:t>全县</w:t>
      </w:r>
      <w:r>
        <w:rPr>
          <w:rFonts w:ascii="Times New Roman" w:hAnsi="仿宋_GB2312" w:eastAsia="仿宋_GB2312"/>
          <w:sz w:val="32"/>
          <w:szCs w:val="32"/>
        </w:rPr>
        <w:t>地区生产总值达</w:t>
      </w:r>
      <w:r>
        <w:rPr>
          <w:rFonts w:ascii="Times New Roman" w:hAnsi="Times New Roman" w:eastAsia="仿宋_GB2312"/>
          <w:sz w:val="32"/>
          <w:szCs w:val="32"/>
        </w:rPr>
        <w:t>到28</w:t>
      </w:r>
      <w:r>
        <w:rPr>
          <w:rFonts w:hint="eastAsia" w:ascii="Times New Roman" w:hAnsi="Times New Roman" w:eastAsia="仿宋_GB2312"/>
          <w:sz w:val="32"/>
          <w:szCs w:val="32"/>
        </w:rPr>
        <w:t>3.6</w:t>
      </w:r>
      <w:r>
        <w:rPr>
          <w:rFonts w:ascii="Times New Roman" w:hAnsi="Times New Roman" w:eastAsia="仿宋_GB2312"/>
          <w:sz w:val="32"/>
          <w:szCs w:val="32"/>
        </w:rPr>
        <w:t>亿</w:t>
      </w:r>
      <w:r>
        <w:rPr>
          <w:rFonts w:ascii="Times New Roman" w:hAnsi="仿宋_GB2312" w:eastAsia="仿宋_GB2312"/>
          <w:sz w:val="32"/>
          <w:szCs w:val="32"/>
        </w:rPr>
        <w:t>元</w:t>
      </w:r>
      <w:r>
        <w:rPr>
          <w:rFonts w:ascii="Times New Roman" w:hAnsi="Times New Roman" w:eastAsia="仿宋_GB2312"/>
          <w:snapToGrid w:val="0"/>
          <w:kern w:val="0"/>
          <w:sz w:val="32"/>
          <w:szCs w:val="32"/>
        </w:rPr>
        <w:t>，经济总量是2015年的</w:t>
      </w:r>
      <w:r>
        <w:rPr>
          <w:rFonts w:hint="eastAsia" w:ascii="Times New Roman" w:hAnsi="Times New Roman" w:eastAsia="仿宋_GB2312"/>
          <w:snapToGrid w:val="0"/>
          <w:kern w:val="0"/>
          <w:sz w:val="32"/>
          <w:szCs w:val="32"/>
        </w:rPr>
        <w:t>1.5</w:t>
      </w:r>
      <w:r>
        <w:rPr>
          <w:rFonts w:ascii="Times New Roman" w:hAnsi="Times New Roman" w:eastAsia="仿宋_GB2312"/>
          <w:snapToGrid w:val="0"/>
          <w:kern w:val="0"/>
          <w:sz w:val="32"/>
          <w:szCs w:val="32"/>
        </w:rPr>
        <w:t>倍，年均增长</w:t>
      </w:r>
      <w:r>
        <w:rPr>
          <w:rFonts w:hint="eastAsia" w:ascii="Times New Roman" w:hAnsi="Times New Roman" w:eastAsia="仿宋_GB2312"/>
          <w:snapToGrid w:val="0"/>
          <w:kern w:val="0"/>
          <w:sz w:val="32"/>
          <w:szCs w:val="32"/>
        </w:rPr>
        <w:t>6.7</w:t>
      </w:r>
      <w:r>
        <w:rPr>
          <w:rFonts w:ascii="Times New Roman" w:hAnsi="Times New Roman" w:eastAsia="仿宋_GB2312"/>
          <w:snapToGrid w:val="0"/>
          <w:kern w:val="0"/>
          <w:sz w:val="32"/>
          <w:szCs w:val="32"/>
        </w:rPr>
        <w:t>%</w:t>
      </w:r>
      <w:r>
        <w:rPr>
          <w:rFonts w:ascii="Times New Roman" w:hAnsi="仿宋_GB2312" w:eastAsia="仿宋_GB2312"/>
          <w:sz w:val="32"/>
          <w:szCs w:val="32"/>
        </w:rPr>
        <w:t>；</w:t>
      </w:r>
      <w:r>
        <w:rPr>
          <w:rFonts w:ascii="Times New Roman" w:hAnsi="Times New Roman" w:eastAsia="仿宋_GB2312"/>
          <w:snapToGrid w:val="0"/>
          <w:sz w:val="32"/>
          <w:szCs w:val="32"/>
        </w:rPr>
        <w:t>完成一般公共预算收入9亿元，</w:t>
      </w:r>
      <w:r>
        <w:rPr>
          <w:rFonts w:ascii="Times New Roman" w:hAnsi="Times New Roman" w:eastAsia="仿宋_GB2312"/>
          <w:snapToGrid w:val="0"/>
          <w:kern w:val="0"/>
          <w:sz w:val="32"/>
          <w:szCs w:val="32"/>
        </w:rPr>
        <w:t>是2015年的</w:t>
      </w:r>
      <w:r>
        <w:rPr>
          <w:rFonts w:hint="eastAsia" w:ascii="Times New Roman" w:hAnsi="Times New Roman" w:eastAsia="仿宋_GB2312"/>
          <w:snapToGrid w:val="0"/>
          <w:kern w:val="0"/>
          <w:sz w:val="32"/>
          <w:szCs w:val="32"/>
        </w:rPr>
        <w:t>1.5</w:t>
      </w:r>
      <w:r>
        <w:rPr>
          <w:rFonts w:ascii="Times New Roman" w:hAnsi="Times New Roman" w:eastAsia="仿宋_GB2312"/>
          <w:snapToGrid w:val="0"/>
          <w:kern w:val="0"/>
          <w:sz w:val="32"/>
          <w:szCs w:val="32"/>
        </w:rPr>
        <w:t>倍</w:t>
      </w:r>
      <w:r>
        <w:rPr>
          <w:rFonts w:ascii="Times New Roman" w:hAnsi="Times New Roman" w:eastAsia="仿宋_GB2312"/>
          <w:snapToGrid w:val="0"/>
          <w:sz w:val="32"/>
          <w:szCs w:val="32"/>
        </w:rPr>
        <w:t>，税收占一般公共预算收入的比重达到73%，高于全市1.9个百分点；</w:t>
      </w:r>
      <w:r>
        <w:rPr>
          <w:rFonts w:ascii="Times New Roman" w:hAnsi="仿宋_GB2312" w:eastAsia="仿宋_GB2312"/>
          <w:sz w:val="32"/>
          <w:szCs w:val="32"/>
        </w:rPr>
        <w:t>五年</w:t>
      </w:r>
      <w:r>
        <w:rPr>
          <w:rFonts w:hint="eastAsia" w:ascii="Times New Roman" w:hAnsi="仿宋_GB2312" w:eastAsia="仿宋_GB2312"/>
          <w:sz w:val="32"/>
          <w:szCs w:val="32"/>
        </w:rPr>
        <w:t>固定资产投资</w:t>
      </w:r>
      <w:r>
        <w:rPr>
          <w:rFonts w:ascii="Times New Roman" w:hAnsi="仿宋_GB2312" w:eastAsia="仿宋_GB2312"/>
          <w:sz w:val="32"/>
          <w:szCs w:val="32"/>
        </w:rPr>
        <w:t>年均</w:t>
      </w:r>
      <w:r>
        <w:rPr>
          <w:rFonts w:ascii="Times New Roman" w:hAnsi="Times New Roman" w:eastAsia="仿宋_GB2312"/>
          <w:sz w:val="32"/>
          <w:szCs w:val="32"/>
        </w:rPr>
        <w:t>增长</w:t>
      </w:r>
      <w:r>
        <w:rPr>
          <w:rFonts w:hint="eastAsia" w:ascii="Times New Roman" w:hAnsi="Times New Roman" w:eastAsia="仿宋_GB2312"/>
          <w:sz w:val="32"/>
          <w:szCs w:val="32"/>
        </w:rPr>
        <w:t>5.5</w:t>
      </w:r>
      <w:r>
        <w:rPr>
          <w:rFonts w:ascii="Times New Roman" w:hAnsi="Times New Roman" w:eastAsia="仿宋_GB2312"/>
          <w:sz w:val="32"/>
          <w:szCs w:val="32"/>
        </w:rPr>
        <w:t>%，</w:t>
      </w:r>
      <w:r>
        <w:rPr>
          <w:rFonts w:ascii="Times New Roman" w:hAnsi="仿宋_GB2312" w:eastAsia="仿宋_GB2312"/>
          <w:sz w:val="32"/>
          <w:szCs w:val="32"/>
        </w:rPr>
        <w:t>民间</w:t>
      </w:r>
      <w:r>
        <w:rPr>
          <w:rFonts w:ascii="Times New Roman" w:hAnsi="仿宋_GB2312" w:eastAsia="仿宋_GB2312"/>
          <w:snapToGrid w:val="0"/>
          <w:sz w:val="32"/>
          <w:szCs w:val="32"/>
        </w:rPr>
        <w:t>投资占比提高到</w:t>
      </w:r>
      <w:r>
        <w:rPr>
          <w:rFonts w:ascii="Times New Roman" w:hAnsi="Times New Roman" w:eastAsia="仿宋_GB2312"/>
          <w:snapToGrid w:val="0"/>
          <w:sz w:val="32"/>
          <w:szCs w:val="32"/>
        </w:rPr>
        <w:t>7</w:t>
      </w:r>
      <w:r>
        <w:rPr>
          <w:rFonts w:hint="eastAsia" w:ascii="Times New Roman" w:hAnsi="Times New Roman" w:eastAsia="仿宋_GB2312"/>
          <w:snapToGrid w:val="0"/>
          <w:sz w:val="32"/>
          <w:szCs w:val="32"/>
        </w:rPr>
        <w:t>4.1</w:t>
      </w:r>
      <w:r>
        <w:rPr>
          <w:rFonts w:ascii="Times New Roman" w:hAnsi="Times New Roman" w:eastAsia="仿宋_GB2312"/>
          <w:snapToGrid w:val="0"/>
          <w:sz w:val="32"/>
          <w:szCs w:val="32"/>
        </w:rPr>
        <w:t>%，比2015年提</w:t>
      </w:r>
      <w:r>
        <w:rPr>
          <w:rFonts w:ascii="Times New Roman" w:hAnsi="仿宋_GB2312" w:eastAsia="仿宋_GB2312"/>
          <w:snapToGrid w:val="0"/>
          <w:sz w:val="32"/>
          <w:szCs w:val="32"/>
        </w:rPr>
        <w:t>高</w:t>
      </w:r>
      <w:r>
        <w:rPr>
          <w:rFonts w:hint="eastAsia" w:ascii="Times New Roman" w:hAnsi="仿宋_GB2312" w:eastAsia="仿宋_GB2312"/>
          <w:snapToGrid w:val="0"/>
          <w:sz w:val="32"/>
          <w:szCs w:val="32"/>
        </w:rPr>
        <w:t>1.2</w:t>
      </w:r>
      <w:r>
        <w:rPr>
          <w:rFonts w:ascii="Times New Roman" w:hAnsi="仿宋_GB2312" w:eastAsia="仿宋_GB2312"/>
          <w:snapToGrid w:val="0"/>
          <w:sz w:val="32"/>
          <w:szCs w:val="32"/>
        </w:rPr>
        <w:t>个百分点；居民人均可支配收入</w:t>
      </w:r>
      <w:r>
        <w:rPr>
          <w:rFonts w:ascii="Times New Roman" w:hAnsi="Times New Roman" w:eastAsia="仿宋_GB2312"/>
          <w:snapToGrid w:val="0"/>
          <w:sz w:val="32"/>
          <w:szCs w:val="32"/>
        </w:rPr>
        <w:t>17</w:t>
      </w:r>
      <w:r>
        <w:rPr>
          <w:rFonts w:hint="eastAsia" w:ascii="Times New Roman" w:hAnsi="Times New Roman" w:eastAsia="仿宋_GB2312"/>
          <w:snapToGrid w:val="0"/>
          <w:sz w:val="32"/>
          <w:szCs w:val="32"/>
        </w:rPr>
        <w:t>939.9</w:t>
      </w:r>
      <w:r>
        <w:rPr>
          <w:rFonts w:ascii="Times New Roman" w:hAnsi="仿宋_GB2312" w:eastAsia="仿宋_GB2312"/>
          <w:snapToGrid w:val="0"/>
          <w:sz w:val="32"/>
          <w:szCs w:val="32"/>
        </w:rPr>
        <w:t>元，</w:t>
      </w:r>
      <w:r>
        <w:rPr>
          <w:rFonts w:ascii="Times New Roman" w:hAnsi="Times New Roman" w:eastAsia="仿宋_GB2312"/>
          <w:snapToGrid w:val="0"/>
          <w:sz w:val="32"/>
          <w:szCs w:val="32"/>
        </w:rPr>
        <w:t>比2015年提</w:t>
      </w:r>
      <w:r>
        <w:rPr>
          <w:rFonts w:ascii="Times New Roman" w:hAnsi="仿宋_GB2312" w:eastAsia="仿宋_GB2312"/>
          <w:snapToGrid w:val="0"/>
          <w:sz w:val="32"/>
          <w:szCs w:val="32"/>
        </w:rPr>
        <w:t>高</w:t>
      </w:r>
      <w:r>
        <w:rPr>
          <w:rFonts w:hint="eastAsia" w:ascii="Times New Roman" w:hAnsi="仿宋_GB2312" w:eastAsia="仿宋_GB2312"/>
          <w:snapToGrid w:val="0"/>
          <w:sz w:val="32"/>
          <w:szCs w:val="32"/>
        </w:rPr>
        <w:t>5860.9</w:t>
      </w:r>
      <w:r>
        <w:rPr>
          <w:rFonts w:ascii="Times New Roman" w:hAnsi="仿宋_GB2312" w:eastAsia="仿宋_GB2312"/>
          <w:snapToGrid w:val="0"/>
          <w:sz w:val="32"/>
          <w:szCs w:val="32"/>
        </w:rPr>
        <w:t>元</w:t>
      </w:r>
      <w:r>
        <w:rPr>
          <w:rFonts w:hint="eastAsia" w:ascii="Times New Roman" w:hAnsi="仿宋_GB2312" w:eastAsia="仿宋_GB2312"/>
          <w:snapToGrid w:val="0"/>
          <w:sz w:val="32"/>
          <w:szCs w:val="32"/>
        </w:rPr>
        <w:t>；</w:t>
      </w:r>
      <w:r>
        <w:rPr>
          <w:rFonts w:ascii="Times New Roman" w:hAnsi="仿宋_GB2312" w:eastAsia="仿宋_GB2312"/>
          <w:snapToGrid w:val="0"/>
          <w:sz w:val="32"/>
          <w:szCs w:val="32"/>
        </w:rPr>
        <w:t>产业结构更加优化，</w:t>
      </w:r>
      <w:r>
        <w:rPr>
          <w:rFonts w:hint="eastAsia" w:ascii="Times New Roman" w:hAnsi="Times New Roman" w:eastAsia="仿宋_GB2312"/>
          <w:sz w:val="32"/>
          <w:szCs w:val="32"/>
        </w:rPr>
        <w:t>三次产业结构由</w:t>
      </w:r>
      <w:r>
        <w:rPr>
          <w:rFonts w:ascii="Times New Roman" w:hAnsi="Times New Roman" w:eastAsia="仿宋_GB2312"/>
          <w:sz w:val="32"/>
          <w:szCs w:val="32"/>
        </w:rPr>
        <w:t>2015</w:t>
      </w:r>
      <w:r>
        <w:rPr>
          <w:rFonts w:hint="eastAsia" w:ascii="Times New Roman" w:hAnsi="Times New Roman" w:eastAsia="仿宋_GB2312"/>
          <w:sz w:val="32"/>
          <w:szCs w:val="32"/>
        </w:rPr>
        <w:t>年的28.2：49：22.8调整为</w:t>
      </w:r>
      <w:r>
        <w:rPr>
          <w:rFonts w:ascii="Times New Roman" w:hAnsi="Times New Roman" w:eastAsia="仿宋_GB2312"/>
          <w:sz w:val="32"/>
          <w:szCs w:val="32"/>
        </w:rPr>
        <w:t>2020</w:t>
      </w:r>
      <w:r>
        <w:rPr>
          <w:rFonts w:hint="eastAsia" w:ascii="Times New Roman" w:hAnsi="Times New Roman" w:eastAsia="仿宋_GB2312"/>
          <w:sz w:val="32"/>
          <w:szCs w:val="32"/>
        </w:rPr>
        <w:t>年的21：41.9：37.1</w:t>
      </w:r>
      <w:r>
        <w:rPr>
          <w:rFonts w:hint="eastAsia" w:eastAsia="仿宋_GB2312" w:cs="仿宋_GB2312"/>
          <w:sz w:val="32"/>
          <w:szCs w:val="32"/>
        </w:rPr>
        <w:t>，</w:t>
      </w:r>
      <w:r>
        <w:rPr>
          <w:rFonts w:ascii="Times New Roman" w:eastAsia="仿宋_GB2312"/>
          <w:sz w:val="32"/>
          <w:szCs w:val="32"/>
        </w:rPr>
        <w:t>农业基础更加扎实</w:t>
      </w:r>
      <w:r>
        <w:rPr>
          <w:rFonts w:ascii="Times New Roman" w:hAnsi="Times New Roman" w:eastAsia="仿宋_GB2312"/>
          <w:sz w:val="32"/>
          <w:szCs w:val="32"/>
        </w:rPr>
        <w:t>，</w:t>
      </w:r>
      <w:r>
        <w:rPr>
          <w:rFonts w:ascii="Times New Roman" w:hAnsi="仿宋_GB2312" w:eastAsia="仿宋_GB2312"/>
          <w:sz w:val="32"/>
          <w:szCs w:val="32"/>
        </w:rPr>
        <w:t>高效农业面积发展到</w:t>
      </w:r>
      <w:r>
        <w:rPr>
          <w:rFonts w:ascii="Times New Roman" w:hAnsi="Times New Roman" w:eastAsia="仿宋_GB2312"/>
          <w:sz w:val="32"/>
          <w:szCs w:val="32"/>
        </w:rPr>
        <w:t>3.8</w:t>
      </w:r>
      <w:r>
        <w:rPr>
          <w:rFonts w:ascii="Times New Roman" w:hAnsi="仿宋_GB2312" w:eastAsia="仿宋_GB2312"/>
          <w:sz w:val="32"/>
          <w:szCs w:val="32"/>
        </w:rPr>
        <w:t>万亩，粮食总产</w:t>
      </w:r>
      <w:r>
        <w:rPr>
          <w:rFonts w:hint="eastAsia" w:ascii="Times New Roman" w:hAnsi="仿宋_GB2312" w:eastAsia="仿宋_GB2312"/>
          <w:sz w:val="32"/>
          <w:szCs w:val="32"/>
        </w:rPr>
        <w:t>达到</w:t>
      </w:r>
      <w:r>
        <w:rPr>
          <w:rFonts w:ascii="Times New Roman" w:hAnsi="Times New Roman" w:eastAsia="仿宋_GB2312"/>
          <w:sz w:val="32"/>
          <w:szCs w:val="32"/>
        </w:rPr>
        <w:t>85.7</w:t>
      </w:r>
      <w:r>
        <w:rPr>
          <w:rFonts w:ascii="Times New Roman" w:hAnsi="仿宋_GB2312" w:eastAsia="仿宋_GB2312"/>
          <w:sz w:val="32"/>
          <w:szCs w:val="32"/>
        </w:rPr>
        <w:t>万吨，</w:t>
      </w:r>
      <w:r>
        <w:rPr>
          <w:rFonts w:hint="eastAsia" w:ascii="仿宋_GB2312" w:hAnsi="仿宋_GB2312" w:eastAsia="仿宋_GB2312" w:cs="仿宋_GB2312"/>
          <w:sz w:val="32"/>
          <w:szCs w:val="32"/>
        </w:rPr>
        <w:t>五年新增无公害农产品</w:t>
      </w:r>
      <w:r>
        <w:rPr>
          <w:rFonts w:hint="eastAsia" w:ascii="Times New Roman" w:hAnsi="Times New Roman" w:eastAsia="仿宋_GB2312"/>
          <w:sz w:val="32"/>
          <w:szCs w:val="32"/>
        </w:rPr>
        <w:t>认证</w:t>
      </w:r>
      <w:r>
        <w:rPr>
          <w:rFonts w:ascii="Times New Roman" w:hAnsi="Times New Roman" w:eastAsia="仿宋_GB2312"/>
          <w:sz w:val="32"/>
          <w:szCs w:val="32"/>
        </w:rPr>
        <w:t>36个、绿色食品认证12个、省市级农产品标准化示范基地1个；</w:t>
      </w:r>
      <w:r>
        <w:rPr>
          <w:rFonts w:hint="eastAsia" w:ascii="Times New Roman" w:hAnsi="Times New Roman" w:eastAsia="仿宋_GB2312"/>
          <w:sz w:val="32"/>
          <w:szCs w:val="32"/>
        </w:rPr>
        <w:t>工业经济加快转型，全县规模以上工业完成增加值108.32亿元，高新技术产业、战略性新兴产业增加值分别增长14.39%、7.5%，占规模以上工业增加值的比重分别达到53.66%、9.34%，增幅和占比连续多年居全市前列；服务业发展水平持续提升，全县完成服务业增加值</w:t>
      </w:r>
      <w:r>
        <w:rPr>
          <w:rFonts w:ascii="Times New Roman" w:hAnsi="Times New Roman" w:eastAsia="仿宋_GB2312"/>
          <w:sz w:val="32"/>
          <w:szCs w:val="32"/>
        </w:rPr>
        <w:t>10</w:t>
      </w:r>
      <w:r>
        <w:rPr>
          <w:rFonts w:hint="eastAsia" w:ascii="Times New Roman" w:hAnsi="Times New Roman" w:eastAsia="仿宋_GB2312"/>
          <w:sz w:val="32"/>
          <w:szCs w:val="32"/>
        </w:rPr>
        <w:t>5.1</w:t>
      </w:r>
      <w:r>
        <w:rPr>
          <w:rFonts w:hint="eastAsia" w:ascii="仿宋_GB2312" w:hAnsi="仿宋_GB2312" w:eastAsia="仿宋_GB2312" w:cs="仿宋_GB2312"/>
          <w:sz w:val="32"/>
          <w:szCs w:val="32"/>
        </w:rPr>
        <w:t>亿元，对经济增长的贡献率</w:t>
      </w:r>
      <w:r>
        <w:rPr>
          <w:rFonts w:ascii="Times New Roman" w:hAnsi="仿宋_GB2312" w:eastAsia="仿宋_GB2312"/>
          <w:sz w:val="32"/>
          <w:szCs w:val="32"/>
        </w:rPr>
        <w:t>达到</w:t>
      </w:r>
      <w:r>
        <w:rPr>
          <w:rFonts w:ascii="Times New Roman" w:hAnsi="Times New Roman" w:eastAsia="仿宋_GB2312"/>
          <w:sz w:val="32"/>
          <w:szCs w:val="32"/>
        </w:rPr>
        <w:t>37%</w:t>
      </w:r>
      <w:r>
        <w:rPr>
          <w:rFonts w:ascii="Times New Roman" w:hAnsi="仿宋_GB2312" w:eastAsia="仿宋_GB2312"/>
          <w:sz w:val="32"/>
          <w:szCs w:val="32"/>
        </w:rPr>
        <w:t>，比</w:t>
      </w:r>
      <w:r>
        <w:rPr>
          <w:rFonts w:ascii="Times New Roman" w:hAnsi="Times New Roman" w:eastAsia="仿宋_GB2312"/>
          <w:sz w:val="32"/>
          <w:szCs w:val="32"/>
        </w:rPr>
        <w:t>2015</w:t>
      </w:r>
      <w:r>
        <w:rPr>
          <w:rFonts w:ascii="Times New Roman" w:hAnsi="仿宋_GB2312" w:eastAsia="仿宋_GB2312"/>
          <w:sz w:val="32"/>
          <w:szCs w:val="32"/>
        </w:rPr>
        <w:t>年提高</w:t>
      </w:r>
      <w:r>
        <w:rPr>
          <w:rFonts w:hint="eastAsia" w:ascii="Times New Roman" w:hAnsi="仿宋_GB2312" w:eastAsia="仿宋_GB2312"/>
          <w:sz w:val="32"/>
          <w:szCs w:val="32"/>
        </w:rPr>
        <w:t>14</w:t>
      </w:r>
      <w:r>
        <w:rPr>
          <w:rFonts w:ascii="Times New Roman" w:hAnsi="仿宋_GB2312" w:eastAsia="仿宋_GB2312"/>
          <w:sz w:val="32"/>
          <w:szCs w:val="32"/>
        </w:rPr>
        <w:t>个百分点。</w:t>
      </w:r>
      <w:r>
        <w:rPr>
          <w:rFonts w:ascii="Times New Roman" w:hAnsi="Times New Roman" w:eastAsia="仿宋_GB2312"/>
          <w:sz w:val="32"/>
          <w:szCs w:val="32"/>
        </w:rPr>
        <w:t>2018</w:t>
      </w:r>
      <w:r>
        <w:rPr>
          <w:rFonts w:ascii="Times New Roman" w:hAnsi="仿宋_GB2312" w:eastAsia="仿宋_GB2312"/>
          <w:sz w:val="32"/>
          <w:szCs w:val="32"/>
        </w:rPr>
        <w:t>年，我县在全省县域经济高质量发展排名中居第</w:t>
      </w:r>
      <w:r>
        <w:rPr>
          <w:rFonts w:ascii="Times New Roman" w:hAnsi="Times New Roman" w:eastAsia="仿宋_GB2312"/>
          <w:sz w:val="32"/>
          <w:szCs w:val="32"/>
        </w:rPr>
        <w:t>29</w:t>
      </w:r>
      <w:r>
        <w:rPr>
          <w:rFonts w:ascii="Times New Roman" w:hAnsi="仿宋_GB2312" w:eastAsia="仿宋_GB2312"/>
          <w:sz w:val="32"/>
          <w:szCs w:val="32"/>
        </w:rPr>
        <w:t>位、全市第</w:t>
      </w:r>
      <w:r>
        <w:rPr>
          <w:rFonts w:ascii="Times New Roman" w:hAnsi="Times New Roman" w:eastAsia="仿宋_GB2312"/>
          <w:sz w:val="32"/>
          <w:szCs w:val="32"/>
        </w:rPr>
        <w:t>3</w:t>
      </w:r>
      <w:r>
        <w:rPr>
          <w:rFonts w:ascii="Times New Roman" w:hAnsi="仿宋_GB2312" w:eastAsia="仿宋_GB2312"/>
          <w:sz w:val="32"/>
          <w:szCs w:val="32"/>
        </w:rPr>
        <w:t>位，</w:t>
      </w:r>
      <w:r>
        <w:rPr>
          <w:rFonts w:ascii="Times New Roman" w:hAnsi="Times New Roman" w:eastAsia="仿宋_GB2312"/>
          <w:sz w:val="32"/>
          <w:szCs w:val="32"/>
        </w:rPr>
        <w:t>2019</w:t>
      </w:r>
      <w:r>
        <w:rPr>
          <w:rFonts w:ascii="Times New Roman" w:hAnsi="仿宋_GB2312" w:eastAsia="仿宋_GB2312"/>
          <w:sz w:val="32"/>
          <w:szCs w:val="32"/>
        </w:rPr>
        <w:t>年居全省第</w:t>
      </w:r>
      <w:r>
        <w:rPr>
          <w:rFonts w:ascii="Times New Roman" w:hAnsi="Times New Roman" w:eastAsia="仿宋_GB2312"/>
          <w:sz w:val="32"/>
          <w:szCs w:val="32"/>
        </w:rPr>
        <w:t>30</w:t>
      </w:r>
      <w:r>
        <w:rPr>
          <w:rFonts w:ascii="Times New Roman" w:hAnsi="仿宋_GB2312" w:eastAsia="仿宋_GB2312"/>
          <w:sz w:val="32"/>
          <w:szCs w:val="32"/>
        </w:rPr>
        <w:t>位、全市第</w:t>
      </w:r>
      <w:r>
        <w:rPr>
          <w:rFonts w:ascii="Times New Roman" w:hAnsi="Times New Roman" w:eastAsia="仿宋_GB2312"/>
          <w:sz w:val="32"/>
          <w:szCs w:val="32"/>
        </w:rPr>
        <w:t>2</w:t>
      </w:r>
      <w:r>
        <w:rPr>
          <w:rFonts w:ascii="Times New Roman" w:hAnsi="仿宋_GB2312" w:eastAsia="仿宋_GB2312"/>
          <w:sz w:val="32"/>
          <w:szCs w:val="32"/>
        </w:rPr>
        <w:t>位，连续两年进入全省前</w:t>
      </w:r>
      <w:r>
        <w:rPr>
          <w:rFonts w:ascii="Times New Roman" w:hAnsi="Times New Roman" w:eastAsia="仿宋_GB2312"/>
          <w:sz w:val="32"/>
          <w:szCs w:val="32"/>
        </w:rPr>
        <w:t>30</w:t>
      </w:r>
      <w:r>
        <w:rPr>
          <w:rFonts w:ascii="Times New Roman" w:hAnsi="仿宋_GB2312" w:eastAsia="仿宋_GB2312"/>
          <w:sz w:val="32"/>
          <w:szCs w:val="32"/>
        </w:rPr>
        <w:t>强，标志我县已摆脱连续多年全省末位的落后局面，稳步跨入全省第一方阵行列。</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攻坚战役大决胜。</w:t>
      </w:r>
      <w:r>
        <w:rPr>
          <w:rFonts w:hint="eastAsia" w:ascii="Times New Roman" w:hAnsi="仿宋_GB2312" w:eastAsia="仿宋_GB2312"/>
          <w:sz w:val="32"/>
          <w:szCs w:val="32"/>
        </w:rPr>
        <w:t>强力推进精准脱贫和污染防治，有效防范化解重点领域风险，三大攻坚战取得显著成效。</w:t>
      </w:r>
      <w:r>
        <w:rPr>
          <w:rFonts w:hint="eastAsia" w:ascii="楷体_GB2312" w:hAnsi="仿宋_GB2312" w:eastAsia="楷体_GB2312" w:cs="仿宋_GB2312"/>
          <w:b/>
          <w:sz w:val="32"/>
          <w:szCs w:val="32"/>
        </w:rPr>
        <w:t>脱贫攻坚取得决定性胜利。</w:t>
      </w:r>
      <w:r>
        <w:rPr>
          <w:rFonts w:hint="eastAsia" w:ascii="仿宋_GB2312" w:hAnsi="仿宋_GB2312" w:eastAsia="仿宋_GB2312" w:cs="仿宋_GB2312"/>
          <w:sz w:val="32"/>
          <w:szCs w:val="32"/>
        </w:rPr>
        <w:t>深入推进</w:t>
      </w:r>
      <w:r>
        <w:rPr>
          <w:rFonts w:hint="eastAsia" w:ascii="仿宋_GB2312" w:hAnsi="仿宋_GB2312" w:eastAsia="仿宋_GB2312" w:cs="仿宋_GB2312"/>
          <w:bCs/>
          <w:sz w:val="32"/>
          <w:szCs w:val="32"/>
        </w:rPr>
        <w:t>“四个一并”扶贫理念、“八个一批”精准脱贫路径</w:t>
      </w:r>
      <w:r>
        <w:rPr>
          <w:rFonts w:hint="eastAsia" w:ascii="仿宋_GB2312" w:hAnsi="仿宋_GB2312" w:eastAsia="仿宋_GB2312" w:cs="仿宋_GB2312"/>
          <w:sz w:val="32"/>
          <w:szCs w:val="32"/>
        </w:rPr>
        <w:t>，紧扣“两不愁三保障”和《西华县脱贫攻坚对标清查专项行动方案》“</w:t>
      </w:r>
      <w:r>
        <w:rPr>
          <w:rFonts w:ascii="Times New Roman" w:hAnsi="Times New Roman" w:eastAsia="仿宋_GB2312"/>
          <w:sz w:val="32"/>
          <w:szCs w:val="32"/>
        </w:rPr>
        <w:t>114</w:t>
      </w:r>
      <w:r>
        <w:rPr>
          <w:rFonts w:ascii="Times New Roman" w:hAnsi="仿宋_GB2312" w:eastAsia="仿宋_GB2312"/>
          <w:sz w:val="32"/>
          <w:szCs w:val="32"/>
        </w:rPr>
        <w:t>个是</w:t>
      </w:r>
      <w:r>
        <w:rPr>
          <w:rFonts w:hint="eastAsia" w:ascii="仿宋_GB2312" w:hAnsi="仿宋_GB2312" w:eastAsia="仿宋_GB2312" w:cs="仿宋_GB2312"/>
          <w:sz w:val="32"/>
          <w:szCs w:val="32"/>
        </w:rPr>
        <w:t>否”，健全完善“一户一策”精准帮扶措施和监测机制，因村因户据实调整扶贫措施，</w:t>
      </w:r>
      <w:r>
        <w:rPr>
          <w:rFonts w:hint="eastAsia" w:ascii="仿宋_GB2312" w:hAnsi="仿宋_GB2312" w:eastAsia="仿宋_GB2312" w:cs="仿宋_GB2312"/>
          <w:kern w:val="0"/>
          <w:sz w:val="32"/>
          <w:szCs w:val="32"/>
        </w:rPr>
        <w:t>确保“小康路上，一人不落”</w:t>
      </w:r>
      <w:r>
        <w:rPr>
          <w:rFonts w:hint="eastAsia" w:ascii="仿宋_GB2312" w:hAnsi="仿宋_GB2312" w:eastAsia="仿宋_GB2312" w:cs="仿宋_GB2312"/>
          <w:sz w:val="32"/>
          <w:szCs w:val="32"/>
        </w:rPr>
        <w:t>，全县</w:t>
      </w:r>
      <w:r>
        <w:rPr>
          <w:rFonts w:ascii="Times New Roman" w:hAnsi="Times New Roman" w:eastAsia="仿宋_GB2312"/>
          <w:sz w:val="32"/>
          <w:szCs w:val="32"/>
        </w:rPr>
        <w:t>114</w:t>
      </w:r>
      <w:r>
        <w:rPr>
          <w:rFonts w:hint="eastAsia" w:ascii="Times New Roman" w:hAnsi="Times New Roman" w:eastAsia="仿宋_GB2312"/>
          <w:sz w:val="32"/>
          <w:szCs w:val="32"/>
        </w:rPr>
        <w:t>个贫困</w:t>
      </w:r>
      <w:r>
        <w:rPr>
          <w:rFonts w:hint="eastAsia" w:ascii="仿宋_GB2312" w:hAnsi="仿宋_GB2312" w:eastAsia="仿宋_GB2312" w:cs="仿宋_GB2312"/>
          <w:sz w:val="32"/>
          <w:szCs w:val="32"/>
        </w:rPr>
        <w:t>村全部脱贫，贫困发生率降至</w:t>
      </w:r>
      <w:r>
        <w:rPr>
          <w:rFonts w:ascii="Times New Roman" w:hAnsi="Times New Roman" w:eastAsia="仿宋_GB2312"/>
          <w:sz w:val="32"/>
          <w:szCs w:val="32"/>
        </w:rPr>
        <w:t>0.45%</w:t>
      </w:r>
      <w:r>
        <w:rPr>
          <w:rFonts w:hint="eastAsia" w:ascii="Times New Roman" w:hAnsi="Times New Roman" w:eastAsia="仿宋_GB2312"/>
          <w:sz w:val="32"/>
          <w:szCs w:val="32"/>
        </w:rPr>
        <w:t>，在省级</w:t>
      </w:r>
      <w:r>
        <w:rPr>
          <w:rFonts w:hint="eastAsia" w:ascii="仿宋_GB2312" w:hAnsi="仿宋_GB2312" w:eastAsia="仿宋_GB2312" w:cs="仿宋_GB2312"/>
          <w:sz w:val="32"/>
          <w:szCs w:val="32"/>
        </w:rPr>
        <w:t>脱贫验收第三方评估中以“零漏评”“零错退”、群众满意</w:t>
      </w:r>
      <w:r>
        <w:rPr>
          <w:rFonts w:hint="eastAsia" w:ascii="Times New Roman" w:hAnsi="Times New Roman" w:eastAsia="仿宋_GB2312"/>
          <w:sz w:val="32"/>
          <w:szCs w:val="32"/>
        </w:rPr>
        <w:t>度</w:t>
      </w:r>
      <w:r>
        <w:rPr>
          <w:rFonts w:ascii="Times New Roman" w:hAnsi="Times New Roman" w:eastAsia="仿宋_GB2312"/>
          <w:sz w:val="32"/>
          <w:szCs w:val="32"/>
        </w:rPr>
        <w:t>99.14%</w:t>
      </w:r>
      <w:r>
        <w:rPr>
          <w:rFonts w:hint="eastAsia" w:ascii="Times New Roman" w:hAnsi="Times New Roman" w:eastAsia="仿宋_GB2312"/>
          <w:sz w:val="32"/>
          <w:szCs w:val="32"/>
        </w:rPr>
        <w:t>、</w:t>
      </w:r>
      <w:r>
        <w:rPr>
          <w:rFonts w:hint="eastAsia" w:ascii="仿宋_GB2312" w:hAnsi="仿宋_GB2312" w:eastAsia="仿宋_GB2312" w:cs="仿宋_GB2312"/>
          <w:sz w:val="32"/>
          <w:szCs w:val="32"/>
        </w:rPr>
        <w:t>全市第一的成绩高质量摘帽，</w:t>
      </w:r>
      <w:r>
        <w:rPr>
          <w:rFonts w:ascii="Times New Roman" w:hAnsi="Times New Roman" w:eastAsia="仿宋_GB2312"/>
          <w:sz w:val="32"/>
          <w:szCs w:val="32"/>
        </w:rPr>
        <w:t>2019</w:t>
      </w:r>
      <w:r>
        <w:rPr>
          <w:rFonts w:hint="eastAsia" w:ascii="Times New Roman" w:hAnsi="Times New Roman" w:eastAsia="仿宋_GB2312"/>
          <w:sz w:val="32"/>
          <w:szCs w:val="32"/>
        </w:rPr>
        <w:t>年</w:t>
      </w:r>
      <w:r>
        <w:rPr>
          <w:rFonts w:ascii="Times New Roman" w:hAnsi="Times New Roman" w:eastAsia="仿宋_GB2312"/>
          <w:sz w:val="32"/>
          <w:szCs w:val="32"/>
        </w:rPr>
        <w:t>5</w:t>
      </w:r>
      <w:r>
        <w:rPr>
          <w:rFonts w:hint="eastAsia" w:ascii="Times New Roman" w:hAnsi="Times New Roman" w:eastAsia="仿宋_GB2312"/>
          <w:sz w:val="32"/>
          <w:szCs w:val="32"/>
        </w:rPr>
        <w:t>月</w:t>
      </w:r>
      <w:r>
        <w:rPr>
          <w:rFonts w:ascii="Times New Roman" w:hAnsi="Times New Roman" w:eastAsia="仿宋_GB2312"/>
          <w:sz w:val="32"/>
          <w:szCs w:val="32"/>
        </w:rPr>
        <w:t>9</w:t>
      </w:r>
      <w:r>
        <w:rPr>
          <w:rFonts w:hint="eastAsia" w:ascii="Times New Roman" w:hAnsi="Times New Roman" w:eastAsia="仿宋_GB2312"/>
          <w:sz w:val="32"/>
          <w:szCs w:val="32"/>
        </w:rPr>
        <w:t>日，省</w:t>
      </w:r>
      <w:r>
        <w:rPr>
          <w:rFonts w:hint="eastAsia" w:ascii="仿宋_GB2312" w:hAnsi="仿宋_GB2312" w:eastAsia="仿宋_GB2312" w:cs="仿宋_GB2312"/>
          <w:sz w:val="32"/>
          <w:szCs w:val="32"/>
        </w:rPr>
        <w:t>政府宣布，我县历史性告别了绝对贫困</w:t>
      </w:r>
      <w:r>
        <w:rPr>
          <w:rFonts w:hint="eastAsia" w:ascii="仿宋_GB2312" w:hAnsi="仿宋_GB2312" w:eastAsia="仿宋_GB2312" w:cs="仿宋_GB2312"/>
          <w:snapToGrid w:val="0"/>
          <w:kern w:val="0"/>
          <w:sz w:val="32"/>
          <w:szCs w:val="32"/>
        </w:rPr>
        <w:t>。</w:t>
      </w:r>
      <w:r>
        <w:rPr>
          <w:rFonts w:hint="eastAsia" w:ascii="楷体_GB2312" w:hAnsi="仿宋_GB2312" w:eastAsia="楷体_GB2312" w:cs="仿宋_GB2312"/>
          <w:b/>
          <w:sz w:val="32"/>
          <w:szCs w:val="32"/>
        </w:rPr>
        <w:t>污染防治攻坚战成效显著。</w:t>
      </w:r>
      <w:r>
        <w:rPr>
          <w:rFonts w:hint="eastAsia" w:ascii="仿宋_GB2312" w:hAnsi="仿宋_GB2312" w:eastAsia="仿宋_GB2312" w:cs="仿宋_GB2312"/>
          <w:sz w:val="32"/>
          <w:szCs w:val="32"/>
        </w:rPr>
        <w:t>牢固树立“绿水青山就是金山银山”理念，以创建空气质量国家二级标准城市为抓手，以“铁头、铁嘴、铁腕、铁腿、铁尾”五铁精神，狠抓“三散”治理，严格落实“双替代”和“六控”措施，让“蓝天白云”常年见、天天见；以打造“五河五湖润娲城”大河大湖大水系大园林格局为抓手，全面推行“河长制”，统筹实施水污染防治、水生态保护和水资源管理，让黑臭水体在西华大地一去不复返。全县空气质量优良天数持续增加，</w:t>
      </w:r>
      <w:r>
        <w:rPr>
          <w:rFonts w:ascii="Times New Roman" w:hAnsi="Times New Roman" w:eastAsia="仿宋_GB2312"/>
          <w:sz w:val="32"/>
          <w:szCs w:val="32"/>
        </w:rPr>
        <w:t>PM</w:t>
      </w:r>
      <w:r>
        <w:rPr>
          <w:rFonts w:ascii="Times New Roman" w:hAnsi="Times New Roman" w:eastAsia="仿宋_GB2312"/>
          <w:sz w:val="32"/>
          <w:szCs w:val="32"/>
          <w:vertAlign w:val="subscript"/>
        </w:rPr>
        <w:t>10</w:t>
      </w:r>
      <w:r>
        <w:rPr>
          <w:rFonts w:ascii="Times New Roman" w:hAnsi="仿宋_GB2312" w:eastAsia="仿宋_GB2312"/>
          <w:sz w:val="32"/>
          <w:szCs w:val="32"/>
        </w:rPr>
        <w:t>、</w:t>
      </w:r>
      <w:r>
        <w:rPr>
          <w:rFonts w:ascii="Times New Roman" w:hAnsi="Times New Roman" w:eastAsia="仿宋_GB2312"/>
          <w:sz w:val="32"/>
          <w:szCs w:val="32"/>
        </w:rPr>
        <w:t>PM</w:t>
      </w:r>
      <w:r>
        <w:rPr>
          <w:rFonts w:ascii="Times New Roman" w:hAnsi="Times New Roman" w:eastAsia="仿宋_GB2312"/>
          <w:sz w:val="32"/>
          <w:szCs w:val="32"/>
          <w:vertAlign w:val="subscript"/>
        </w:rPr>
        <w:t>2.5</w:t>
      </w:r>
      <w:r>
        <w:rPr>
          <w:rFonts w:ascii="Times New Roman" w:hAnsi="仿宋_GB2312" w:eastAsia="仿宋_GB2312"/>
          <w:sz w:val="32"/>
          <w:szCs w:val="32"/>
        </w:rPr>
        <w:t>同比持续下降，境内地表水达标率持续保持</w:t>
      </w:r>
      <w:r>
        <w:rPr>
          <w:rFonts w:ascii="Times New Roman" w:hAnsi="Times New Roman" w:eastAsia="仿宋_GB2312"/>
          <w:sz w:val="32"/>
          <w:szCs w:val="32"/>
        </w:rPr>
        <w:t>100%</w:t>
      </w:r>
      <w:r>
        <w:rPr>
          <w:rFonts w:ascii="Times New Roman" w:hAnsi="仿宋_GB2312" w:eastAsia="仿宋_GB2312"/>
          <w:sz w:val="32"/>
          <w:szCs w:val="32"/>
        </w:rPr>
        <w:t>，贾鲁河国家湿地</w:t>
      </w:r>
      <w:r>
        <w:rPr>
          <w:rFonts w:hint="eastAsia" w:ascii="仿宋_GB2312" w:hAnsi="仿宋_GB2312" w:eastAsia="仿宋_GB2312" w:cs="仿宋_GB2312"/>
          <w:sz w:val="32"/>
          <w:szCs w:val="32"/>
        </w:rPr>
        <w:t>公园、东风运河生态滨河公园相继向市民开放，全面完成第二次全国污染源普查登记。</w:t>
      </w:r>
      <w:r>
        <w:rPr>
          <w:rFonts w:hint="eastAsia" w:ascii="楷体_GB2312" w:hAnsi="仿宋_GB2312" w:eastAsia="楷体_GB2312" w:cs="仿宋_GB2312"/>
          <w:b/>
          <w:sz w:val="32"/>
          <w:szCs w:val="32"/>
        </w:rPr>
        <w:t>坚决防范化解重大风险。</w:t>
      </w:r>
      <w:r>
        <w:rPr>
          <w:rFonts w:hint="eastAsia" w:ascii="仿宋_GB2312" w:hAnsi="仿宋_GB2312" w:eastAsia="仿宋_GB2312" w:cs="仿宋_GB2312"/>
          <w:sz w:val="32"/>
          <w:szCs w:val="32"/>
        </w:rPr>
        <w:t>突出抓好金融风险防控，加强县级财政管理，继续将地方政府债务全部纳入预算，实施限额管理，稳妥有序化解隐性债务存量；着力解决历史遗留问题、现实紧迫问题，在全市率先开展烟花爆竹禁燃禁放，稳妥化解信访问题；全县省市交办的“问题楼盘”已认定化解完毕，有力解决了一大批制约发展、影响稳定的社会隐患，</w:t>
      </w:r>
      <w:r>
        <w:rPr>
          <w:rFonts w:ascii="Times New Roman" w:hAnsi="Times New Roman" w:eastAsia="仿宋_GB2312"/>
          <w:sz w:val="32"/>
          <w:szCs w:val="32"/>
        </w:rPr>
        <w:t>2019</w:t>
      </w:r>
      <w:r>
        <w:rPr>
          <w:rFonts w:ascii="Times New Roman" w:hAnsi="仿宋_GB2312" w:eastAsia="仿宋_GB2312"/>
          <w:sz w:val="32"/>
          <w:szCs w:val="32"/>
        </w:rPr>
        <w:t>年</w:t>
      </w:r>
      <w:r>
        <w:rPr>
          <w:rFonts w:hint="eastAsia" w:ascii="仿宋_GB2312" w:hAnsi="仿宋_GB2312" w:eastAsia="仿宋_GB2312" w:cs="仿宋_GB2312"/>
          <w:sz w:val="32"/>
          <w:szCs w:val="32"/>
        </w:rPr>
        <w:t>被国家信访局评为全国信访工作“三无”县。</w:t>
      </w:r>
    </w:p>
    <w:p>
      <w:pPr>
        <w:spacing w:line="600" w:lineRule="exact"/>
        <w:ind w:firstLine="643" w:firstLineChars="200"/>
        <w:rPr>
          <w:rFonts w:ascii="Times New Roman" w:hAnsi="Times New Roman" w:eastAsia="仿宋_GB2312"/>
          <w:sz w:val="32"/>
          <w:szCs w:val="32"/>
          <w:shd w:val="clear" w:color="auto" w:fill="FFFFFF"/>
        </w:rPr>
      </w:pPr>
      <w:r>
        <w:rPr>
          <w:rFonts w:hint="eastAsia" w:ascii="仿宋_GB2312" w:eastAsia="仿宋_GB2312"/>
          <w:b/>
          <w:bCs/>
          <w:sz w:val="32"/>
          <w:szCs w:val="32"/>
        </w:rPr>
        <w:t>城乡面貌大改善</w:t>
      </w:r>
      <w:r>
        <w:rPr>
          <w:rFonts w:hint="eastAsia" w:ascii="仿宋_GB2312" w:hAnsi="仿宋_GB2312" w:eastAsia="仿宋_GB2312" w:cs="仿宋_GB2312"/>
          <w:b/>
          <w:sz w:val="32"/>
          <w:szCs w:val="32"/>
        </w:rPr>
        <w:t>。</w:t>
      </w:r>
      <w:r>
        <w:rPr>
          <w:rFonts w:hint="eastAsia" w:ascii="仿宋_GB2312" w:hAnsi="Times New Roman" w:eastAsia="仿宋_GB2312"/>
          <w:sz w:val="32"/>
          <w:szCs w:val="32"/>
        </w:rPr>
        <w:t>以县域治理“三起来”重大要求为根本遵循，坚持以人为核心的城镇化，扎实推进乡村振兴战略，推动城乡融合发展。</w:t>
      </w:r>
      <w:r>
        <w:rPr>
          <w:rFonts w:ascii="楷体_GB2312" w:eastAsia="楷体_GB2312"/>
          <w:b/>
          <w:bCs/>
          <w:sz w:val="32"/>
          <w:szCs w:val="32"/>
        </w:rPr>
        <w:t>新型城镇化</w:t>
      </w:r>
      <w:r>
        <w:rPr>
          <w:rFonts w:hint="eastAsia" w:ascii="楷体_GB2312" w:eastAsia="楷体_GB2312"/>
          <w:b/>
          <w:bCs/>
          <w:sz w:val="32"/>
          <w:szCs w:val="32"/>
        </w:rPr>
        <w:t>建设成效显著。</w:t>
      </w:r>
      <w:r>
        <w:rPr>
          <w:rFonts w:hint="eastAsia" w:ascii="仿宋_GB2312" w:hAnsi="仿宋_GB2312" w:eastAsia="仿宋_GB2312" w:cs="仿宋_GB2312"/>
          <w:sz w:val="32"/>
          <w:szCs w:val="32"/>
        </w:rPr>
        <w:t>按照</w:t>
      </w:r>
      <w:r>
        <w:rPr>
          <w:rFonts w:hint="eastAsia" w:ascii="仿宋_GB2312" w:hAnsi="仿宋_GB2312" w:eastAsia="仿宋_GB2312" w:cs="仿宋_GB2312"/>
          <w:bCs/>
          <w:sz w:val="32"/>
          <w:szCs w:val="32"/>
        </w:rPr>
        <w:t>“定位错误是最大错误，思路偏差是最大浪费，理念科学是最大节约”理念</w:t>
      </w:r>
      <w:r>
        <w:rPr>
          <w:rFonts w:hint="eastAsia" w:ascii="仿宋_GB2312" w:hAnsi="仿宋_GB2312" w:eastAsia="仿宋_GB2312" w:cs="仿宋_GB2312"/>
          <w:sz w:val="32"/>
          <w:szCs w:val="32"/>
        </w:rPr>
        <w:t>，科学界定城市与农村不同的发展理念和工作标准，把县城规划区域界定在机西高速以东、新南环以北、大广高速以西、红花集镇杜岗村和教育大道以南的范围内，有效防止了逆城镇化现象的发生，把县委的核心领导作用贯穿于城市规划、建设、管理的全过程。围绕“以水润城、以绿荫城、以文化城、以业兴城”，强力实施“</w:t>
      </w:r>
      <w:r>
        <w:rPr>
          <w:rFonts w:hint="eastAsia" w:ascii="仿宋_GB2312" w:hAnsi="仿宋_GB2312" w:eastAsia="仿宋_GB2312" w:cs="仿宋_GB2312"/>
          <w:bCs/>
          <w:sz w:val="32"/>
          <w:szCs w:val="32"/>
        </w:rPr>
        <w:t>两院两桥二十路、三场五中心三十小区、五河五湖五园五十校、十城十馆百游园”</w:t>
      </w:r>
      <w:r>
        <w:rPr>
          <w:rFonts w:hint="eastAsia" w:ascii="仿宋_GB2312" w:hAnsi="仿宋_GB2312" w:eastAsia="仿宋_GB2312" w:cs="仿宋_GB2312"/>
          <w:sz w:val="32"/>
          <w:szCs w:val="32"/>
        </w:rPr>
        <w:t>等一系列惠民生利长远的基础工程，城市功能更加完善，城市品位全面提升，成功创建全国绿化模范城、省级卫生城、省级园林城、文明城、双拥模范城，成功承接省十三届运动会、全国跆拳道邀请擂台赛、省万村千乡篮球赛、省青少年传统项目篮球赛、省青少年篮球年度总决赛等重要赛事</w:t>
      </w:r>
      <w:r>
        <w:rPr>
          <w:rFonts w:hint="eastAsia" w:ascii="仿宋_GB2312" w:hAnsi="Times New Roman" w:eastAsia="仿宋_GB2312"/>
          <w:sz w:val="32"/>
          <w:szCs w:val="32"/>
        </w:rPr>
        <w:t>，常住人口城镇化率由</w:t>
      </w:r>
      <w:r>
        <w:rPr>
          <w:rFonts w:ascii="Times New Roman" w:hAnsi="Times New Roman" w:eastAsia="仿宋_GB2312"/>
          <w:sz w:val="32"/>
          <w:szCs w:val="32"/>
        </w:rPr>
        <w:t>2015</w:t>
      </w:r>
      <w:r>
        <w:rPr>
          <w:rFonts w:hint="eastAsia" w:ascii="Times New Roman" w:hAnsi="Times New Roman" w:eastAsia="仿宋_GB2312"/>
          <w:sz w:val="32"/>
          <w:szCs w:val="32"/>
        </w:rPr>
        <w:t>年的34.99</w:t>
      </w:r>
      <w:r>
        <w:rPr>
          <w:rFonts w:ascii="Times New Roman" w:hAnsi="Times New Roman" w:eastAsia="仿宋_GB2312"/>
          <w:sz w:val="32"/>
          <w:szCs w:val="32"/>
        </w:rPr>
        <w:t>%</w:t>
      </w:r>
      <w:r>
        <w:rPr>
          <w:rFonts w:hint="eastAsia" w:ascii="Times New Roman" w:hAnsi="Times New Roman" w:eastAsia="仿宋_GB2312"/>
          <w:sz w:val="32"/>
          <w:szCs w:val="32"/>
        </w:rPr>
        <w:t>提高</w:t>
      </w:r>
      <w:r>
        <w:rPr>
          <w:rFonts w:ascii="Times New Roman" w:hAnsi="Times New Roman" w:eastAsia="仿宋_GB2312"/>
          <w:sz w:val="32"/>
          <w:szCs w:val="32"/>
        </w:rPr>
        <w:t>2020</w:t>
      </w:r>
      <w:r>
        <w:rPr>
          <w:rFonts w:hint="eastAsia" w:ascii="Times New Roman" w:hAnsi="Times New Roman" w:eastAsia="仿宋_GB2312"/>
          <w:sz w:val="32"/>
          <w:szCs w:val="32"/>
        </w:rPr>
        <w:t>年的36.43</w:t>
      </w:r>
      <w:r>
        <w:rPr>
          <w:rFonts w:ascii="Times New Roman" w:hAnsi="Times New Roman" w:eastAsia="仿宋_GB2312"/>
          <w:sz w:val="32"/>
          <w:szCs w:val="32"/>
        </w:rPr>
        <w:t>%</w:t>
      </w:r>
      <w:r>
        <w:rPr>
          <w:rFonts w:hint="eastAsia" w:ascii="仿宋_GB2312" w:hAnsi="仿宋_GB2312" w:eastAsia="仿宋_GB2312" w:cs="仿宋_GB2312"/>
          <w:sz w:val="32"/>
          <w:szCs w:val="32"/>
        </w:rPr>
        <w:t>。</w:t>
      </w:r>
      <w:r>
        <w:rPr>
          <w:rFonts w:hint="eastAsia" w:ascii="楷体_GB2312" w:eastAsia="楷体_GB2312"/>
          <w:b/>
          <w:bCs/>
          <w:sz w:val="32"/>
          <w:szCs w:val="32"/>
        </w:rPr>
        <w:t>乡村振兴战略扎实推进。</w:t>
      </w:r>
      <w:r>
        <w:rPr>
          <w:rFonts w:hint="eastAsia" w:ascii="仿宋_GB2312" w:hAnsi="仿宋_GB2312" w:eastAsia="仿宋_GB2312" w:cs="仿宋_GB2312"/>
          <w:sz w:val="32"/>
          <w:szCs w:val="32"/>
        </w:rPr>
        <w:t>以美丽乡村工作和农村人居环境整治为抓手，积极推动城镇基础设施向农村延伸、城镇公共服务向农村覆盖、城镇现代文明向农村辐射</w:t>
      </w:r>
      <w:r>
        <w:rPr>
          <w:rFonts w:hint="eastAsia" w:ascii="仿宋" w:hAnsi="仿宋" w:eastAsia="仿宋" w:cs="仿宋"/>
          <w:sz w:val="32"/>
          <w:szCs w:val="32"/>
        </w:rPr>
        <w:t>，</w:t>
      </w:r>
      <w:r>
        <w:rPr>
          <w:rFonts w:hint="eastAsia" w:ascii="仿宋_GB2312" w:hAnsi="仿宋_GB2312" w:eastAsia="仿宋_GB2312" w:cs="仿宋_GB2312"/>
          <w:sz w:val="32"/>
          <w:szCs w:val="32"/>
        </w:rPr>
        <w:t>切实提</w:t>
      </w:r>
      <w:r>
        <w:rPr>
          <w:rFonts w:hint="eastAsia" w:ascii="仿宋_GB2312" w:hAnsi="仿宋" w:eastAsia="仿宋_GB2312" w:cs="仿宋"/>
          <w:sz w:val="32"/>
          <w:szCs w:val="32"/>
        </w:rPr>
        <w:t>升了乡镇政府所在地特别是“中心镇”在新型城镇化建设中的骨干支撑作用和对美丽乡村工作的引领作用</w:t>
      </w:r>
      <w:r>
        <w:rPr>
          <w:rFonts w:hint="eastAsia" w:ascii="仿宋_GB2312" w:hAnsi="仿宋_GB2312" w:eastAsia="仿宋_GB2312" w:cs="仿宋_GB2312"/>
          <w:sz w:val="32"/>
          <w:szCs w:val="32"/>
        </w:rPr>
        <w:t>，形成了城乡互动、良性循环、互促共进、相得益彰的发展格局。坚持按照城市标准打造乡镇政府所在地，以提升乡镇政府所在地基础建设水平、规范镇区管理为重点，统筹运用土地增减挂钩试点、农村道路三年提升计划、农业“百千万”工程、千亿斤粮食工程等政策，把各方面资源资金集中投放、集约使用，乡镇政府所在地在新型城镇化建设中的骨干支撑作用和对美丽乡村工作的引领作用更加突显。</w:t>
      </w:r>
      <w:r>
        <w:rPr>
          <w:rFonts w:hint="eastAsia" w:ascii="仿宋_GB2312" w:hAnsi="仿宋" w:eastAsia="仿宋_GB2312" w:cs="仿宋"/>
          <w:sz w:val="32"/>
          <w:szCs w:val="32"/>
        </w:rPr>
        <w:t>在全省率先开展美丽乡村工作，深入推进“六村共建”，</w:t>
      </w:r>
      <w:r>
        <w:rPr>
          <w:rFonts w:hint="eastAsia" w:ascii="仿宋_GB2312" w:hAnsi="仿宋_GB2312" w:eastAsia="仿宋_GB2312"/>
          <w:sz w:val="32"/>
          <w:szCs w:val="32"/>
        </w:rPr>
        <w:t>突出抓好垃圾污水治理、村容村貌整治、厕所革命和畜禽粪污资源化利用等重点工作，农村面貌明显改善、生活环境更加宜居，全县共创建市级卫生村</w:t>
      </w:r>
      <w:r>
        <w:rPr>
          <w:rFonts w:hint="eastAsia" w:ascii="仿宋_GB2312" w:hAnsi="Times New Roman" w:eastAsia="仿宋_GB2312"/>
          <w:sz w:val="32"/>
          <w:szCs w:val="32"/>
        </w:rPr>
        <w:t>180</w:t>
      </w:r>
      <w:r>
        <w:rPr>
          <w:rFonts w:hint="eastAsia" w:ascii="仿宋_GB2312" w:hAnsi="仿宋_GB2312" w:eastAsia="仿宋_GB2312"/>
          <w:sz w:val="32"/>
          <w:szCs w:val="32"/>
        </w:rPr>
        <w:t>个，省级卫生村</w:t>
      </w:r>
      <w:r>
        <w:rPr>
          <w:rFonts w:hint="eastAsia" w:ascii="仿宋_GB2312" w:hAnsi="Times New Roman" w:eastAsia="仿宋_GB2312"/>
          <w:sz w:val="32"/>
          <w:szCs w:val="32"/>
        </w:rPr>
        <w:t>47</w:t>
      </w:r>
      <w:r>
        <w:rPr>
          <w:rFonts w:hint="eastAsia" w:ascii="仿宋_GB2312" w:hAnsi="仿宋_GB2312" w:eastAsia="仿宋_GB2312"/>
          <w:sz w:val="32"/>
          <w:szCs w:val="32"/>
        </w:rPr>
        <w:t>个；创建市级文明村镇</w:t>
      </w:r>
      <w:r>
        <w:rPr>
          <w:rFonts w:hint="eastAsia" w:ascii="仿宋_GB2312" w:hAnsi="Times New Roman" w:eastAsia="仿宋_GB2312"/>
          <w:sz w:val="32"/>
          <w:szCs w:val="32"/>
        </w:rPr>
        <w:t>31</w:t>
      </w:r>
      <w:r>
        <w:rPr>
          <w:rFonts w:hint="eastAsia" w:ascii="仿宋_GB2312" w:hAnsi="仿宋_GB2312" w:eastAsia="仿宋_GB2312"/>
          <w:sz w:val="32"/>
          <w:szCs w:val="32"/>
        </w:rPr>
        <w:t>个，评选县级文明村镇</w:t>
      </w:r>
      <w:r>
        <w:rPr>
          <w:rFonts w:hint="eastAsia" w:ascii="仿宋_GB2312" w:hAnsi="Times New Roman" w:eastAsia="仿宋_GB2312"/>
          <w:sz w:val="32"/>
          <w:szCs w:val="32"/>
        </w:rPr>
        <w:t>115</w:t>
      </w:r>
      <w:r>
        <w:rPr>
          <w:rFonts w:ascii="Times New Roman" w:hAnsi="仿宋_GB2312" w:eastAsia="仿宋_GB2312"/>
          <w:sz w:val="32"/>
          <w:szCs w:val="32"/>
        </w:rPr>
        <w:t>个，红花集镇龙池头村获全国文明村镇称号。</w:t>
      </w:r>
    </w:p>
    <w:p>
      <w:pPr>
        <w:spacing w:line="600" w:lineRule="exact"/>
        <w:ind w:firstLine="643" w:firstLineChars="200"/>
        <w:rPr>
          <w:rFonts w:ascii="Times New Roman" w:hAnsi="Times New Roman" w:eastAsia="仿宋_GB2312"/>
          <w:sz w:val="32"/>
          <w:szCs w:val="32"/>
          <w:shd w:val="clear" w:color="auto" w:fill="FFFFFF"/>
        </w:rPr>
      </w:pPr>
      <w:r>
        <w:rPr>
          <w:rFonts w:hint="eastAsia" w:ascii="仿宋_GB2312" w:hAnsi="仿宋_GB2312" w:eastAsia="仿宋_GB2312" w:cs="仿宋_GB2312"/>
          <w:b/>
          <w:bCs/>
          <w:sz w:val="32"/>
          <w:szCs w:val="32"/>
        </w:rPr>
        <w:t>营商环境大优化。</w:t>
      </w:r>
      <w:r>
        <w:rPr>
          <w:rFonts w:hint="eastAsia" w:ascii="仿宋_GB2312" w:hAnsi="仿宋_GB2312" w:eastAsia="仿宋_GB2312" w:cs="仿宋_GB2312"/>
          <w:sz w:val="32"/>
          <w:szCs w:val="32"/>
        </w:rPr>
        <w:t>全面深化“放管服”改革和“一网通办”“最多跑一次”改革，统筹推进政务服务环境、公平法治环境、社会治安环境建设，以营商环境大提升推动招商引资大突破、县域经济大发展。把行政审批项目颗粒化分解，减项目、减程序、减材料、减时限，实行一窗受理、集成服务，提升“互联网</w:t>
      </w:r>
      <w:r>
        <w:rPr>
          <w:rFonts w:ascii="仿宋_GB2312" w:hAnsi="仿宋_GB2312" w:eastAsia="仿宋_GB2312" w:cs="仿宋_GB2312"/>
          <w:sz w:val="32"/>
          <w:szCs w:val="32"/>
        </w:rPr>
        <w:t>+</w:t>
      </w:r>
      <w:r>
        <w:rPr>
          <w:rFonts w:hint="eastAsia" w:ascii="仿宋_GB2312" w:hAnsi="仿宋_GB2312" w:eastAsia="仿宋_GB2312" w:cs="仿宋_GB2312"/>
          <w:sz w:val="32"/>
          <w:szCs w:val="32"/>
        </w:rPr>
        <w:t>政务服务”水平，</w:t>
      </w:r>
      <w:r>
        <w:rPr>
          <w:rFonts w:ascii="Times New Roman" w:hAnsi="Times New Roman" w:eastAsia="仿宋_GB2312"/>
          <w:sz w:val="32"/>
          <w:szCs w:val="32"/>
        </w:rPr>
        <w:t>1181</w:t>
      </w:r>
      <w:r>
        <w:rPr>
          <w:rFonts w:ascii="Times New Roman" w:hAnsi="仿宋_GB2312" w:eastAsia="仿宋_GB2312"/>
          <w:sz w:val="32"/>
          <w:szCs w:val="32"/>
        </w:rPr>
        <w:t>项行政</w:t>
      </w:r>
      <w:r>
        <w:rPr>
          <w:rFonts w:hint="eastAsia" w:ascii="仿宋_GB2312" w:hAnsi="仿宋_GB2312" w:eastAsia="仿宋_GB2312" w:cs="仿宋_GB2312"/>
          <w:sz w:val="32"/>
          <w:szCs w:val="32"/>
        </w:rPr>
        <w:t>审批服务事项实现“一网通办”。探索建立资源要素差别化价格机制，压缩水电气报装时间和费用，解决水电气路地等要素配套不完善、保障不充分等问题，降低企业运营成本。不断深化综合执法改革，全面整治多头检查、重复检查、“关系执法”、“人情罚单”等问题；</w:t>
      </w:r>
      <w:r>
        <w:rPr>
          <w:rFonts w:hint="eastAsia" w:ascii="Times New Roman" w:hAnsi="仿宋_GB2312" w:eastAsia="仿宋_GB2312"/>
          <w:snapToGrid w:val="0"/>
          <w:sz w:val="32"/>
          <w:szCs w:val="32"/>
        </w:rPr>
        <w:t>历经七年艰辛、七年执着、七年心血、七年汗水，</w:t>
      </w:r>
      <w:r>
        <w:rPr>
          <w:rFonts w:hint="eastAsia" w:ascii="仿宋_GB2312" w:hAnsi="仿宋_GB2312" w:eastAsia="仿宋_GB2312" w:cs="仿宋_GB2312"/>
          <w:sz w:val="32"/>
          <w:szCs w:val="32"/>
        </w:rPr>
        <w:t>西华机场</w:t>
      </w:r>
      <w:r>
        <w:rPr>
          <w:rFonts w:ascii="Times New Roman" w:hAnsi="仿宋_GB2312" w:eastAsia="仿宋_GB2312"/>
          <w:sz w:val="32"/>
          <w:szCs w:val="32"/>
        </w:rPr>
        <w:t>于</w:t>
      </w:r>
      <w:r>
        <w:rPr>
          <w:rFonts w:ascii="Times New Roman" w:hAnsi="Times New Roman" w:eastAsia="仿宋_GB2312"/>
          <w:sz w:val="32"/>
          <w:szCs w:val="32"/>
        </w:rPr>
        <w:t>2019</w:t>
      </w:r>
      <w:r>
        <w:rPr>
          <w:rFonts w:ascii="Times New Roman" w:hAnsi="仿宋_GB2312" w:eastAsia="仿宋_GB2312"/>
          <w:sz w:val="32"/>
          <w:szCs w:val="32"/>
        </w:rPr>
        <w:t>年</w:t>
      </w:r>
      <w:r>
        <w:rPr>
          <w:rFonts w:ascii="Times New Roman" w:hAnsi="Times New Roman" w:eastAsia="仿宋_GB2312"/>
          <w:sz w:val="32"/>
          <w:szCs w:val="32"/>
        </w:rPr>
        <w:t>10</w:t>
      </w:r>
      <w:r>
        <w:rPr>
          <w:rFonts w:ascii="Times New Roman" w:hAnsi="仿宋_GB2312" w:eastAsia="仿宋_GB2312"/>
          <w:sz w:val="32"/>
          <w:szCs w:val="32"/>
        </w:rPr>
        <w:t>月</w:t>
      </w:r>
      <w:r>
        <w:rPr>
          <w:rFonts w:ascii="Times New Roman" w:hAnsi="Times New Roman" w:eastAsia="仿宋_GB2312"/>
          <w:sz w:val="32"/>
          <w:szCs w:val="32"/>
        </w:rPr>
        <w:t>29</w:t>
      </w:r>
      <w:r>
        <w:rPr>
          <w:rFonts w:ascii="Times New Roman" w:hAnsi="仿宋_GB2312" w:eastAsia="仿宋_GB2312"/>
          <w:sz w:val="32"/>
          <w:szCs w:val="32"/>
        </w:rPr>
        <w:t>日正式启用，成为全国功能最完善、设施最齐全、规模最</w:t>
      </w:r>
      <w:r>
        <w:rPr>
          <w:rFonts w:hint="eastAsia" w:ascii="仿宋_GB2312" w:hAnsi="仿宋_GB2312" w:eastAsia="仿宋_GB2312" w:cs="仿宋_GB2312"/>
          <w:sz w:val="32"/>
          <w:szCs w:val="32"/>
        </w:rPr>
        <w:t>大的县级通用机场，填补了周口市航空产业的空白，被定为全省推广的通用机场示范区、民航系统标准化建设示范点，标志着全国第一家县级临空经济实验区正式成立；通过艰苦努力，将郑阜高铁西华站设点由城西单纯的通行功能，改为设点在经济开发区的城市带动功能，并于</w:t>
      </w:r>
      <w:r>
        <w:rPr>
          <w:rFonts w:ascii="Times New Roman" w:hAnsi="Times New Roman" w:eastAsia="仿宋_GB2312"/>
          <w:sz w:val="32"/>
          <w:szCs w:val="32"/>
        </w:rPr>
        <w:t>2019</w:t>
      </w:r>
      <w:r>
        <w:rPr>
          <w:rFonts w:ascii="Times New Roman" w:hAnsi="仿宋_GB2312" w:eastAsia="仿宋_GB2312"/>
          <w:sz w:val="32"/>
          <w:szCs w:val="32"/>
        </w:rPr>
        <w:t>年</w:t>
      </w:r>
      <w:r>
        <w:rPr>
          <w:rFonts w:ascii="Times New Roman" w:hAnsi="Times New Roman" w:eastAsia="仿宋_GB2312"/>
          <w:sz w:val="32"/>
          <w:szCs w:val="32"/>
        </w:rPr>
        <w:t>12</w:t>
      </w:r>
      <w:r>
        <w:rPr>
          <w:rFonts w:ascii="Times New Roman" w:hAnsi="仿宋_GB2312" w:eastAsia="仿宋_GB2312"/>
          <w:sz w:val="32"/>
          <w:szCs w:val="32"/>
        </w:rPr>
        <w:t>月</w:t>
      </w:r>
      <w:r>
        <w:rPr>
          <w:rFonts w:ascii="Times New Roman" w:hAnsi="Times New Roman" w:eastAsia="仿宋_GB2312"/>
          <w:sz w:val="32"/>
          <w:szCs w:val="32"/>
        </w:rPr>
        <w:t>1</w:t>
      </w:r>
      <w:r>
        <w:rPr>
          <w:rFonts w:ascii="Times New Roman" w:hAnsi="仿宋_GB2312" w:eastAsia="仿宋_GB2312"/>
          <w:sz w:val="32"/>
          <w:szCs w:val="32"/>
        </w:rPr>
        <w:t>日通车运营，</w:t>
      </w:r>
      <w:r>
        <w:rPr>
          <w:rFonts w:hint="eastAsia" w:ascii="仿宋_GB2312" w:hAnsi="仿宋_GB2312" w:eastAsia="仿宋_GB2312" w:cs="仿宋_GB2312"/>
          <w:sz w:val="32"/>
          <w:szCs w:val="32"/>
        </w:rPr>
        <w:t>引领百万西华人民从此进入了高铁新时代，“水、陆、空、铁”多式联运的大交通格局初步形成。优良的营商环境，成功吸引耕德电子、大华电子、厚德科技、双汇食品等符合我县主导产业的重大项目落</w:t>
      </w:r>
      <w:r>
        <w:rPr>
          <w:rFonts w:hint="eastAsia" w:ascii="Times New Roman" w:hAnsi="Times New Roman" w:eastAsia="仿宋_GB2312"/>
          <w:sz w:val="32"/>
          <w:szCs w:val="32"/>
        </w:rPr>
        <w:t>户西华，</w:t>
      </w:r>
      <w:r>
        <w:rPr>
          <w:rFonts w:ascii="Times New Roman" w:hAnsi="Times New Roman" w:eastAsia="仿宋_GB2312"/>
          <w:sz w:val="32"/>
          <w:szCs w:val="32"/>
        </w:rPr>
        <w:t>2019</w:t>
      </w:r>
      <w:r>
        <w:rPr>
          <w:rFonts w:hint="eastAsia" w:ascii="Times New Roman" w:hAnsi="Times New Roman" w:eastAsia="仿宋_GB2312"/>
          <w:sz w:val="32"/>
          <w:szCs w:val="32"/>
        </w:rPr>
        <w:t>年，西华</w:t>
      </w:r>
      <w:r>
        <w:rPr>
          <w:rFonts w:hint="eastAsia" w:ascii="仿宋_GB2312" w:hAnsi="仿宋_GB2312" w:eastAsia="仿宋_GB2312" w:cs="仿宋_GB2312"/>
          <w:sz w:val="32"/>
          <w:szCs w:val="32"/>
          <w:shd w:val="clear" w:color="auto" w:fill="FFFFFF"/>
        </w:rPr>
        <w:t>经济技术开发区成功晋升全省二星级产业集聚区，特色商业区进入全省一星级服务业“两区”序列，“四区”统筹全面发力，“四核驱动”增势强劲。</w:t>
      </w:r>
    </w:p>
    <w:p>
      <w:pPr>
        <w:spacing w:line="600" w:lineRule="exact"/>
        <w:ind w:firstLine="643" w:firstLineChars="200"/>
        <w:rPr>
          <w:rFonts w:ascii="Times New Roman" w:hAnsi="Times New Roman" w:eastAsia="仿宋_GB2312"/>
          <w:sz w:val="32"/>
          <w:szCs w:val="32"/>
          <w:shd w:val="clear" w:color="auto" w:fill="FFFFFF"/>
        </w:rPr>
      </w:pPr>
      <w:r>
        <w:rPr>
          <w:rFonts w:hint="eastAsia" w:ascii="仿宋_GB2312" w:hAnsi="仿宋_GB2312" w:eastAsia="仿宋_GB2312" w:cs="仿宋_GB2312"/>
          <w:b/>
          <w:bCs/>
          <w:sz w:val="32"/>
          <w:szCs w:val="32"/>
        </w:rPr>
        <w:t>项目建设大突破。</w:t>
      </w:r>
      <w:r>
        <w:rPr>
          <w:rFonts w:hint="eastAsia" w:ascii="仿宋_GB2312" w:hAnsi="仿宋_GB2312" w:eastAsia="仿宋_GB2312" w:cs="仿宋_GB2312"/>
          <w:sz w:val="32"/>
          <w:szCs w:val="32"/>
        </w:rPr>
        <w:t>坚持</w:t>
      </w:r>
      <w:r>
        <w:rPr>
          <w:rFonts w:hint="eastAsia" w:ascii="仿宋_GB2312" w:hAnsi="仿宋_GB2312" w:eastAsia="仿宋_GB2312" w:cs="仿宋_GB2312"/>
          <w:bCs/>
          <w:sz w:val="32"/>
          <w:szCs w:val="32"/>
        </w:rPr>
        <w:t>“招商引资是生命线、重点项目是核心、开工是硬道理”的理念</w:t>
      </w:r>
      <w:r>
        <w:rPr>
          <w:rFonts w:hint="eastAsia" w:ascii="仿宋_GB2312" w:hAnsi="仿宋_GB2312" w:eastAsia="仿宋_GB2312" w:cs="仿宋_GB2312"/>
          <w:sz w:val="32"/>
          <w:szCs w:val="32"/>
        </w:rPr>
        <w:t>，把招商引资和项目建设作为经济发展的首要核心任务，全员上阵、全力以赴推进招商引资和项目建设大突破、大建设，“十三五”时期，</w:t>
      </w:r>
      <w:r>
        <w:rPr>
          <w:rFonts w:ascii="Times New Roman" w:hAnsi="仿宋_GB2312" w:eastAsia="仿宋_GB2312"/>
          <w:sz w:val="32"/>
          <w:szCs w:val="32"/>
        </w:rPr>
        <w:t>我县共谋划重点项目</w:t>
      </w:r>
      <w:r>
        <w:rPr>
          <w:rFonts w:ascii="Times New Roman" w:hAnsi="Times New Roman" w:eastAsia="仿宋_GB2312"/>
          <w:sz w:val="32"/>
          <w:szCs w:val="32"/>
        </w:rPr>
        <w:t>331</w:t>
      </w:r>
      <w:r>
        <w:rPr>
          <w:rFonts w:ascii="Times New Roman" w:hAnsi="仿宋_GB2312" w:eastAsia="仿宋_GB2312"/>
          <w:sz w:val="32"/>
          <w:szCs w:val="32"/>
        </w:rPr>
        <w:t>个，总投资</w:t>
      </w:r>
      <w:r>
        <w:rPr>
          <w:rFonts w:ascii="Times New Roman" w:hAnsi="Times New Roman" w:eastAsia="仿宋_GB2312"/>
          <w:sz w:val="32"/>
          <w:szCs w:val="32"/>
        </w:rPr>
        <w:t>1766.44</w:t>
      </w:r>
      <w:r>
        <w:rPr>
          <w:rFonts w:ascii="Times New Roman" w:hAnsi="仿宋_GB2312" w:eastAsia="仿宋_GB2312"/>
          <w:sz w:val="32"/>
          <w:szCs w:val="32"/>
        </w:rPr>
        <w:t>亿元</w:t>
      </w:r>
      <w:r>
        <w:rPr>
          <w:rFonts w:hint="eastAsia" w:ascii="Times New Roman" w:hAnsi="Times New Roman" w:eastAsia="仿宋_GB2312"/>
          <w:sz w:val="32"/>
          <w:szCs w:val="32"/>
        </w:rPr>
        <w:t>，</w:t>
      </w:r>
      <w:r>
        <w:rPr>
          <w:rFonts w:ascii="Times New Roman" w:hAnsi="仿宋_GB2312" w:eastAsia="仿宋_GB2312"/>
          <w:sz w:val="32"/>
          <w:szCs w:val="32"/>
        </w:rPr>
        <w:t>共完成投资</w:t>
      </w:r>
      <w:r>
        <w:rPr>
          <w:rFonts w:ascii="Times New Roman" w:hAnsi="Times New Roman" w:eastAsia="仿宋_GB2312"/>
          <w:sz w:val="32"/>
          <w:szCs w:val="32"/>
        </w:rPr>
        <w:t>1384.32</w:t>
      </w:r>
      <w:r>
        <w:rPr>
          <w:rFonts w:ascii="Times New Roman" w:hAnsi="仿宋_GB2312" w:eastAsia="仿宋_GB2312"/>
          <w:sz w:val="32"/>
          <w:szCs w:val="32"/>
        </w:rPr>
        <w:t>亿元，完成投资计划的</w:t>
      </w:r>
      <w:r>
        <w:rPr>
          <w:rFonts w:ascii="Times New Roman" w:hAnsi="Times New Roman" w:eastAsia="仿宋_GB2312"/>
          <w:sz w:val="32"/>
          <w:szCs w:val="32"/>
        </w:rPr>
        <w:t>87.37%</w:t>
      </w:r>
      <w:r>
        <w:rPr>
          <w:rFonts w:ascii="Times New Roman" w:hAnsi="仿宋_GB2312" w:eastAsia="仿宋_GB2312"/>
          <w:sz w:val="32"/>
          <w:szCs w:val="32"/>
        </w:rPr>
        <w:t>。其中省市级重点项目</w:t>
      </w:r>
      <w:r>
        <w:rPr>
          <w:rFonts w:ascii="Times New Roman" w:hAnsi="Times New Roman" w:eastAsia="仿宋_GB2312"/>
          <w:sz w:val="32"/>
          <w:szCs w:val="32"/>
        </w:rPr>
        <w:t>106</w:t>
      </w:r>
      <w:r>
        <w:rPr>
          <w:rFonts w:ascii="Times New Roman" w:hAnsi="仿宋_GB2312" w:eastAsia="仿宋_GB2312"/>
          <w:sz w:val="32"/>
          <w:szCs w:val="32"/>
        </w:rPr>
        <w:t>个，总投资</w:t>
      </w:r>
      <w:r>
        <w:rPr>
          <w:rFonts w:ascii="Times New Roman" w:hAnsi="Times New Roman" w:eastAsia="仿宋_GB2312"/>
          <w:sz w:val="32"/>
          <w:szCs w:val="32"/>
        </w:rPr>
        <w:t>819.16</w:t>
      </w:r>
      <w:r>
        <w:rPr>
          <w:rFonts w:ascii="Times New Roman" w:hAnsi="仿宋_GB2312" w:eastAsia="仿宋_GB2312"/>
          <w:sz w:val="32"/>
          <w:szCs w:val="32"/>
        </w:rPr>
        <w:t>亿元，计划投资</w:t>
      </w:r>
      <w:r>
        <w:rPr>
          <w:rFonts w:ascii="Times New Roman" w:hAnsi="Times New Roman" w:eastAsia="仿宋_GB2312"/>
          <w:sz w:val="32"/>
          <w:szCs w:val="32"/>
        </w:rPr>
        <w:t>705</w:t>
      </w:r>
      <w:r>
        <w:rPr>
          <w:rFonts w:ascii="Times New Roman" w:hAnsi="仿宋_GB2312" w:eastAsia="仿宋_GB2312"/>
          <w:sz w:val="32"/>
          <w:szCs w:val="32"/>
        </w:rPr>
        <w:t>亿元，已完成投资</w:t>
      </w:r>
      <w:r>
        <w:rPr>
          <w:rFonts w:ascii="Times New Roman" w:hAnsi="Times New Roman" w:eastAsia="仿宋_GB2312"/>
          <w:sz w:val="32"/>
          <w:szCs w:val="32"/>
        </w:rPr>
        <w:t>761.4</w:t>
      </w:r>
      <w:r>
        <w:rPr>
          <w:rFonts w:ascii="Times New Roman" w:hAnsi="仿宋_GB2312" w:eastAsia="仿宋_GB2312"/>
          <w:sz w:val="32"/>
          <w:szCs w:val="32"/>
        </w:rPr>
        <w:t>亿元，完成投资计划的</w:t>
      </w:r>
      <w:r>
        <w:rPr>
          <w:rFonts w:ascii="Times New Roman" w:hAnsi="Times New Roman" w:eastAsia="仿宋_GB2312"/>
          <w:sz w:val="32"/>
          <w:szCs w:val="32"/>
        </w:rPr>
        <w:t>107.95%</w:t>
      </w:r>
      <w:r>
        <w:rPr>
          <w:rFonts w:ascii="Times New Roman" w:hAnsi="仿宋_GB2312" w:eastAsia="仿宋_GB2312"/>
          <w:sz w:val="32"/>
          <w:szCs w:val="32"/>
        </w:rPr>
        <w:t>。在重点项目推进过程中各责任单位负责同志特别是作为项目建设指挥长的县处级领导干部，</w:t>
      </w:r>
      <w:r>
        <w:rPr>
          <w:rFonts w:ascii="Times New Roman" w:hAnsi="仿宋_GB2312" w:eastAsia="仿宋_GB2312"/>
          <w:bCs/>
          <w:sz w:val="32"/>
          <w:szCs w:val="32"/>
        </w:rPr>
        <w:t>按</w:t>
      </w:r>
      <w:r>
        <w:rPr>
          <w:rFonts w:hint="eastAsia" w:ascii="仿宋_GB2312" w:hAnsi="仿宋_GB2312" w:eastAsia="仿宋_GB2312" w:cs="仿宋_GB2312"/>
          <w:bCs/>
          <w:sz w:val="32"/>
          <w:szCs w:val="32"/>
        </w:rPr>
        <w:t>照“领导干部就是解决问题的、就是作难的、就是担责任的”工作定位和“抓具体、具体抓，亲历亲为、一竿子插到底”的工作要求</w:t>
      </w:r>
      <w:r>
        <w:rPr>
          <w:rFonts w:hint="eastAsia" w:ascii="仿宋_GB2312" w:hAnsi="仿宋_GB2312" w:eastAsia="仿宋_GB2312" w:cs="仿宋_GB2312"/>
          <w:sz w:val="32"/>
          <w:szCs w:val="32"/>
        </w:rPr>
        <w:t>，深入一线，靠前指挥，解决了诸如达康医药物流多年的用地手续办理、耕德电子用电</w:t>
      </w:r>
      <w:r>
        <w:rPr>
          <w:rFonts w:ascii="Times New Roman" w:hAnsi="仿宋_GB2312" w:eastAsia="仿宋_GB2312"/>
          <w:sz w:val="32"/>
          <w:szCs w:val="32"/>
        </w:rPr>
        <w:t>等问题</w:t>
      </w:r>
      <w:r>
        <w:rPr>
          <w:rFonts w:ascii="Times New Roman" w:hAnsi="Times New Roman" w:eastAsia="仿宋_GB2312"/>
          <w:sz w:val="32"/>
          <w:szCs w:val="32"/>
        </w:rPr>
        <w:t>215</w:t>
      </w:r>
      <w:r>
        <w:rPr>
          <w:rFonts w:ascii="Times New Roman" w:hAnsi="仿宋_GB2312" w:eastAsia="仿宋_GB2312"/>
          <w:sz w:val="32"/>
          <w:szCs w:val="32"/>
        </w:rPr>
        <w:t>个，特别是双汇项目</w:t>
      </w:r>
      <w:r>
        <w:rPr>
          <w:rFonts w:ascii="Times New Roman" w:hAnsi="Times New Roman" w:eastAsia="仿宋_GB2312"/>
          <w:sz w:val="32"/>
          <w:szCs w:val="32"/>
        </w:rPr>
        <w:t>13</w:t>
      </w:r>
      <w:r>
        <w:rPr>
          <w:rFonts w:ascii="Times New Roman" w:hAnsi="仿宋_GB2312" w:eastAsia="仿宋_GB2312"/>
          <w:sz w:val="32"/>
          <w:szCs w:val="32"/>
        </w:rPr>
        <w:t>个养殖场、</w:t>
      </w:r>
      <w:r>
        <w:rPr>
          <w:rFonts w:ascii="Times New Roman" w:hAnsi="Times New Roman" w:eastAsia="仿宋_GB2312"/>
          <w:sz w:val="32"/>
          <w:szCs w:val="32"/>
        </w:rPr>
        <w:t>1954</w:t>
      </w:r>
      <w:r>
        <w:rPr>
          <w:rFonts w:ascii="Times New Roman" w:hAnsi="仿宋_GB2312" w:eastAsia="仿宋_GB2312"/>
          <w:sz w:val="32"/>
          <w:szCs w:val="32"/>
        </w:rPr>
        <w:t>亩养殖用地</w:t>
      </w:r>
      <w:r>
        <w:rPr>
          <w:rFonts w:ascii="Times New Roman" w:hAnsi="Times New Roman" w:eastAsia="仿宋_GB2312"/>
          <w:sz w:val="32"/>
          <w:szCs w:val="32"/>
        </w:rPr>
        <w:t>70</w:t>
      </w:r>
      <w:r>
        <w:rPr>
          <w:rFonts w:ascii="Times New Roman" w:hAnsi="仿宋_GB2312" w:eastAsia="仿宋_GB2312"/>
          <w:sz w:val="32"/>
          <w:szCs w:val="32"/>
        </w:rPr>
        <w:t>天流转到位，协调省市自然资源部门</w:t>
      </w:r>
      <w:r>
        <w:rPr>
          <w:rFonts w:ascii="Times New Roman" w:hAnsi="Times New Roman" w:eastAsia="仿宋_GB2312"/>
          <w:sz w:val="32"/>
          <w:szCs w:val="32"/>
        </w:rPr>
        <w:t>10</w:t>
      </w:r>
      <w:r>
        <w:rPr>
          <w:rFonts w:ascii="Times New Roman" w:hAnsi="仿宋_GB2312" w:eastAsia="仿宋_GB2312"/>
          <w:sz w:val="32"/>
          <w:szCs w:val="32"/>
        </w:rPr>
        <w:t>个处室对双汇</w:t>
      </w:r>
      <w:r>
        <w:rPr>
          <w:rFonts w:ascii="Times New Roman" w:hAnsi="Times New Roman" w:eastAsia="仿宋_GB2312"/>
          <w:sz w:val="32"/>
          <w:szCs w:val="32"/>
        </w:rPr>
        <w:t>300</w:t>
      </w:r>
      <w:r>
        <w:rPr>
          <w:rFonts w:ascii="Times New Roman" w:hAnsi="仿宋_GB2312" w:eastAsia="仿宋_GB2312"/>
          <w:sz w:val="32"/>
          <w:szCs w:val="32"/>
        </w:rPr>
        <w:t>亩熟食加工用地集中办公、并联审批，</w:t>
      </w:r>
      <w:r>
        <w:rPr>
          <w:rFonts w:ascii="Times New Roman" w:hAnsi="Times New Roman" w:eastAsia="仿宋_GB2312"/>
          <w:sz w:val="32"/>
          <w:szCs w:val="32"/>
        </w:rPr>
        <w:t>1</w:t>
      </w:r>
      <w:r>
        <w:rPr>
          <w:rFonts w:ascii="Times New Roman" w:hAnsi="仿宋_GB2312" w:eastAsia="仿宋_GB2312"/>
          <w:sz w:val="32"/>
          <w:szCs w:val="32"/>
        </w:rPr>
        <w:t>天批完，在全省创造了项目用地从报征到批复仅</w:t>
      </w:r>
      <w:r>
        <w:rPr>
          <w:rFonts w:ascii="Times New Roman" w:hAnsi="Times New Roman" w:eastAsia="仿宋_GB2312"/>
          <w:sz w:val="32"/>
          <w:szCs w:val="32"/>
        </w:rPr>
        <w:t>9</w:t>
      </w:r>
      <w:r>
        <w:rPr>
          <w:rFonts w:ascii="Times New Roman" w:hAnsi="仿宋_GB2312" w:eastAsia="仿宋_GB2312"/>
          <w:sz w:val="32"/>
          <w:szCs w:val="32"/>
        </w:rPr>
        <w:t>天</w:t>
      </w:r>
      <w:r>
        <w:rPr>
          <w:rFonts w:hint="eastAsia" w:ascii="仿宋_GB2312" w:hAnsi="仿宋_GB2312" w:eastAsia="仿宋_GB2312" w:cs="仿宋_GB2312"/>
          <w:sz w:val="32"/>
          <w:szCs w:val="32"/>
        </w:rPr>
        <w:t>的“西华速度”，2020年三季度，在全市重点项目观摩评比中，我县取得全市第一名的好成绩。</w:t>
      </w:r>
    </w:p>
    <w:p>
      <w:pPr>
        <w:spacing w:line="600" w:lineRule="exact"/>
        <w:ind w:firstLine="643" w:firstLineChars="200"/>
        <w:rPr>
          <w:rFonts w:ascii="Times New Roman" w:hAnsi="Times New Roman" w:eastAsia="仿宋_GB2312"/>
          <w:sz w:val="32"/>
          <w:szCs w:val="32"/>
          <w:shd w:val="clear" w:color="auto" w:fill="FFFFFF"/>
        </w:rPr>
      </w:pPr>
      <w:r>
        <w:rPr>
          <w:rFonts w:hint="eastAsia" w:ascii="仿宋_GB2312" w:hAnsi="仿宋_GB2312" w:eastAsia="仿宋_GB2312" w:cs="仿宋_GB2312"/>
          <w:b/>
          <w:bCs/>
          <w:sz w:val="32"/>
          <w:szCs w:val="32"/>
        </w:rPr>
        <w:t>“六新”经济大发展。</w:t>
      </w:r>
      <w:r>
        <w:rPr>
          <w:rFonts w:hint="eastAsia" w:ascii="仿宋_GB2312" w:hAnsi="仿宋_GB2312" w:eastAsia="仿宋_GB2312" w:cs="仿宋_GB2312"/>
          <w:sz w:val="32"/>
          <w:szCs w:val="32"/>
        </w:rPr>
        <w:t>准确把握习近平总书记“在危机中育新机、于变局中开新局”的重大要求，聚焦“六新”经济，培植发展新动能，有力推进了“六稳”“六保”。</w:t>
      </w:r>
      <w:r>
        <w:rPr>
          <w:rFonts w:hint="eastAsia" w:ascii="楷体_GB2312" w:hAnsi="仿宋_GB2312" w:eastAsia="楷体_GB2312" w:cs="仿宋_GB2312"/>
          <w:b/>
          <w:bCs/>
          <w:sz w:val="32"/>
          <w:szCs w:val="32"/>
        </w:rPr>
        <w:t>聚焦“新产业”。</w:t>
      </w:r>
      <w:r>
        <w:rPr>
          <w:rFonts w:hint="eastAsia" w:ascii="仿宋_GB2312" w:hAnsi="仿宋_GB2312" w:eastAsia="仿宋_GB2312" w:cs="仿宋_GB2312"/>
          <w:sz w:val="32"/>
          <w:szCs w:val="32"/>
        </w:rPr>
        <w:t>总投资</w:t>
      </w:r>
      <w:r>
        <w:rPr>
          <w:rFonts w:ascii="Times New Roman" w:hAnsi="Times New Roman" w:eastAsia="仿宋_GB2312"/>
          <w:sz w:val="32"/>
          <w:szCs w:val="32"/>
        </w:rPr>
        <w:t>30</w:t>
      </w:r>
      <w:r>
        <w:rPr>
          <w:rFonts w:ascii="Times New Roman" w:hAnsi="仿宋_GB2312" w:eastAsia="仿宋_GB2312"/>
          <w:sz w:val="32"/>
          <w:szCs w:val="32"/>
        </w:rPr>
        <w:t>亿元的耕德电子华为手机生产项目，</w:t>
      </w:r>
      <w:r>
        <w:rPr>
          <w:rFonts w:ascii="Times New Roman" w:hAnsi="Times New Roman" w:eastAsia="仿宋_GB2312"/>
          <w:sz w:val="32"/>
          <w:szCs w:val="32"/>
        </w:rPr>
        <w:t>3</w:t>
      </w:r>
      <w:r>
        <w:rPr>
          <w:rFonts w:ascii="Times New Roman" w:hAnsi="仿宋_GB2312" w:eastAsia="仿宋_GB2312"/>
          <w:sz w:val="32"/>
          <w:szCs w:val="32"/>
        </w:rPr>
        <w:t>个月内完成招商洽谈签约、厂房宿舍改建、设备采购安装开工投产，使西华成为全省除郑州航空港外</w:t>
      </w:r>
      <w:r>
        <w:rPr>
          <w:rFonts w:ascii="Times New Roman" w:hAnsi="Times New Roman" w:eastAsia="仿宋_GB2312"/>
          <w:sz w:val="32"/>
          <w:szCs w:val="32"/>
        </w:rPr>
        <w:t>CNC</w:t>
      </w:r>
      <w:r>
        <w:rPr>
          <w:rFonts w:ascii="Times New Roman" w:hAnsi="仿宋_GB2312" w:eastAsia="仿宋_GB2312"/>
          <w:sz w:val="32"/>
          <w:szCs w:val="32"/>
        </w:rPr>
        <w:t>数控机床最密集的地区之一，周口高端智能制造最尖端的县。总投资</w:t>
      </w:r>
      <w:r>
        <w:rPr>
          <w:rFonts w:ascii="Times New Roman" w:hAnsi="Times New Roman" w:eastAsia="仿宋_GB2312"/>
          <w:sz w:val="32"/>
          <w:szCs w:val="32"/>
        </w:rPr>
        <w:t>16.5</w:t>
      </w:r>
      <w:r>
        <w:rPr>
          <w:rFonts w:ascii="Times New Roman" w:hAnsi="仿宋_GB2312" w:eastAsia="仿宋_GB2312"/>
          <w:sz w:val="32"/>
          <w:szCs w:val="32"/>
        </w:rPr>
        <w:t>亿元的双</w:t>
      </w:r>
      <w:r>
        <w:rPr>
          <w:rFonts w:hint="eastAsia" w:ascii="仿宋_GB2312" w:hAnsi="仿宋_GB2312" w:eastAsia="仿宋_GB2312" w:cs="仿宋_GB2312"/>
          <w:sz w:val="32"/>
          <w:szCs w:val="32"/>
        </w:rPr>
        <w:t>汇食品肉鸡产业化项目全面开工，成为双汇集团进军禽类食品领域的首个产业基地。</w:t>
      </w:r>
      <w:r>
        <w:rPr>
          <w:rFonts w:hint="eastAsia" w:ascii="楷体_GB2312" w:hAnsi="仿宋_GB2312" w:eastAsia="楷体_GB2312" w:cs="仿宋_GB2312"/>
          <w:b/>
          <w:bCs/>
          <w:sz w:val="32"/>
          <w:szCs w:val="32"/>
        </w:rPr>
        <w:t>聚焦“新业态”。</w:t>
      </w:r>
      <w:r>
        <w:rPr>
          <w:rFonts w:hint="eastAsia" w:ascii="仿宋_GB2312" w:hAnsi="仿宋_GB2312" w:eastAsia="仿宋_GB2312" w:cs="仿宋_GB2312"/>
          <w:sz w:val="32"/>
          <w:szCs w:val="32"/>
        </w:rPr>
        <w:t>围绕西华机场、无人机产业园集中布局飞行员培训、农林植保与飞防、民兵航空应急救援、航空旅游和物流等九大业务板块，2020年首批已培训厦航、南航航空驾驶</w:t>
      </w:r>
      <w:r>
        <w:rPr>
          <w:rFonts w:ascii="Times New Roman" w:hAnsi="仿宋_GB2312" w:eastAsia="仿宋_GB2312"/>
          <w:sz w:val="32"/>
          <w:szCs w:val="32"/>
        </w:rPr>
        <w:t>员</w:t>
      </w:r>
      <w:r>
        <w:rPr>
          <w:rFonts w:ascii="Times New Roman" w:hAnsi="Times New Roman" w:eastAsia="仿宋_GB2312"/>
          <w:sz w:val="32"/>
          <w:szCs w:val="32"/>
        </w:rPr>
        <w:t>136</w:t>
      </w:r>
      <w:r>
        <w:rPr>
          <w:rFonts w:ascii="Times New Roman" w:hAnsi="仿宋_GB2312" w:eastAsia="仿宋_GB2312"/>
          <w:sz w:val="32"/>
          <w:szCs w:val="32"/>
        </w:rPr>
        <w:t>人，郑阜高铁</w:t>
      </w:r>
      <w:r>
        <w:rPr>
          <w:rFonts w:hint="eastAsia" w:ascii="仿宋_GB2312" w:hAnsi="仿宋_GB2312" w:eastAsia="仿宋_GB2312" w:cs="仿宋_GB2312"/>
          <w:sz w:val="32"/>
          <w:szCs w:val="32"/>
        </w:rPr>
        <w:t>西华站投用后，高铁新城区建设帷幕全面开启，奥特莱斯名品购物中心、望京府、天福西华城引进落地，高铁经济优势彰显。</w:t>
      </w:r>
      <w:r>
        <w:rPr>
          <w:rFonts w:hint="eastAsia" w:ascii="楷体_GB2312" w:hAnsi="仿宋_GB2312" w:eastAsia="楷体_GB2312" w:cs="仿宋_GB2312"/>
          <w:b/>
          <w:bCs/>
          <w:sz w:val="32"/>
          <w:szCs w:val="32"/>
        </w:rPr>
        <w:t>聚焦“新技术”。</w:t>
      </w:r>
      <w:r>
        <w:rPr>
          <w:rFonts w:hint="eastAsia" w:ascii="仿宋_GB2312" w:hAnsi="仿宋_GB2312" w:eastAsia="仿宋_GB2312" w:cs="仿宋_GB2312"/>
          <w:snapToGrid w:val="0"/>
          <w:sz w:val="32"/>
          <w:szCs w:val="32"/>
        </w:rPr>
        <w:t>强力推进工业企业“三大改造”，地丰得航空、坤清新能源</w:t>
      </w:r>
      <w:r>
        <w:rPr>
          <w:rFonts w:ascii="Times New Roman" w:hAnsi="仿宋_GB2312" w:eastAsia="仿宋_GB2312"/>
          <w:snapToGrid w:val="0"/>
          <w:sz w:val="32"/>
          <w:szCs w:val="32"/>
        </w:rPr>
        <w:t>等</w:t>
      </w:r>
      <w:r>
        <w:rPr>
          <w:rFonts w:ascii="Times New Roman" w:hAnsi="Times New Roman" w:eastAsia="仿宋_GB2312"/>
          <w:snapToGrid w:val="0"/>
          <w:sz w:val="32"/>
          <w:szCs w:val="32"/>
        </w:rPr>
        <w:t>5</w:t>
      </w:r>
      <w:r>
        <w:rPr>
          <w:rFonts w:ascii="Times New Roman" w:hAnsi="仿宋_GB2312" w:eastAsia="仿宋_GB2312"/>
          <w:snapToGrid w:val="0"/>
          <w:sz w:val="32"/>
          <w:szCs w:val="32"/>
        </w:rPr>
        <w:t>家企</w:t>
      </w:r>
      <w:r>
        <w:rPr>
          <w:rFonts w:hint="eastAsia" w:ascii="仿宋_GB2312" w:hAnsi="仿宋_GB2312" w:eastAsia="仿宋_GB2312" w:cs="仿宋_GB2312"/>
          <w:snapToGrid w:val="0"/>
          <w:sz w:val="32"/>
          <w:szCs w:val="32"/>
        </w:rPr>
        <w:t>业被认定为河南省高新技术企业；厚德电力、远大锅炉被认定为河南省工程技术研究中心；无人机产业园被认定为河南省科普教育基地、国家级“星创天地”；</w:t>
      </w:r>
      <w:r>
        <w:rPr>
          <w:rFonts w:hint="eastAsia" w:ascii="仿宋_GB2312" w:hAnsi="仿宋_GB2312" w:eastAsia="仿宋_GB2312" w:cs="仿宋_GB2312"/>
          <w:sz w:val="32"/>
          <w:szCs w:val="32"/>
        </w:rPr>
        <w:t>中电建综合管线项目、光热发电跟踪支撑系统，获评全省首批机器人示范应用工程；耕德机器人生产、镭雕科技、镜片核心技术应用展现工业</w:t>
      </w:r>
      <w:r>
        <w:rPr>
          <w:rFonts w:ascii="Times New Roman" w:hAnsi="仿宋_GB2312" w:eastAsia="仿宋_GB2312"/>
          <w:snapToGrid w:val="0"/>
          <w:sz w:val="32"/>
          <w:szCs w:val="32"/>
        </w:rPr>
        <w:t>4.0</w:t>
      </w:r>
      <w:r>
        <w:rPr>
          <w:rFonts w:hint="eastAsia" w:ascii="Times New Roman" w:hAnsi="仿宋_GB2312" w:eastAsia="仿宋_GB2312"/>
          <w:snapToGrid w:val="0"/>
          <w:sz w:val="32"/>
          <w:szCs w:val="32"/>
        </w:rPr>
        <w:t>魅力，土壤污染防治技术研发、重金属污染防治技术等获多项国</w:t>
      </w:r>
      <w:r>
        <w:rPr>
          <w:rFonts w:hint="eastAsia" w:ascii="仿宋_GB2312" w:hAnsi="仿宋_GB2312" w:eastAsia="仿宋_GB2312" w:cs="仿宋_GB2312"/>
          <w:sz w:val="32"/>
          <w:szCs w:val="32"/>
        </w:rPr>
        <w:t>际国内专利。</w:t>
      </w:r>
      <w:r>
        <w:rPr>
          <w:rFonts w:hint="eastAsia" w:ascii="楷体_GB2312" w:hAnsi="仿宋_GB2312" w:eastAsia="楷体_GB2312" w:cs="仿宋_GB2312"/>
          <w:b/>
          <w:bCs/>
          <w:sz w:val="32"/>
          <w:szCs w:val="32"/>
        </w:rPr>
        <w:t>聚焦“新能源”。</w:t>
      </w:r>
      <w:r>
        <w:rPr>
          <w:rFonts w:hint="eastAsia" w:ascii="仿宋_GB2312" w:hAnsi="仿宋_GB2312" w:eastAsia="仿宋_GB2312" w:cs="仿宋_GB2312"/>
          <w:sz w:val="32"/>
          <w:szCs w:val="32"/>
        </w:rPr>
        <w:t>投资</w:t>
      </w:r>
      <w:r>
        <w:rPr>
          <w:rFonts w:ascii="Times New Roman" w:hAnsi="仿宋_GB2312" w:eastAsia="仿宋_GB2312"/>
          <w:snapToGrid w:val="0"/>
          <w:sz w:val="32"/>
          <w:szCs w:val="32"/>
        </w:rPr>
        <w:t>14</w:t>
      </w:r>
      <w:r>
        <w:rPr>
          <w:rFonts w:hint="eastAsia" w:ascii="Times New Roman" w:hAnsi="仿宋_GB2312" w:eastAsia="仿宋_GB2312"/>
          <w:snapToGrid w:val="0"/>
          <w:sz w:val="32"/>
          <w:szCs w:val="32"/>
        </w:rPr>
        <w:t>亿元，建设</w:t>
      </w:r>
      <w:r>
        <w:rPr>
          <w:rFonts w:ascii="Times New Roman" w:hAnsi="仿宋_GB2312" w:eastAsia="仿宋_GB2312"/>
          <w:snapToGrid w:val="0"/>
          <w:sz w:val="32"/>
          <w:szCs w:val="32"/>
        </w:rPr>
        <w:t>160</w:t>
      </w:r>
      <w:r>
        <w:rPr>
          <w:rFonts w:hint="eastAsia" w:ascii="Times New Roman" w:hAnsi="仿宋_GB2312" w:eastAsia="仿宋_GB2312"/>
          <w:snapToGrid w:val="0"/>
          <w:sz w:val="32"/>
          <w:szCs w:val="32"/>
        </w:rPr>
        <w:t>兆瓦风电</w:t>
      </w:r>
      <w:r>
        <w:rPr>
          <w:rFonts w:hint="eastAsia" w:ascii="仿宋_GB2312" w:hAnsi="仿宋_GB2312" w:eastAsia="仿宋_GB2312" w:cs="仿宋_GB2312"/>
          <w:sz w:val="32"/>
          <w:szCs w:val="32"/>
        </w:rPr>
        <w:t>项目一期顺利并网，首创集团生活垃圾焚烧项目并网发电。</w:t>
      </w:r>
      <w:r>
        <w:rPr>
          <w:rFonts w:hint="eastAsia" w:ascii="楷体_GB2312" w:hAnsi="仿宋_GB2312" w:eastAsia="楷体_GB2312" w:cs="仿宋_GB2312"/>
          <w:b/>
          <w:bCs/>
          <w:sz w:val="32"/>
          <w:szCs w:val="32"/>
        </w:rPr>
        <w:t>聚焦“新材料”。</w:t>
      </w:r>
      <w:r>
        <w:rPr>
          <w:rFonts w:hint="eastAsia" w:ascii="仿宋_GB2312" w:hAnsi="仿宋_GB2312" w:eastAsia="仿宋_GB2312" w:cs="仿宋_GB2312"/>
          <w:sz w:val="32"/>
          <w:szCs w:val="32"/>
        </w:rPr>
        <w:t>河南墨特石墨烯产品、宇通新型车材项目技术全国领先，</w:t>
      </w:r>
      <w:r>
        <w:rPr>
          <w:rFonts w:hint="eastAsia" w:ascii="仿宋_GB2312" w:hAnsi="仿宋_GB2312" w:eastAsia="仿宋_GB2312" w:cs="仿宋_GB2312"/>
          <w:kern w:val="0"/>
          <w:sz w:val="32"/>
          <w:szCs w:val="32"/>
          <w:shd w:val="clear" w:color="090000" w:fill="FFFFFF"/>
        </w:rPr>
        <w:t>已相继入驻双创孵化园。</w:t>
      </w:r>
      <w:r>
        <w:rPr>
          <w:rFonts w:hint="eastAsia" w:ascii="楷体_GB2312" w:hAnsi="仿宋_GB2312" w:eastAsia="楷体_GB2312" w:cs="仿宋_GB2312"/>
          <w:b/>
          <w:bCs/>
          <w:sz w:val="32"/>
          <w:szCs w:val="32"/>
        </w:rPr>
        <w:t>聚焦“新商业模式”。</w:t>
      </w:r>
      <w:r>
        <w:rPr>
          <w:rFonts w:hint="eastAsia" w:ascii="仿宋_GB2312" w:hAnsi="仿宋_GB2312" w:eastAsia="仿宋_GB2312" w:cs="仿宋_GB2312"/>
          <w:sz w:val="32"/>
          <w:szCs w:val="32"/>
        </w:rPr>
        <w:t>电商产业园和电商服务站覆盖城乡，“网红带货”成为新常态。中通快递物流豫南分拨中心，用工</w:t>
      </w:r>
      <w:r>
        <w:rPr>
          <w:rFonts w:ascii="Times New Roman" w:hAnsi="仿宋_GB2312" w:eastAsia="仿宋_GB2312"/>
          <w:snapToGrid w:val="0"/>
          <w:sz w:val="32"/>
          <w:szCs w:val="32"/>
        </w:rPr>
        <w:t>1300</w:t>
      </w:r>
      <w:r>
        <w:rPr>
          <w:rFonts w:hint="eastAsia" w:ascii="Times New Roman" w:hAnsi="仿宋_GB2312" w:eastAsia="仿宋_GB2312"/>
          <w:snapToGrid w:val="0"/>
          <w:sz w:val="32"/>
          <w:szCs w:val="32"/>
        </w:rPr>
        <w:t>多人，日均业务</w:t>
      </w:r>
      <w:r>
        <w:rPr>
          <w:rFonts w:ascii="Times New Roman" w:hAnsi="仿宋_GB2312" w:eastAsia="仿宋_GB2312"/>
          <w:snapToGrid w:val="0"/>
          <w:sz w:val="32"/>
          <w:szCs w:val="32"/>
        </w:rPr>
        <w:t>180</w:t>
      </w:r>
      <w:r>
        <w:rPr>
          <w:rFonts w:hint="eastAsia" w:ascii="Times New Roman" w:hAnsi="仿宋_GB2312" w:eastAsia="仿宋_GB2312"/>
          <w:snapToGrid w:val="0"/>
          <w:sz w:val="32"/>
          <w:szCs w:val="32"/>
        </w:rPr>
        <w:t>万单，业务覆盖周边</w:t>
      </w:r>
      <w:r>
        <w:rPr>
          <w:rFonts w:ascii="Times New Roman" w:hAnsi="仿宋_GB2312" w:eastAsia="仿宋_GB2312"/>
          <w:snapToGrid w:val="0"/>
          <w:sz w:val="32"/>
          <w:szCs w:val="32"/>
        </w:rPr>
        <w:t>5</w:t>
      </w:r>
      <w:r>
        <w:rPr>
          <w:rFonts w:hint="eastAsia" w:ascii="Times New Roman" w:hAnsi="仿宋_GB2312" w:eastAsia="仿宋_GB2312"/>
          <w:snapToGrid w:val="0"/>
          <w:sz w:val="32"/>
          <w:szCs w:val="32"/>
        </w:rPr>
        <w:t>地市，规</w:t>
      </w:r>
      <w:r>
        <w:rPr>
          <w:rFonts w:hint="eastAsia" w:ascii="仿宋_GB2312" w:hAnsi="仿宋_GB2312" w:eastAsia="仿宋_GB2312" w:cs="仿宋_GB2312"/>
          <w:sz w:val="32"/>
          <w:szCs w:val="32"/>
        </w:rPr>
        <w:t>模仅次于郑州中通快递物流分拨中心。太平洋五星级酒店、红星美凯龙第八代商城等进展迅速，全新现代的商业模式提升了西华的美誉度和开放度。</w:t>
      </w:r>
    </w:p>
    <w:p>
      <w:pPr>
        <w:spacing w:line="600" w:lineRule="exact"/>
        <w:ind w:firstLine="643" w:firstLineChars="200"/>
        <w:rPr>
          <w:rFonts w:ascii="Times New Roman" w:hAnsi="仿宋_GB2312" w:eastAsia="仿宋_GB2312"/>
          <w:snapToGrid w:val="0"/>
          <w:sz w:val="32"/>
          <w:szCs w:val="32"/>
        </w:rPr>
      </w:pPr>
      <w:r>
        <w:rPr>
          <w:rFonts w:hint="eastAsia" w:ascii="仿宋_GB2312" w:hAnsi="仿宋_GB2312" w:eastAsia="仿宋_GB2312" w:cs="仿宋_GB2312"/>
          <w:b/>
          <w:bCs/>
          <w:sz w:val="32"/>
          <w:szCs w:val="32"/>
        </w:rPr>
        <w:t>人民幸福大提高。</w:t>
      </w:r>
      <w:r>
        <w:rPr>
          <w:rFonts w:hint="eastAsia" w:ascii="仿宋_GB2312" w:hAnsi="仿宋_GB2312" w:eastAsia="仿宋_GB2312" w:cs="仿宋_GB2312"/>
          <w:sz w:val="32"/>
          <w:szCs w:val="32"/>
        </w:rPr>
        <w:t>“十三五”末，</w:t>
      </w:r>
      <w:r>
        <w:rPr>
          <w:rFonts w:hint="eastAsia" w:ascii="仿宋_GB2312" w:hAnsi="仿宋_GB2312" w:eastAsia="仿宋_GB2312" w:cs="仿宋_GB2312"/>
          <w:snapToGrid w:val="0"/>
          <w:sz w:val="32"/>
          <w:szCs w:val="32"/>
        </w:rPr>
        <w:t>用于改善民生的财政支出达</w:t>
      </w:r>
      <w:r>
        <w:rPr>
          <w:rFonts w:hint="eastAsia" w:ascii="Times New Roman" w:hAnsi="仿宋_GB2312" w:eastAsia="仿宋_GB2312"/>
          <w:snapToGrid w:val="0"/>
          <w:sz w:val="32"/>
          <w:szCs w:val="32"/>
        </w:rPr>
        <w:t>到</w:t>
      </w:r>
      <w:r>
        <w:rPr>
          <w:rFonts w:ascii="Times New Roman" w:hAnsi="仿宋_GB2312" w:eastAsia="仿宋_GB2312"/>
          <w:snapToGrid w:val="0"/>
          <w:sz w:val="32"/>
          <w:szCs w:val="32"/>
        </w:rPr>
        <w:t>35.1</w:t>
      </w:r>
      <w:r>
        <w:rPr>
          <w:rFonts w:hint="eastAsia" w:ascii="Times New Roman" w:hAnsi="仿宋_GB2312" w:eastAsia="仿宋_GB2312"/>
          <w:snapToGrid w:val="0"/>
          <w:sz w:val="32"/>
          <w:szCs w:val="32"/>
        </w:rPr>
        <w:t>亿元，占一般公共预算支出的</w:t>
      </w:r>
      <w:r>
        <w:rPr>
          <w:rFonts w:ascii="Times New Roman" w:hAnsi="仿宋_GB2312" w:eastAsia="仿宋_GB2312"/>
          <w:snapToGrid w:val="0"/>
          <w:sz w:val="32"/>
          <w:szCs w:val="32"/>
        </w:rPr>
        <w:t>78%</w:t>
      </w:r>
      <w:r>
        <w:rPr>
          <w:rFonts w:hint="eastAsia" w:ascii="Times New Roman" w:hAnsi="仿宋_GB2312" w:eastAsia="仿宋_GB2312"/>
          <w:snapToGrid w:val="0"/>
          <w:sz w:val="32"/>
          <w:szCs w:val="32"/>
        </w:rPr>
        <w:t>。</w:t>
      </w:r>
      <w:r>
        <w:rPr>
          <w:rFonts w:ascii="Times New Roman" w:hAnsi="仿宋_GB2312" w:eastAsia="仿宋_GB2312"/>
          <w:snapToGrid w:val="0"/>
          <w:sz w:val="32"/>
          <w:szCs w:val="32"/>
        </w:rPr>
        <w:t>11</w:t>
      </w:r>
      <w:r>
        <w:rPr>
          <w:rFonts w:hint="eastAsia" w:ascii="Times New Roman" w:hAnsi="仿宋_GB2312" w:eastAsia="仿宋_GB2312"/>
          <w:snapToGrid w:val="0"/>
          <w:sz w:val="32"/>
          <w:szCs w:val="32"/>
        </w:rPr>
        <w:t>项重点民生实事顺利完成；全县新增城镇就业人员</w:t>
      </w:r>
      <w:r>
        <w:rPr>
          <w:rFonts w:ascii="Times New Roman" w:hAnsi="仿宋_GB2312" w:eastAsia="仿宋_GB2312"/>
          <w:snapToGrid w:val="0"/>
          <w:sz w:val="32"/>
          <w:szCs w:val="32"/>
        </w:rPr>
        <w:t>10533</w:t>
      </w:r>
      <w:r>
        <w:rPr>
          <w:rFonts w:hint="eastAsia" w:ascii="Times New Roman" w:hAnsi="仿宋_GB2312" w:eastAsia="仿宋_GB2312"/>
          <w:snapToGrid w:val="0"/>
          <w:sz w:val="32"/>
          <w:szCs w:val="32"/>
        </w:rPr>
        <w:t>人，失业人员再就业</w:t>
      </w:r>
      <w:r>
        <w:rPr>
          <w:rFonts w:ascii="Times New Roman" w:hAnsi="仿宋_GB2312" w:eastAsia="仿宋_GB2312"/>
          <w:snapToGrid w:val="0"/>
          <w:sz w:val="32"/>
          <w:szCs w:val="32"/>
        </w:rPr>
        <w:t>2548</w:t>
      </w:r>
      <w:r>
        <w:rPr>
          <w:rFonts w:hint="eastAsia" w:ascii="Times New Roman" w:hAnsi="仿宋_GB2312" w:eastAsia="仿宋_GB2312"/>
          <w:snapToGrid w:val="0"/>
          <w:sz w:val="32"/>
          <w:szCs w:val="32"/>
        </w:rPr>
        <w:t>人，城镇登记失业率控制在</w:t>
      </w:r>
      <w:r>
        <w:rPr>
          <w:rFonts w:ascii="Times New Roman" w:hAnsi="仿宋_GB2312" w:eastAsia="仿宋_GB2312"/>
          <w:snapToGrid w:val="0"/>
          <w:sz w:val="32"/>
          <w:szCs w:val="32"/>
        </w:rPr>
        <w:t>3.9%</w:t>
      </w:r>
      <w:r>
        <w:rPr>
          <w:rFonts w:hint="eastAsia" w:ascii="Times New Roman" w:hAnsi="仿宋_GB2312" w:eastAsia="仿宋_GB2312"/>
          <w:snapToGrid w:val="0"/>
          <w:sz w:val="32"/>
          <w:szCs w:val="32"/>
        </w:rPr>
        <w:t>以内；县域医共体建设稳步实施，基本医疗保险覆盖</w:t>
      </w:r>
      <w:r>
        <w:rPr>
          <w:rFonts w:ascii="Times New Roman" w:hAnsi="仿宋_GB2312" w:eastAsia="仿宋_GB2312"/>
          <w:snapToGrid w:val="0"/>
          <w:sz w:val="32"/>
          <w:szCs w:val="32"/>
        </w:rPr>
        <w:t>44</w:t>
      </w:r>
      <w:r>
        <w:rPr>
          <w:rFonts w:hint="eastAsia" w:ascii="Times New Roman" w:hAnsi="仿宋_GB2312" w:eastAsia="仿宋_GB2312"/>
          <w:snapToGrid w:val="0"/>
          <w:sz w:val="32"/>
          <w:szCs w:val="32"/>
        </w:rPr>
        <w:t>万人，家庭医生签约</w:t>
      </w:r>
      <w:r>
        <w:rPr>
          <w:rFonts w:ascii="Times New Roman" w:hAnsi="仿宋_GB2312" w:eastAsia="仿宋_GB2312"/>
          <w:snapToGrid w:val="0"/>
          <w:sz w:val="32"/>
          <w:szCs w:val="32"/>
        </w:rPr>
        <w:t>23</w:t>
      </w:r>
      <w:r>
        <w:rPr>
          <w:rFonts w:hint="eastAsia" w:ascii="Times New Roman" w:hAnsi="仿宋_GB2312" w:eastAsia="仿宋_GB2312"/>
          <w:snapToGrid w:val="0"/>
          <w:sz w:val="32"/>
          <w:szCs w:val="32"/>
        </w:rPr>
        <w:t>万户</w:t>
      </w:r>
      <w:r>
        <w:rPr>
          <w:rFonts w:ascii="Times New Roman" w:hAnsi="仿宋_GB2312" w:eastAsia="仿宋_GB2312"/>
          <w:snapToGrid w:val="0"/>
          <w:sz w:val="32"/>
          <w:szCs w:val="32"/>
        </w:rPr>
        <w:t>87</w:t>
      </w:r>
      <w:r>
        <w:rPr>
          <w:rFonts w:hint="eastAsia" w:ascii="Times New Roman" w:hAnsi="仿宋_GB2312" w:eastAsia="仿宋_GB2312"/>
          <w:snapToGrid w:val="0"/>
          <w:sz w:val="32"/>
          <w:szCs w:val="32"/>
        </w:rPr>
        <w:t>万人，完成“两癌”“两筛”</w:t>
      </w:r>
      <w:r>
        <w:rPr>
          <w:rFonts w:ascii="Times New Roman" w:hAnsi="仿宋_GB2312" w:eastAsia="仿宋_GB2312"/>
          <w:snapToGrid w:val="0"/>
          <w:sz w:val="32"/>
          <w:szCs w:val="32"/>
        </w:rPr>
        <w:t>4.2</w:t>
      </w:r>
      <w:r>
        <w:rPr>
          <w:rFonts w:hint="eastAsia" w:ascii="Times New Roman" w:hAnsi="仿宋_GB2312" w:eastAsia="仿宋_GB2312"/>
          <w:snapToGrid w:val="0"/>
          <w:sz w:val="32"/>
          <w:szCs w:val="32"/>
        </w:rPr>
        <w:t>万例，国家基层中</w:t>
      </w:r>
      <w:r>
        <w:rPr>
          <w:rFonts w:hint="eastAsia" w:ascii="仿宋_GB2312" w:hAnsi="仿宋_GB2312" w:eastAsia="仿宋_GB2312" w:cs="仿宋_GB2312"/>
          <w:snapToGrid w:val="0"/>
          <w:sz w:val="32"/>
          <w:szCs w:val="32"/>
        </w:rPr>
        <w:t>医药工作先进县成功创建</w:t>
      </w:r>
      <w:r>
        <w:rPr>
          <w:rFonts w:hint="eastAsia" w:ascii="仿宋_GB2312" w:hAnsi="仿宋_GB2312" w:eastAsia="仿宋_GB2312" w:cs="仿宋_GB2312"/>
          <w:sz w:val="32"/>
          <w:szCs w:val="32"/>
        </w:rPr>
        <w:t>；</w:t>
      </w:r>
      <w:r>
        <w:rPr>
          <w:rFonts w:hint="eastAsia" w:ascii="仿宋_GB2312" w:hAnsi="仿宋_GB2312" w:eastAsia="仿宋_GB2312" w:cs="仿宋_GB2312"/>
          <w:snapToGrid w:val="0"/>
          <w:sz w:val="32"/>
          <w:szCs w:val="32"/>
        </w:rPr>
        <w:t>强力推进国家义务教育发展基本均衡县创建，义务教育学校办学基本条件</w:t>
      </w:r>
      <w:r>
        <w:rPr>
          <w:rFonts w:hint="eastAsia" w:ascii="Times New Roman" w:hAnsi="仿宋_GB2312" w:eastAsia="仿宋_GB2312"/>
          <w:snapToGrid w:val="0"/>
          <w:sz w:val="32"/>
          <w:szCs w:val="32"/>
        </w:rPr>
        <w:t>达标率</w:t>
      </w:r>
      <w:r>
        <w:rPr>
          <w:rFonts w:ascii="Times New Roman" w:hAnsi="仿宋_GB2312" w:eastAsia="仿宋_GB2312"/>
          <w:snapToGrid w:val="0"/>
          <w:sz w:val="32"/>
          <w:szCs w:val="32"/>
        </w:rPr>
        <w:t>100%</w:t>
      </w:r>
      <w:r>
        <w:rPr>
          <w:rFonts w:hint="eastAsia" w:ascii="Times New Roman" w:hAnsi="仿宋_GB2312" w:eastAsia="仿宋_GB2312"/>
          <w:snapToGrid w:val="0"/>
          <w:sz w:val="32"/>
          <w:szCs w:val="32"/>
        </w:rPr>
        <w:t>，各项考核指标全部达到国家认定标准，教育教学质量稳步提升，中心城区</w:t>
      </w:r>
      <w:r>
        <w:rPr>
          <w:rFonts w:ascii="Times New Roman" w:hAnsi="仿宋_GB2312" w:eastAsia="仿宋_GB2312"/>
          <w:snapToGrid w:val="0"/>
          <w:sz w:val="32"/>
          <w:szCs w:val="32"/>
        </w:rPr>
        <w:t>12</w:t>
      </w:r>
      <w:r>
        <w:rPr>
          <w:rFonts w:hint="eastAsia" w:ascii="Times New Roman" w:hAnsi="仿宋_GB2312" w:eastAsia="仿宋_GB2312"/>
          <w:snapToGrid w:val="0"/>
          <w:sz w:val="32"/>
          <w:szCs w:val="32"/>
        </w:rPr>
        <w:t>所学校和农村</w:t>
      </w:r>
      <w:r>
        <w:rPr>
          <w:rFonts w:ascii="Times New Roman" w:hAnsi="仿宋_GB2312" w:eastAsia="仿宋_GB2312"/>
          <w:snapToGrid w:val="0"/>
          <w:sz w:val="32"/>
          <w:szCs w:val="32"/>
        </w:rPr>
        <w:t>46</w:t>
      </w:r>
      <w:r>
        <w:rPr>
          <w:rFonts w:hint="eastAsia" w:ascii="Times New Roman" w:hAnsi="仿宋_GB2312" w:eastAsia="仿宋_GB2312"/>
          <w:snapToGrid w:val="0"/>
          <w:sz w:val="32"/>
          <w:szCs w:val="32"/>
        </w:rPr>
        <w:t>所寄宿制学校建设扎实推进，新招聘教师</w:t>
      </w:r>
      <w:r>
        <w:rPr>
          <w:rFonts w:ascii="Times New Roman" w:hAnsi="仿宋_GB2312" w:eastAsia="仿宋_GB2312"/>
          <w:snapToGrid w:val="0"/>
          <w:sz w:val="32"/>
          <w:szCs w:val="32"/>
        </w:rPr>
        <w:t>446</w:t>
      </w:r>
      <w:r>
        <w:rPr>
          <w:rFonts w:hint="eastAsia" w:ascii="Times New Roman" w:hAnsi="仿宋_GB2312" w:eastAsia="仿宋_GB2312"/>
          <w:snapToGrid w:val="0"/>
          <w:sz w:val="32"/>
          <w:szCs w:val="32"/>
        </w:rPr>
        <w:t>名，新建城区公办幼儿园</w:t>
      </w:r>
      <w:r>
        <w:rPr>
          <w:rFonts w:ascii="Times New Roman" w:hAnsi="仿宋_GB2312" w:eastAsia="仿宋_GB2312"/>
          <w:snapToGrid w:val="0"/>
          <w:sz w:val="32"/>
          <w:szCs w:val="32"/>
        </w:rPr>
        <w:t>6</w:t>
      </w:r>
      <w:r>
        <w:rPr>
          <w:rFonts w:hint="eastAsia" w:ascii="Times New Roman" w:hAnsi="仿宋_GB2312" w:eastAsia="仿宋_GB2312"/>
          <w:snapToGrid w:val="0"/>
          <w:sz w:val="32"/>
          <w:szCs w:val="32"/>
        </w:rPr>
        <w:t>所、农村教师周转房</w:t>
      </w:r>
      <w:r>
        <w:rPr>
          <w:rFonts w:ascii="Times New Roman" w:hAnsi="仿宋_GB2312" w:eastAsia="仿宋_GB2312"/>
          <w:snapToGrid w:val="0"/>
          <w:sz w:val="32"/>
          <w:szCs w:val="32"/>
        </w:rPr>
        <w:t>320</w:t>
      </w:r>
      <w:r>
        <w:rPr>
          <w:rFonts w:hint="eastAsia" w:ascii="Times New Roman" w:hAnsi="仿宋_GB2312" w:eastAsia="仿宋_GB2312"/>
          <w:snapToGrid w:val="0"/>
          <w:sz w:val="32"/>
          <w:szCs w:val="32"/>
        </w:rPr>
        <w:t>套；文化事业和文化产业繁荣发展，美术、小说、杂技</w:t>
      </w:r>
      <w:r>
        <w:rPr>
          <w:rFonts w:ascii="Times New Roman" w:hAnsi="仿宋_GB2312" w:eastAsia="仿宋_GB2312"/>
          <w:snapToGrid w:val="0"/>
          <w:sz w:val="32"/>
          <w:szCs w:val="32"/>
        </w:rPr>
        <w:t>3</w:t>
      </w:r>
      <w:r>
        <w:rPr>
          <w:rFonts w:hint="eastAsia" w:ascii="Times New Roman" w:hAnsi="仿宋_GB2312" w:eastAsia="仿宋_GB2312"/>
          <w:snapToGrid w:val="0"/>
          <w:sz w:val="32"/>
          <w:szCs w:val="32"/>
        </w:rPr>
        <w:t>个节目获周口市第六届文学艺术成果奖，公共文化服务体系逐步健全，文化服务数字化工程在全市率先实施，文化馆、图书馆实现县域全覆盖；</w:t>
      </w:r>
      <w:r>
        <w:rPr>
          <w:rFonts w:hint="eastAsia" w:ascii="仿宋_GB2312" w:hAnsi="仿宋_GB2312" w:eastAsia="仿宋_GB2312" w:cs="仿宋_GB2312"/>
          <w:sz w:val="32"/>
          <w:szCs w:val="32"/>
        </w:rPr>
        <w:t>完成舞台艺术送</w:t>
      </w:r>
      <w:r>
        <w:rPr>
          <w:rFonts w:hint="eastAsia" w:ascii="Times New Roman" w:hAnsi="仿宋_GB2312" w:eastAsia="仿宋_GB2312"/>
          <w:snapToGrid w:val="0"/>
          <w:sz w:val="32"/>
          <w:szCs w:val="32"/>
        </w:rPr>
        <w:t>农民</w:t>
      </w:r>
      <w:r>
        <w:rPr>
          <w:rFonts w:ascii="Times New Roman" w:hAnsi="仿宋_GB2312" w:eastAsia="仿宋_GB2312"/>
          <w:snapToGrid w:val="0"/>
          <w:sz w:val="32"/>
          <w:szCs w:val="32"/>
        </w:rPr>
        <w:t>218</w:t>
      </w:r>
      <w:r>
        <w:rPr>
          <w:rFonts w:hint="eastAsia" w:ascii="Times New Roman" w:hAnsi="仿宋_GB2312" w:eastAsia="仿宋_GB2312"/>
          <w:snapToGrid w:val="0"/>
          <w:sz w:val="32"/>
          <w:szCs w:val="32"/>
        </w:rPr>
        <w:t>场，快乐星期天演出</w:t>
      </w:r>
      <w:r>
        <w:rPr>
          <w:rFonts w:ascii="Times New Roman" w:hAnsi="仿宋_GB2312" w:eastAsia="仿宋_GB2312"/>
          <w:snapToGrid w:val="0"/>
          <w:sz w:val="32"/>
          <w:szCs w:val="32"/>
        </w:rPr>
        <w:t>106</w:t>
      </w:r>
      <w:r>
        <w:rPr>
          <w:rFonts w:hint="eastAsia" w:ascii="Times New Roman" w:hAnsi="仿宋_GB2312" w:eastAsia="仿宋_GB2312"/>
          <w:snapToGrid w:val="0"/>
          <w:sz w:val="32"/>
          <w:szCs w:val="32"/>
        </w:rPr>
        <w:t>场，优秀戏曲进校园</w:t>
      </w:r>
      <w:r>
        <w:rPr>
          <w:rFonts w:ascii="Times New Roman" w:hAnsi="仿宋_GB2312" w:eastAsia="仿宋_GB2312"/>
          <w:snapToGrid w:val="0"/>
          <w:sz w:val="32"/>
          <w:szCs w:val="32"/>
        </w:rPr>
        <w:t>200</w:t>
      </w:r>
      <w:r>
        <w:rPr>
          <w:rFonts w:hint="eastAsia" w:ascii="Times New Roman" w:hAnsi="仿宋_GB2312" w:eastAsia="仿宋_GB2312"/>
          <w:snapToGrid w:val="0"/>
          <w:sz w:val="32"/>
          <w:szCs w:val="32"/>
        </w:rPr>
        <w:t>场，文化服务数字化迈入全省智慧文化服务第一方阵，胡辣汤制作技艺被认定为国家级非物质文化遗产；民主法治建设扎实推进，扫黑除恶专项斗争深入开展，社会治理效能不断提高，社会大局和谐稳定。群众对执法机关的满意度达到</w:t>
      </w:r>
      <w:r>
        <w:rPr>
          <w:rFonts w:ascii="Times New Roman" w:hAnsi="仿宋_GB2312" w:eastAsia="仿宋_GB2312"/>
          <w:snapToGrid w:val="0"/>
          <w:sz w:val="32"/>
          <w:szCs w:val="32"/>
        </w:rPr>
        <w:t>99%</w:t>
      </w:r>
      <w:r>
        <w:rPr>
          <w:rFonts w:hint="eastAsia" w:ascii="Times New Roman" w:hAnsi="仿宋_GB2312" w:eastAsia="仿宋_GB2312"/>
          <w:snapToGrid w:val="0"/>
          <w:sz w:val="32"/>
          <w:szCs w:val="32"/>
        </w:rPr>
        <w:t>以上，全县“平安村”创建率达</w:t>
      </w:r>
      <w:r>
        <w:rPr>
          <w:rFonts w:ascii="Times New Roman" w:hAnsi="仿宋_GB2312" w:eastAsia="仿宋_GB2312"/>
          <w:snapToGrid w:val="0"/>
          <w:sz w:val="32"/>
          <w:szCs w:val="32"/>
        </w:rPr>
        <w:t>95%</w:t>
      </w:r>
      <w:r>
        <w:rPr>
          <w:rFonts w:hint="eastAsia" w:ascii="Times New Roman" w:hAnsi="仿宋_GB2312" w:eastAsia="仿宋_GB2312"/>
          <w:snapToGrid w:val="0"/>
          <w:sz w:val="32"/>
          <w:szCs w:val="32"/>
        </w:rPr>
        <w:t>以上。</w:t>
      </w:r>
    </w:p>
    <w:p>
      <w:pPr>
        <w:spacing w:line="600" w:lineRule="exact"/>
        <w:ind w:firstLine="643" w:firstLineChars="200"/>
        <w:rPr>
          <w:rFonts w:ascii="Times New Roman" w:hAnsi="Times New Roman" w:eastAsia="仿宋_GB2312"/>
          <w:sz w:val="32"/>
          <w:szCs w:val="32"/>
          <w:shd w:val="clear" w:color="auto" w:fill="FFFFFF"/>
        </w:rPr>
      </w:pPr>
      <w:r>
        <w:rPr>
          <w:rFonts w:hint="eastAsia" w:ascii="仿宋_GB2312" w:hAnsi="仿宋_GB2312" w:eastAsia="仿宋_GB2312" w:cs="仿宋_GB2312"/>
          <w:b/>
          <w:sz w:val="32"/>
          <w:szCs w:val="32"/>
        </w:rPr>
        <w:t>社会正气大弘扬。</w:t>
      </w:r>
      <w:r>
        <w:rPr>
          <w:rFonts w:hint="eastAsia" w:ascii="仿宋_GB2312" w:hAnsi="仿宋_GB2312" w:eastAsia="仿宋_GB2312" w:cs="仿宋_GB2312"/>
          <w:sz w:val="32"/>
          <w:szCs w:val="32"/>
        </w:rPr>
        <w:t>以新时代文明实践中心（站、所）为实践基地，培育和践行社会主义核心价值观，切实把宣传贯彻习近平新时代中国特色社会主义思想深入到基层和群众中去。持续开展“三好两户”“最美西华人”评选表彰工作，扎实推进移风易俗，倡树文明新风。在第十二届全国“五好家庭”暨家庭工作先进集体、先进个人表彰电视电话会上，我县黄凤芝家庭获全国“最美家庭”荣誉称号。助人为乐、爱岗敬业、孝老敬亲、见义勇为、诚实守信等各类“好人”的正能量已成为西华文明新风尚，西华故事、西华声音精彩传讲，西华的美誉度大幅增强，干群的精气神大幅提振，全县上下形成奋勇争先、出彩添彩的浓厚氛围。</w:t>
      </w:r>
    </w:p>
    <w:p>
      <w:pPr>
        <w:spacing w:line="600" w:lineRule="exact"/>
        <w:ind w:firstLine="643" w:firstLineChars="200"/>
        <w:rPr>
          <w:rFonts w:ascii="仿宋_GB2312" w:hAnsi="仿宋_GB2312" w:eastAsia="仿宋_GB2312" w:cs="仿宋_GB2312"/>
          <w:sz w:val="32"/>
          <w:szCs w:val="32"/>
        </w:rPr>
      </w:pPr>
      <w:r>
        <w:rPr>
          <w:rFonts w:hint="eastAsia" w:ascii="仿宋_GB2312" w:hAnsi="仿宋_GB2312" w:eastAsia="仿宋_GB2312" w:cs="仿宋_GB2312"/>
          <w:b/>
          <w:bCs/>
          <w:sz w:val="32"/>
          <w:szCs w:val="32"/>
        </w:rPr>
        <w:t>党的建设大加强。</w:t>
      </w:r>
      <w:r>
        <w:rPr>
          <w:rFonts w:hint="eastAsia" w:ascii="仿宋_GB2312" w:hAnsi="仿宋_GB2312" w:eastAsia="仿宋_GB2312" w:cs="仿宋_GB2312"/>
          <w:sz w:val="32"/>
          <w:szCs w:val="32"/>
        </w:rPr>
        <w:t>在县委坚强领导下，坚持把思想建党、理论强党摆在突出位置，把学习贯彻习近平新时代中国特色社会主义思想作为首要政治任务，“十三五”期间，先后投资</w:t>
      </w:r>
      <w:r>
        <w:rPr>
          <w:rFonts w:ascii="Times New Roman" w:hAnsi="Times New Roman" w:eastAsia="仿宋_GB2312"/>
          <w:sz w:val="32"/>
          <w:szCs w:val="32"/>
        </w:rPr>
        <w:t>4000</w:t>
      </w:r>
      <w:r>
        <w:rPr>
          <w:rFonts w:ascii="Times New Roman" w:hAnsi="仿宋_GB2312" w:eastAsia="仿宋_GB2312"/>
          <w:sz w:val="32"/>
          <w:szCs w:val="32"/>
        </w:rPr>
        <w:t>余万元，建设</w:t>
      </w:r>
      <w:r>
        <w:rPr>
          <w:rFonts w:ascii="Times New Roman" w:hAnsi="Times New Roman" w:eastAsia="仿宋_GB2312"/>
          <w:sz w:val="32"/>
          <w:szCs w:val="32"/>
        </w:rPr>
        <w:t>52</w:t>
      </w:r>
      <w:r>
        <w:rPr>
          <w:rFonts w:ascii="Times New Roman" w:hAnsi="仿宋_GB2312" w:eastAsia="仿宋_GB2312"/>
          <w:sz w:val="32"/>
          <w:szCs w:val="32"/>
        </w:rPr>
        <w:t>个新时代村级党群服务中心；投入资金</w:t>
      </w:r>
      <w:r>
        <w:rPr>
          <w:rFonts w:ascii="Times New Roman" w:hAnsi="Times New Roman" w:eastAsia="仿宋_GB2312"/>
          <w:sz w:val="32"/>
          <w:szCs w:val="32"/>
        </w:rPr>
        <w:t>300</w:t>
      </w:r>
      <w:r>
        <w:rPr>
          <w:rFonts w:ascii="Times New Roman" w:hAnsi="仿宋_GB2312" w:eastAsia="仿宋_GB2312"/>
          <w:sz w:val="32"/>
          <w:szCs w:val="32"/>
        </w:rPr>
        <w:t>多万元，建成集党员活动、教育培训、党性体验、交流互助等功能于一体的开放性、多媒体县委党员教育中心；投入</w:t>
      </w:r>
      <w:r>
        <w:rPr>
          <w:rFonts w:ascii="Times New Roman" w:hAnsi="Times New Roman" w:eastAsia="仿宋_GB2312"/>
          <w:sz w:val="32"/>
          <w:szCs w:val="32"/>
        </w:rPr>
        <w:t>276</w:t>
      </w:r>
      <w:r>
        <w:rPr>
          <w:rFonts w:ascii="Times New Roman" w:hAnsi="仿宋_GB2312" w:eastAsia="仿宋_GB2312"/>
          <w:sz w:val="32"/>
          <w:szCs w:val="32"/>
        </w:rPr>
        <w:t>万元，建成县乡村三级远</w:t>
      </w:r>
      <w:r>
        <w:rPr>
          <w:rFonts w:hint="eastAsia" w:ascii="仿宋_GB2312" w:hAnsi="仿宋_GB2312" w:eastAsia="仿宋_GB2312" w:cs="仿宋_GB2312"/>
          <w:sz w:val="32"/>
          <w:szCs w:val="32"/>
        </w:rPr>
        <w:t>程教育视频会议系统；全面恢复乡镇（街道）党校夜校集中学习活动；2020年，全市村（社区）“两委”换届工作暨基层党组织阵地建设现场会在我县召开，林鸿嘉同志在全省村（社区）“两委”换届工作领导小组第三次会议上汇报了我县试点工作开展情况；创新探索出宗教工作的“西华经验”，得到省委充分肯定，中央办公厅、中央组织部、中央统战部和国家宗教局、国家公安部等部委给予高度评价，省内外200多个市县前来学习考察。中共中央政治局常委、全国政协主席汪洋专题到我县考察调研，对我县宗教工作的做法给予了充分肯定。县委书记林鸿嘉同志受省委组织部指派，分别在省内外作宗教工作专题报告。把党风廉政建设工作纳入党建工作责任制，纳入重要议事日程，纳入年度综合考核和领导班子、领导干部目标管理体系，纳入县委巡察的重要内容，按照省委《关于推进以案促改制度化常态化的意见》，采取以案促改警示教育大会、警示教育基地参观学习、通报违纪违法典型案例、廉政教育专题党课、以案促改专题民主生活会等多种形式，全域推进以案促改，营造了不敢腐、不能腐、不想腐的良好政治生态。</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特别是面对突如其来的新冠肺炎疫情，在习近平总书记亲自指挥、亲自部署下，在党中央和省委、市委的坚强领导下，县委常委会把疫情防控作为重大政治任务和头等大事，在全市率先成立疫情防控指挥部，及时征用、改扩建隔离病区、专用救治病区，订购负压车、筹建负压病房，备足了打赢抗疫总体战的“枪支弹药”；率先针对拟返乡人员发出劝返信，率先实施交通管制，建立县界、乡界、村界检测服务点，把省级卫生城创建机制转化为城镇社区防疫机制，把扶贫第一书记转化为防疫一线临时党支部书记；在疫情防控期间，全县共成立临时党支</w:t>
      </w:r>
      <w:r>
        <w:rPr>
          <w:rFonts w:ascii="Times New Roman" w:hAnsi="仿宋_GB2312" w:eastAsia="仿宋_GB2312"/>
          <w:sz w:val="32"/>
          <w:szCs w:val="32"/>
        </w:rPr>
        <w:t>部</w:t>
      </w:r>
      <w:r>
        <w:rPr>
          <w:rFonts w:ascii="Times New Roman" w:hAnsi="Times New Roman" w:eastAsia="仿宋_GB2312"/>
          <w:sz w:val="32"/>
          <w:szCs w:val="32"/>
        </w:rPr>
        <w:t>157</w:t>
      </w:r>
      <w:r>
        <w:rPr>
          <w:rFonts w:ascii="Times New Roman" w:hAnsi="仿宋_GB2312" w:eastAsia="仿宋_GB2312"/>
          <w:sz w:val="32"/>
          <w:szCs w:val="32"/>
        </w:rPr>
        <w:t>个、党员先锋队</w:t>
      </w:r>
      <w:r>
        <w:rPr>
          <w:rFonts w:ascii="Times New Roman" w:hAnsi="Times New Roman" w:eastAsia="仿宋_GB2312"/>
          <w:sz w:val="32"/>
          <w:szCs w:val="32"/>
        </w:rPr>
        <w:t>658</w:t>
      </w:r>
      <w:r>
        <w:rPr>
          <w:rFonts w:ascii="Times New Roman" w:hAnsi="仿宋_GB2312" w:eastAsia="仿宋_GB2312"/>
          <w:sz w:val="32"/>
          <w:szCs w:val="32"/>
        </w:rPr>
        <w:t>支、党员先锋岗</w:t>
      </w:r>
      <w:r>
        <w:rPr>
          <w:rFonts w:ascii="Times New Roman" w:hAnsi="Times New Roman" w:eastAsia="仿宋_GB2312"/>
          <w:sz w:val="32"/>
          <w:szCs w:val="32"/>
        </w:rPr>
        <w:t>649</w:t>
      </w:r>
      <w:r>
        <w:rPr>
          <w:rFonts w:ascii="Times New Roman" w:hAnsi="仿宋_GB2312" w:eastAsia="仿宋_GB2312"/>
          <w:sz w:val="32"/>
          <w:szCs w:val="32"/>
        </w:rPr>
        <w:t>个，各级党员干部一手抓疫情防控，一手抓复工复产，在全国开创了用高铁专列组织民工务工的先例，体现了县委常委会和基层党组织</w:t>
      </w:r>
      <w:r>
        <w:rPr>
          <w:rFonts w:hint="eastAsia" w:ascii="仿宋_GB2312" w:hAnsi="仿宋_GB2312" w:eastAsia="仿宋_GB2312" w:cs="仿宋_GB2312"/>
          <w:sz w:val="32"/>
          <w:szCs w:val="32"/>
        </w:rPr>
        <w:t>坚强的组织力引领力凝聚力，成为了疫情防控的“主心骨”。为统筹推进疫情防控和复工复产工作，按照金融“</w:t>
      </w:r>
      <w:r>
        <w:rPr>
          <w:rFonts w:ascii="Times New Roman" w:hAnsi="仿宋_GB2312" w:eastAsia="仿宋_GB2312"/>
          <w:sz w:val="32"/>
          <w:szCs w:val="32"/>
        </w:rPr>
        <w:t>982</w:t>
      </w:r>
      <w:r>
        <w:rPr>
          <w:rFonts w:hint="eastAsia" w:ascii="仿宋_GB2312" w:hAnsi="仿宋_GB2312" w:eastAsia="仿宋_GB2312" w:cs="仿宋_GB2312"/>
          <w:sz w:val="32"/>
          <w:szCs w:val="32"/>
        </w:rPr>
        <w:t>”补短板稳投资和“</w:t>
      </w:r>
      <w:r>
        <w:rPr>
          <w:rFonts w:ascii="Times New Roman" w:hAnsi="仿宋_GB2312" w:eastAsia="仿宋_GB2312"/>
          <w:sz w:val="32"/>
          <w:szCs w:val="32"/>
        </w:rPr>
        <w:t>861</w:t>
      </w:r>
      <w:r>
        <w:rPr>
          <w:rFonts w:hint="eastAsia" w:ascii="仿宋_GB2312" w:hAnsi="仿宋_GB2312" w:eastAsia="仿宋_GB2312" w:cs="仿宋_GB2312"/>
          <w:sz w:val="32"/>
          <w:szCs w:val="32"/>
        </w:rPr>
        <w:t>”金融暖春行动实施方案等要求，积极为企业争取政策性资金支持。“十三五”期间，我县先后获得国家农村产业融合发展示范园、全国美丽乡村建设示范县、改革农技推广先进县、全国安全饮水工作示范县、全国群众体育先进县、全国生猪调出大县、主要农作物生产全程机械化示范县、全省粮食生产大县、“四好农村路”示范县、全省农民工返乡创业工作先进县等省级以上荣</w:t>
      </w:r>
      <w:r>
        <w:rPr>
          <w:rFonts w:hint="eastAsia" w:ascii="Times New Roman" w:hAnsi="仿宋_GB2312" w:eastAsia="仿宋_GB2312"/>
          <w:sz w:val="32"/>
          <w:szCs w:val="32"/>
        </w:rPr>
        <w:t>誉</w:t>
      </w:r>
      <w:r>
        <w:rPr>
          <w:rFonts w:ascii="Times New Roman" w:hAnsi="仿宋_GB2312" w:eastAsia="仿宋_GB2312"/>
          <w:sz w:val="32"/>
          <w:szCs w:val="32"/>
        </w:rPr>
        <w:t>60</w:t>
      </w:r>
      <w:r>
        <w:rPr>
          <w:rFonts w:hint="eastAsia" w:ascii="Times New Roman" w:hAnsi="仿宋_GB2312" w:eastAsia="仿宋_GB2312"/>
          <w:sz w:val="32"/>
          <w:szCs w:val="32"/>
        </w:rPr>
        <w:t>多</w:t>
      </w:r>
      <w:r>
        <w:rPr>
          <w:rFonts w:hint="eastAsia" w:ascii="仿宋_GB2312" w:hAnsi="仿宋_GB2312" w:eastAsia="仿宋_GB2312" w:cs="仿宋_GB2312"/>
          <w:sz w:val="32"/>
          <w:szCs w:val="32"/>
        </w:rPr>
        <w:t>项。</w:t>
      </w:r>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rPr>
        <w:t>“十三五”期间，县委县政府以习近平总书记关于河南工作的重要讲话和指示批示精神为指引，把奋斗目标聚焦到西华更加出彩上，把工作导向引领到以党建高质量推动发展高质量上，凝聚起同心共筑中国梦、奋勇争先谋出彩的强大合力。“十三五”期间，西华之所以创造了令人骄傲的辉煌业绩，主要在于我们始终高举习近平新时代中国特色社会主义思想伟大旗帜，坚决贯彻党中央决策部署和省委、市委工作安排，围绕“生态西华、宜居西华、创业西华、魅力西华”建设目标阔步前进，把坚持人民至上、幸福至上，作为推动高质量发展的行动指南；把坚持统筹全局、担当作为，作为推动高质量发展的有力支撑；把坚持聚焦“六新”、危中寻机，作为推动高质量发展的具体路径；把坚持“抓具体、具体抓，亲历亲为、一竿子插到底”的工作要求，作为推动高质量发展的基本遵循。</w:t>
      </w:r>
    </w:p>
    <w:p>
      <w:pPr>
        <w:pStyle w:val="3"/>
        <w:spacing w:before="120" w:after="120" w:line="600" w:lineRule="exact"/>
        <w:jc w:val="center"/>
        <w:rPr>
          <w:rFonts w:ascii="仿宋_GB2312" w:eastAsia="仿宋_GB2312"/>
        </w:rPr>
      </w:pPr>
      <w:bookmarkStart w:id="6" w:name="_Toc63015569"/>
      <w:bookmarkStart w:id="7" w:name="_Toc65514250"/>
      <w:r>
        <w:rPr>
          <w:rFonts w:hint="eastAsia" w:ascii="仿宋_GB2312" w:eastAsia="仿宋_GB2312"/>
        </w:rPr>
        <w:t>第二节新发展阶段面临新机遇新挑战</w:t>
      </w:r>
      <w:bookmarkEnd w:id="6"/>
      <w:bookmarkEnd w:id="7"/>
    </w:p>
    <w:p>
      <w:pPr>
        <w:spacing w:line="600" w:lineRule="exact"/>
        <w:ind w:firstLine="640" w:firstLineChars="200"/>
        <w:rPr>
          <w:rFonts w:ascii="仿宋_GB2312" w:hAnsi="仿宋_GB2312" w:eastAsia="仿宋_GB2312" w:cs="仿宋_GB2312"/>
          <w:sz w:val="32"/>
          <w:szCs w:val="32"/>
          <w:shd w:val="clear" w:color="auto" w:fill="FFFFFF"/>
        </w:rPr>
      </w:pPr>
      <w:r>
        <w:rPr>
          <w:rFonts w:hint="eastAsia" w:ascii="仿宋_GB2312" w:hAnsi="仿宋_GB2312" w:eastAsia="仿宋_GB2312" w:cs="仿宋_GB2312"/>
          <w:sz w:val="32"/>
          <w:szCs w:val="32"/>
          <w:shd w:val="clear" w:color="auto" w:fill="FFFFFF"/>
        </w:rPr>
        <w:t>当前及今后一个时期，世界正经历百年未有之大变局，与我国社会主义现代化建设新征程开局起步相互交融，我县发展的外部环境和内部条件发生了复杂而深刻的变化。</w:t>
      </w:r>
      <w:r>
        <w:rPr>
          <w:rFonts w:hint="eastAsia" w:ascii="仿宋_GB2312" w:hAnsi="仿宋_GB2312" w:eastAsia="仿宋_GB2312" w:cs="仿宋_GB2312"/>
          <w:b/>
          <w:sz w:val="32"/>
          <w:szCs w:val="32"/>
          <w:shd w:val="clear" w:color="auto" w:fill="FFFFFF"/>
        </w:rPr>
        <w:t>从全球看，</w:t>
      </w:r>
      <w:r>
        <w:rPr>
          <w:rFonts w:hint="eastAsia" w:ascii="仿宋_GB2312" w:hAnsi="仿宋_GB2312" w:eastAsia="仿宋_GB2312" w:cs="仿宋_GB2312"/>
          <w:sz w:val="32"/>
          <w:szCs w:val="32"/>
          <w:shd w:val="clear" w:color="auto" w:fill="FFFFFF"/>
        </w:rPr>
        <w:t>国际秩序发生深刻变化，力量格局面临深刻调整，新一轮科技革命和产业变革深入发展，新冠肺炎疫情影响广泛深远，世界进入动荡变革期。</w:t>
      </w:r>
      <w:r>
        <w:rPr>
          <w:rFonts w:hint="eastAsia" w:ascii="仿宋_GB2312" w:hAnsi="仿宋_GB2312" w:eastAsia="仿宋_GB2312" w:cs="仿宋_GB2312"/>
          <w:b/>
          <w:sz w:val="32"/>
          <w:szCs w:val="32"/>
          <w:shd w:val="clear" w:color="auto" w:fill="FFFFFF"/>
        </w:rPr>
        <w:t>从全国看，</w:t>
      </w:r>
      <w:r>
        <w:rPr>
          <w:rFonts w:hint="eastAsia" w:ascii="仿宋_GB2312" w:hAnsi="仿宋_GB2312" w:eastAsia="仿宋_GB2312" w:cs="仿宋_GB2312"/>
          <w:sz w:val="32"/>
          <w:szCs w:val="32"/>
          <w:shd w:val="clear" w:color="auto" w:fill="FFFFFF"/>
        </w:rPr>
        <w:t>我国仍处于重要战略机遇期，经济长期向好、内在向上的态势没有改变，“双循环”新发展格局加快构建，新发展理念更加深入人心，经济发展新动能不断蓄积。</w:t>
      </w:r>
      <w:r>
        <w:rPr>
          <w:rFonts w:hint="eastAsia" w:ascii="仿宋_GB2312" w:hAnsi="仿宋_GB2312" w:eastAsia="仿宋_GB2312" w:cs="仿宋_GB2312"/>
          <w:b/>
          <w:sz w:val="32"/>
          <w:szCs w:val="32"/>
          <w:shd w:val="clear" w:color="auto" w:fill="FFFFFF"/>
        </w:rPr>
        <w:t>从全省来看，</w:t>
      </w:r>
      <w:r>
        <w:rPr>
          <w:rFonts w:hint="eastAsia" w:ascii="仿宋_GB2312" w:hAnsi="仿宋_GB2312" w:eastAsia="仿宋_GB2312" w:cs="仿宋_GB2312"/>
          <w:sz w:val="32"/>
          <w:szCs w:val="32"/>
          <w:shd w:val="clear" w:color="auto" w:fill="FFFFFF"/>
        </w:rPr>
        <w:t>我省进入高质量发展阶段，正处于战略叠加的机遇期、蓄势跃升的突破期、调整转型的攻坚期、风险挑战的凸显期，已经到了由大变强、实现更大发展的重要关口，步入了可以大有作为、为全国大局作出更大贡献的重要时期。</w:t>
      </w:r>
      <w:r>
        <w:rPr>
          <w:rFonts w:hint="eastAsia" w:ascii="仿宋_GB2312" w:hAnsi="仿宋_GB2312" w:eastAsia="仿宋_GB2312" w:cs="仿宋_GB2312"/>
          <w:b/>
          <w:sz w:val="32"/>
          <w:szCs w:val="32"/>
          <w:shd w:val="clear" w:color="auto" w:fill="FFFFFF"/>
        </w:rPr>
        <w:t>从全市来看，</w:t>
      </w:r>
      <w:r>
        <w:rPr>
          <w:rFonts w:hint="eastAsia" w:ascii="仿宋_GB2312" w:hAnsi="仿宋_GB2312" w:eastAsia="仿宋_GB2312" w:cs="仿宋_GB2312"/>
          <w:sz w:val="32"/>
          <w:szCs w:val="32"/>
          <w:shd w:val="clear" w:color="auto" w:fill="FFFFFF"/>
        </w:rPr>
        <w:t>周口市作为中原内陆地区连接长三角地区重要节点，一千万人口大市场、沙颍河内联外通大通道、粮食生产中原大粮仓、多式联运大枢纽的优势更加突出，特别是周口新兴临港经济城市上升为省级战略，为我县加速推进高质量跨越发展、打造全省新经济增长极带来了重大机遇、提供了有利条件。</w:t>
      </w:r>
      <w:r>
        <w:rPr>
          <w:rFonts w:hint="eastAsia" w:ascii="仿宋_GB2312" w:hAnsi="仿宋_GB2312" w:eastAsia="仿宋_GB2312" w:cs="仿宋_GB2312"/>
          <w:b/>
          <w:sz w:val="32"/>
          <w:szCs w:val="32"/>
          <w:shd w:val="clear" w:color="auto" w:fill="FFFFFF"/>
        </w:rPr>
        <w:t>从我县自身来看，</w:t>
      </w:r>
      <w:r>
        <w:rPr>
          <w:rFonts w:hint="eastAsia" w:ascii="仿宋_GB2312" w:hAnsi="仿宋_GB2312" w:eastAsia="仿宋_GB2312" w:cs="仿宋_GB2312"/>
          <w:sz w:val="32"/>
          <w:szCs w:val="32"/>
          <w:shd w:val="clear" w:color="auto" w:fill="FFFFFF"/>
        </w:rPr>
        <w:t>我县仍将处于新型工业化、信息化、城镇化、农业现代化快速发展阶段，经济社会发展面临诸多发展机遇，特别是在“双循环”新发展格局下，全县经济社会发展优势更加突出、发展前景更加广阔，百万人口大县新型城镇化和乡村振兴的内需潜力持续激发，“水、陆、空、铁”多式联运综合交通枢纽优势愈发显著，以智能终端、通用航空、无人机为代表的新产业、新业态、新模式等“六新”经济加速发展，盘古女娲创世文化、逍遥胡辣汤文化等特色文化品牌日益响亮，有利于西华谋划高质量发展新格局，提升县域经济发展新优势，不断开创高质量发展新局面。同时，我们要清醒地认识到，当前我县经济总量小、基础差、底子薄的基本县情并没有根本改变，财力小、税源少、财政刚性支出缺口大的基本状况并没有根本改变，仍处于滚石上山的攻坚期、爬坡过坎的关键期、提质扩量的转型期。对此，我们要辩证认识和把握发展大势，增强机遇意识和风险意识，更加有效地应对各种风险和挑战，牢牢把握发展主动权，在危机中育先机、于变局中开新局，为全面建设社会主义现代化新西华开好局、起好步，凝心聚力绘就新时代西华高质量发展新篇章。</w:t>
      </w:r>
    </w:p>
    <w:p>
      <w:pPr>
        <w:pStyle w:val="2"/>
        <w:spacing w:before="120" w:after="120" w:line="600" w:lineRule="exact"/>
        <w:jc w:val="center"/>
        <w:rPr>
          <w:rFonts w:ascii="黑体" w:hAnsi="黑体" w:eastAsia="黑体"/>
          <w:b w:val="0"/>
          <w:sz w:val="32"/>
          <w:szCs w:val="32"/>
        </w:rPr>
      </w:pPr>
      <w:bookmarkStart w:id="8" w:name="_Toc65514251"/>
      <w:bookmarkStart w:id="9" w:name="_Toc20013"/>
      <w:r>
        <w:rPr>
          <w:rFonts w:hint="eastAsia" w:ascii="黑体" w:hAnsi="黑体" w:eastAsia="黑体"/>
          <w:b w:val="0"/>
          <w:sz w:val="32"/>
          <w:szCs w:val="32"/>
        </w:rPr>
        <w:t>第二章擘画新时代发展蓝图，明晰“十四五”发展思路目标</w:t>
      </w:r>
      <w:bookmarkEnd w:id="8"/>
      <w:bookmarkEnd w:id="9"/>
    </w:p>
    <w:p>
      <w:pPr>
        <w:pStyle w:val="3"/>
        <w:spacing w:before="120" w:after="120" w:line="600" w:lineRule="exact"/>
        <w:jc w:val="center"/>
        <w:rPr>
          <w:rFonts w:ascii="仿宋_GB2312" w:eastAsia="仿宋_GB2312"/>
        </w:rPr>
      </w:pPr>
      <w:bookmarkStart w:id="10" w:name="_Toc7"/>
      <w:bookmarkStart w:id="11" w:name="_Toc65514252"/>
      <w:r>
        <w:rPr>
          <w:rFonts w:hint="eastAsia" w:ascii="仿宋_GB2312" w:eastAsia="仿宋_GB2312"/>
        </w:rPr>
        <w:t>第一节总体思路</w:t>
      </w:r>
      <w:bookmarkEnd w:id="10"/>
      <w:bookmarkEnd w:id="11"/>
    </w:p>
    <w:p>
      <w:pPr>
        <w:spacing w:line="600" w:lineRule="exact"/>
        <w:ind w:firstLine="640" w:firstLineChars="200"/>
        <w:rPr>
          <w:rFonts w:ascii="仿宋_GB2312" w:hAnsi="仿宋_GB2312" w:eastAsia="仿宋_GB2312" w:cs="仿宋_GB2312"/>
          <w:sz w:val="32"/>
          <w:szCs w:val="32"/>
        </w:rPr>
      </w:pPr>
      <w:r>
        <w:rPr>
          <w:rFonts w:hint="eastAsia" w:ascii="仿宋_GB2312" w:hAnsi="仿宋_GB2312" w:eastAsia="仿宋_GB2312" w:cs="仿宋_GB2312"/>
          <w:sz w:val="32"/>
          <w:szCs w:val="32"/>
          <w:shd w:val="clear" w:color="auto" w:fill="FFFFFF"/>
        </w:rPr>
        <w:t>以习近平新时代中国特色社会主义思想为指导，全面贯彻落实党的十九大和十九届二中、三中、四中、五中全会精神，深入贯彻习近平总书记视察河南重要讲话精神，坚持稳中求进工作总基调，坚持新发展理念，以推动高质量发展</w:t>
      </w:r>
      <w:r>
        <w:rPr>
          <w:rFonts w:hint="eastAsia" w:ascii="仿宋_GB2312" w:hAnsi="仿宋_GB2312" w:eastAsia="仿宋_GB2312" w:cs="仿宋_GB2312"/>
          <w:sz w:val="32"/>
          <w:szCs w:val="32"/>
        </w:rPr>
        <w:t>为主题</w:t>
      </w:r>
      <w:r>
        <w:rPr>
          <w:rFonts w:hint="eastAsia" w:ascii="仿宋_GB2312" w:hAnsi="仿宋_GB2312" w:eastAsia="仿宋_GB2312" w:cs="仿宋_GB2312"/>
          <w:sz w:val="32"/>
          <w:szCs w:val="32"/>
          <w:shd w:val="clear" w:color="auto" w:fill="FFFFFF"/>
        </w:rPr>
        <w:t>，扭住供给侧结构性改革，同时注重需求侧改革，打通堵点，补齐短板，贯通生产、分配、流通、消费各环节，形成需求牵引供给、供给创造需求的更高水平动态平衡，提升国民经济体系整体效能，</w:t>
      </w:r>
      <w:r>
        <w:rPr>
          <w:rFonts w:hint="eastAsia" w:ascii="仿宋_GB2312" w:hAnsi="仿宋_GB2312" w:eastAsia="仿宋_GB2312" w:cs="仿宋_GB2312"/>
          <w:sz w:val="32"/>
          <w:szCs w:val="32"/>
        </w:rPr>
        <w:t>以创新为根本动力，统筹发展和安全，积极融入新发展格局，推进治理体系和治理能力现代化，以满足人民日益增长的美好生活需要为根本目的，坚持系统观念，深度融入中部地区崛起、黄河流域生态保护和高质量发展、淮河生态经济带等重大战略，认真践行县域治理“三起来”、乡镇工作“三结合”，坚持“政治至上、发展至上、项目至上、责任至上、效率至上”，围绕“生态西华、宜居西华、创业西华、魅力西华”发展目标和经济技术开发区、临空经济实验区、特色商业区、盘古女娲创世文化园区“四区”统筹发展战略，聚力打造通用航空、高端装备、现代食品三个超百亿级特色产业集群，着力发展“六新”经济，以“百城提质”与“六村共建”为抓手推动城乡融合发展，着力打造“两大节点、四大基地”（两大节点，郑合高铁经济带重要节点、沙颍河生态经济带重要节点；四大基地：全国领先的通用航空产业示范基地、全省重要的多式联运示范</w:t>
      </w:r>
      <w:bookmarkStart w:id="95" w:name="_GoBack"/>
      <w:bookmarkEnd w:id="95"/>
      <w:r>
        <w:rPr>
          <w:rFonts w:hint="eastAsia" w:ascii="仿宋_GB2312" w:hAnsi="仿宋_GB2312" w:eastAsia="仿宋_GB2312" w:cs="仿宋_GB2312"/>
          <w:sz w:val="32"/>
          <w:szCs w:val="32"/>
        </w:rPr>
        <w:t>基地、豫东地区重要的先进制造业基地、中华优秀传统文化传承创新示范基地），奋力推进县域经济高质量发展，确保西华现代化建设新征程开好局起好步，在中原崛起、周口跨越中奋勇争先，坚定走好西华高质量发展的出彩之路，努力谱写新时代西华高质量发展新篇章。</w:t>
      </w:r>
    </w:p>
    <w:p>
      <w:pPr>
        <w:pStyle w:val="3"/>
        <w:spacing w:before="120" w:after="120" w:line="600" w:lineRule="exact"/>
        <w:jc w:val="center"/>
        <w:rPr>
          <w:rFonts w:ascii="仿宋_GB2312" w:eastAsia="仿宋_GB2312"/>
        </w:rPr>
      </w:pPr>
      <w:bookmarkStart w:id="12" w:name="_Toc65514253"/>
      <w:bookmarkStart w:id="13" w:name="_Toc3877"/>
      <w:r>
        <w:rPr>
          <w:rFonts w:hint="eastAsia" w:ascii="仿宋_GB2312" w:eastAsia="仿宋_GB2312"/>
        </w:rPr>
        <w:t>第二节基本原则</w:t>
      </w:r>
      <w:bookmarkEnd w:id="12"/>
      <w:bookmarkEnd w:id="13"/>
    </w:p>
    <w:p>
      <w:pPr>
        <w:spacing w:line="600" w:lineRule="exact"/>
        <w:ind w:firstLine="640" w:firstLineChars="200"/>
        <w:rPr>
          <w:rFonts w:ascii="仿宋_GB2312" w:eastAsia="仿宋_GB2312"/>
          <w:sz w:val="32"/>
          <w:szCs w:val="32"/>
        </w:rPr>
      </w:pPr>
      <w:r>
        <w:rPr>
          <w:rFonts w:hint="eastAsia" w:ascii="仿宋_GB2312" w:eastAsia="仿宋_GB2312"/>
          <w:sz w:val="32"/>
          <w:szCs w:val="32"/>
        </w:rPr>
        <w:t>“十四五”期间，贯彻落实以上指导思想，必须牢牢把握以下基本原则：</w:t>
      </w:r>
    </w:p>
    <w:p>
      <w:pPr>
        <w:spacing w:line="600" w:lineRule="exact"/>
        <w:ind w:firstLine="643" w:firstLineChars="200"/>
        <w:rPr>
          <w:rFonts w:ascii="仿宋_GB2312" w:hAnsi="仿宋_GB2312" w:eastAsia="仿宋_GB2312" w:cs="仿宋_GB2312"/>
          <w:sz w:val="32"/>
          <w:szCs w:val="32"/>
          <w:lang w:val="zh-CN"/>
        </w:rPr>
      </w:pPr>
      <w:r>
        <w:rPr>
          <w:rFonts w:hint="eastAsia" w:ascii="仿宋_GB2312" w:hAnsi="仿宋_GB2312" w:eastAsia="仿宋_GB2312" w:cs="仿宋_GB2312"/>
          <w:b/>
          <w:bCs/>
          <w:sz w:val="32"/>
          <w:szCs w:val="32"/>
          <w:lang w:val="zh-CN"/>
        </w:rPr>
        <w:t>坚持党的全面领导。</w:t>
      </w:r>
      <w:r>
        <w:rPr>
          <w:rFonts w:hint="eastAsia" w:ascii="仿宋_GB2312" w:hAnsi="仿宋_GB2312" w:eastAsia="仿宋_GB2312" w:cs="仿宋_GB2312"/>
          <w:sz w:val="32"/>
          <w:szCs w:val="32"/>
          <w:lang w:val="zh-CN"/>
        </w:rPr>
        <w:t>坚持和完善党领导经济社会发展的体制机制，坚持和完善中国特色社会主义制度，始终在思想上政治上行动上同以习近平同志为核心的党中央保持高度一致，坚决贯彻党中央和省委、市委决策部署，</w:t>
      </w:r>
      <w:r>
        <w:rPr>
          <w:rFonts w:hint="eastAsia" w:ascii="仿宋_GB2312" w:hAnsi="仿宋_GB2312" w:eastAsia="仿宋_GB2312" w:cs="仿宋_GB2312"/>
          <w:sz w:val="32"/>
          <w:szCs w:val="32"/>
        </w:rPr>
        <w:t>健全完善县委领导经济工作的“红色引擎”，</w:t>
      </w:r>
      <w:r>
        <w:rPr>
          <w:rFonts w:hint="eastAsia" w:ascii="仿宋_GB2312" w:hAnsi="仿宋_GB2312" w:eastAsia="仿宋_GB2312" w:cs="仿宋_GB2312"/>
          <w:sz w:val="32"/>
          <w:szCs w:val="32"/>
          <w:lang w:val="zh-CN"/>
        </w:rPr>
        <w:t>不断提高贯彻新发展理念、构建新发展格局能力和水平，为实现高质量发展提供根本保证，</w:t>
      </w:r>
      <w:r>
        <w:rPr>
          <w:rFonts w:hint="eastAsia" w:ascii="仿宋_GB2312" w:hAnsi="仿宋_GB2312" w:eastAsia="仿宋_GB2312" w:cs="仿宋_GB2312"/>
          <w:sz w:val="32"/>
          <w:szCs w:val="32"/>
        </w:rPr>
        <w:t>为走好高质量发展之路提供强劲动力。</w:t>
      </w:r>
    </w:p>
    <w:p>
      <w:pPr>
        <w:spacing w:line="600" w:lineRule="exact"/>
        <w:ind w:firstLine="643" w:firstLineChars="200"/>
        <w:rPr>
          <w:rFonts w:ascii="仿宋_GB2312" w:hAnsi="仿宋_GB2312" w:eastAsia="仿宋_GB2312" w:cs="仿宋_GB2312"/>
          <w:sz w:val="32"/>
          <w:szCs w:val="32"/>
          <w:lang w:val="zh-CN"/>
        </w:rPr>
      </w:pPr>
      <w:r>
        <w:rPr>
          <w:rFonts w:hint="eastAsia" w:ascii="仿宋_GB2312" w:hAnsi="仿宋_GB2312" w:eastAsia="仿宋_GB2312" w:cs="仿宋_GB2312"/>
          <w:b/>
          <w:bCs/>
          <w:sz w:val="32"/>
          <w:szCs w:val="32"/>
          <w:lang w:val="zh-CN"/>
        </w:rPr>
        <w:t>坚持以人民为中心。</w:t>
      </w:r>
      <w:r>
        <w:rPr>
          <w:rFonts w:hint="eastAsia" w:ascii="仿宋_GB2312" w:hAnsi="仿宋_GB2312" w:eastAsia="仿宋_GB2312" w:cs="仿宋_GB2312"/>
          <w:sz w:val="32"/>
          <w:szCs w:val="32"/>
          <w:lang w:val="zh-CN"/>
        </w:rPr>
        <w:t>坚持人民主体地位，坚持共同富裕方向，始终做到发展为了人民、发展依靠人民、发展成果由人民共享，维护人民根本利益，激发西华百万人民的积极性、主动性、创造性，促进社会公平，增进民生福祉，不断实现人民对美好生活的向往。</w:t>
      </w:r>
    </w:p>
    <w:p>
      <w:pPr>
        <w:spacing w:line="600" w:lineRule="exact"/>
        <w:ind w:firstLine="643" w:firstLineChars="200"/>
        <w:rPr>
          <w:rFonts w:ascii="仿宋_GB2312" w:hAnsi="仿宋_GB2312" w:eastAsia="仿宋_GB2312" w:cs="仿宋_GB2312"/>
          <w:sz w:val="32"/>
          <w:szCs w:val="32"/>
          <w:lang w:val="zh-CN"/>
        </w:rPr>
      </w:pPr>
      <w:r>
        <w:rPr>
          <w:rFonts w:hint="eastAsia" w:ascii="仿宋_GB2312" w:hAnsi="仿宋_GB2312" w:eastAsia="仿宋_GB2312" w:cs="仿宋_GB2312"/>
          <w:b/>
          <w:bCs/>
          <w:sz w:val="32"/>
          <w:szCs w:val="32"/>
          <w:lang w:val="zh-CN"/>
        </w:rPr>
        <w:t>坚持新发展理念。</w:t>
      </w:r>
      <w:r>
        <w:rPr>
          <w:rFonts w:hint="eastAsia" w:ascii="仿宋_GB2312" w:hAnsi="仿宋_GB2312" w:eastAsia="仿宋_GB2312" w:cs="仿宋_GB2312"/>
          <w:sz w:val="32"/>
          <w:szCs w:val="32"/>
          <w:lang w:val="zh-CN"/>
        </w:rPr>
        <w:t>把新发展理念贯穿发展全过程和各领域，积极主动服务和融入新发展格局，切实转变发展方式，推动质量变革、效率变革、动力变革，实现更高质量、更有效率、更加公平、更可持续、更为安全的发展。</w:t>
      </w:r>
    </w:p>
    <w:p>
      <w:pPr>
        <w:spacing w:line="600" w:lineRule="exact"/>
        <w:ind w:firstLine="643" w:firstLineChars="200"/>
        <w:rPr>
          <w:rFonts w:ascii="仿宋_GB2312" w:hAnsi="仿宋_GB2312" w:eastAsia="仿宋_GB2312" w:cs="仿宋_GB2312"/>
          <w:sz w:val="32"/>
          <w:szCs w:val="32"/>
          <w:lang w:val="zh-CN"/>
        </w:rPr>
      </w:pPr>
      <w:r>
        <w:rPr>
          <w:rFonts w:hint="eastAsia" w:ascii="仿宋_GB2312" w:hAnsi="仿宋_GB2312" w:eastAsia="仿宋_GB2312" w:cs="仿宋_GB2312"/>
          <w:b/>
          <w:bCs/>
          <w:sz w:val="32"/>
          <w:szCs w:val="32"/>
          <w:lang w:val="zh-CN"/>
        </w:rPr>
        <w:t>坚持深化改革开放。</w:t>
      </w:r>
      <w:r>
        <w:rPr>
          <w:rFonts w:hint="eastAsia" w:ascii="仿宋_GB2312" w:hAnsi="仿宋_GB2312" w:eastAsia="仿宋_GB2312" w:cs="仿宋_GB2312"/>
          <w:sz w:val="32"/>
          <w:szCs w:val="32"/>
          <w:lang w:val="zh-CN"/>
        </w:rPr>
        <w:t>坚定不移推进改革，坚定不移扩大开放，加强治理体系和治理能力现代化建设，破除制约高质量发展、高品质生活的体制机制障碍，强化有利于提高资源配置效率、有利于调动全社会积极性的重大改革开放举措，加大开放力度，持续增强我县发展动力和活力。</w:t>
      </w:r>
    </w:p>
    <w:p>
      <w:pPr>
        <w:spacing w:line="600" w:lineRule="exact"/>
        <w:ind w:firstLine="643" w:firstLineChars="200"/>
        <w:rPr>
          <w:rFonts w:ascii="仿宋_GB2312" w:hAnsi="仿宋_GB2312" w:eastAsia="仿宋_GB2312" w:cs="仿宋_GB2312"/>
          <w:sz w:val="32"/>
          <w:szCs w:val="32"/>
          <w:lang w:val="zh-CN"/>
        </w:rPr>
      </w:pPr>
      <w:r>
        <w:rPr>
          <w:rFonts w:hint="eastAsia" w:ascii="仿宋_GB2312" w:hAnsi="仿宋_GB2312" w:eastAsia="仿宋_GB2312" w:cs="仿宋_GB2312"/>
          <w:b/>
          <w:bCs/>
          <w:sz w:val="32"/>
          <w:szCs w:val="32"/>
          <w:lang w:val="zh-CN"/>
        </w:rPr>
        <w:t>坚持系统观念。</w:t>
      </w:r>
      <w:r>
        <w:rPr>
          <w:rFonts w:hint="eastAsia" w:ascii="仿宋_GB2312" w:hAnsi="仿宋_GB2312" w:eastAsia="仿宋_GB2312" w:cs="仿宋_GB2312"/>
          <w:sz w:val="32"/>
          <w:szCs w:val="32"/>
          <w:lang w:val="zh-CN"/>
        </w:rPr>
        <w:t>加强前瞻性思考、全局性谋划、战略性布局、整体性推进，办好发展安全两件大事，更加注重从全局谋划一域、以一域服务全局，着力固根基、扬优势、补短板、强弱项，注重防范化解重大风险挑战，实现发展质量、结构、规模、速度、效益、安全相统一。</w:t>
      </w:r>
    </w:p>
    <w:p>
      <w:pPr>
        <w:pStyle w:val="3"/>
        <w:spacing w:before="120" w:after="120" w:line="600" w:lineRule="exact"/>
        <w:jc w:val="center"/>
        <w:rPr>
          <w:rFonts w:ascii="仿宋_GB2312" w:eastAsia="仿宋_GB2312"/>
        </w:rPr>
      </w:pPr>
      <w:bookmarkStart w:id="14" w:name="_Toc65514254"/>
      <w:r>
        <w:rPr>
          <w:rFonts w:hint="eastAsia" w:ascii="仿宋_GB2312" w:eastAsia="仿宋_GB2312"/>
        </w:rPr>
        <w:t>第三节</w:t>
      </w:r>
      <w:bookmarkEnd w:id="14"/>
      <w:r>
        <w:rPr>
          <w:rFonts w:hint="eastAsia" w:ascii="仿宋_GB2312" w:eastAsia="仿宋_GB2312"/>
        </w:rPr>
        <w:t>战略路径</w:t>
      </w:r>
    </w:p>
    <w:p>
      <w:pPr>
        <w:spacing w:line="600" w:lineRule="exact"/>
        <w:ind w:firstLine="640" w:firstLineChars="200"/>
        <w:rPr>
          <w:rFonts w:ascii="仿宋_GB2312" w:hAnsi="仿宋_GB2312" w:eastAsia="仿宋_GB2312" w:cs="仿宋_GB2312"/>
          <w:b/>
          <w:sz w:val="32"/>
          <w:szCs w:val="32"/>
        </w:rPr>
      </w:pPr>
      <w:r>
        <w:rPr>
          <w:rFonts w:hint="eastAsia" w:ascii="仿宋_GB2312" w:hAnsi="仿宋_GB2312" w:eastAsia="仿宋_GB2312" w:cs="仿宋_GB2312"/>
          <w:sz w:val="32"/>
          <w:szCs w:val="32"/>
        </w:rPr>
        <w:t>立足新发展阶段特征，按照高质量发展要求，推动“十四五”时期全县经济社会发展，应把握好以下基本要求。</w:t>
      </w:r>
      <w:bookmarkStart w:id="15" w:name="_Toc48713943"/>
      <w:bookmarkStart w:id="16" w:name="_Toc17649"/>
    </w:p>
    <w:p>
      <w:pPr>
        <w:spacing w:line="600" w:lineRule="exact"/>
        <w:ind w:firstLine="643" w:firstLineChars="200"/>
        <w:rPr>
          <w:rFonts w:ascii="Times New Roman" w:hAnsi="Times New Roman" w:eastAsia="仿宋_GB2312"/>
          <w:b/>
          <w:sz w:val="32"/>
          <w:szCs w:val="32"/>
        </w:rPr>
      </w:pPr>
      <w:r>
        <w:rPr>
          <w:rFonts w:hint="eastAsia" w:ascii="仿宋_GB2312" w:hAnsi="仿宋_GB2312" w:eastAsia="仿宋_GB2312" w:cs="仿宋_GB2312"/>
          <w:b/>
          <w:sz w:val="32"/>
          <w:szCs w:val="32"/>
        </w:rPr>
        <w:t>把握“双循环”新发展格局，以“四位一体”为重点推动“三融入三增强”，着力扩大县域经济发展新空间。</w:t>
      </w:r>
      <w:r>
        <w:rPr>
          <w:rFonts w:hint="eastAsia" w:ascii="仿宋_GB2312" w:hAnsi="仿宋_GB2312" w:eastAsia="仿宋_GB2312" w:cs="仿宋_GB2312"/>
          <w:sz w:val="32"/>
          <w:szCs w:val="32"/>
        </w:rPr>
        <w:t>发挥西华“高铁、通航、水运、高速”四位一体综合交通优势，实施高铁配套提升、通航服务完善、航运开发建设、公路网络优化等四大工程，着力打造具有较强集疏能力的铁路客运港、航空港、出海港、公路港，以“公铁水空”四位一体发展，深度对接融入周口中心城区、“郑州一小时经济圈”、中原城市群建设，推动形成“南融周口、北接郑州、全域提升”的发展新格局，吸引产业、技术、人才、资金、项目等要素向西华聚集，不断增强西华城</w:t>
      </w:r>
      <w:r>
        <w:rPr>
          <w:rFonts w:hint="eastAsia" w:ascii="Times New Roman" w:hAnsi="Times New Roman" w:eastAsia="仿宋_GB2312"/>
          <w:sz w:val="32"/>
          <w:szCs w:val="32"/>
        </w:rPr>
        <w:t>市发展能级、产业发展能级和开放合作能级。</w:t>
      </w:r>
    </w:p>
    <w:p>
      <w:pPr>
        <w:spacing w:line="600" w:lineRule="exact"/>
        <w:ind w:firstLine="643" w:firstLineChars="200"/>
        <w:rPr>
          <w:rFonts w:ascii="Times New Roman" w:hAnsi="Times New Roman" w:eastAsia="仿宋_GB2312"/>
          <w:b/>
          <w:sz w:val="32"/>
          <w:szCs w:val="32"/>
        </w:rPr>
      </w:pPr>
      <w:r>
        <w:rPr>
          <w:rFonts w:hint="eastAsia" w:ascii="仿宋_GB2312" w:hAnsi="仿宋_GB2312" w:eastAsia="仿宋_GB2312" w:cs="仿宋_GB2312"/>
          <w:b/>
          <w:sz w:val="32"/>
          <w:szCs w:val="32"/>
        </w:rPr>
        <w:t>主动适应产业组织形态新变化，以“三大集群”为支撑推动“双倍增双提升”，着力构建现代产业发展新体系。</w:t>
      </w:r>
      <w:r>
        <w:rPr>
          <w:rFonts w:hint="eastAsia" w:ascii="Times New Roman" w:hAnsi="Times New Roman" w:eastAsia="仿宋_GB2312"/>
          <w:sz w:val="32"/>
          <w:szCs w:val="32"/>
        </w:rPr>
        <w:t>适应产业组织形态由企业竞争向集群竞争转变的趋势要求，进一步强化链群发展思维，充分发挥西华在通航、装备、食品等产业领域的基础优势，按照“横向成群、纵向成链”的发展思路，以产业链长制为抓手，抓实抓好延链、补链、强链等工作，聚力打造通用航空、高端装备、现代食品三个超百亿级特色产业集群，加快推动产业链式布局、专业化配套、集群化发展，推动全县规模以上企业主营业务收入、税收收入实现“双倍增”，着力提升西华县产业发展总量规模和质量效益。</w:t>
      </w:r>
    </w:p>
    <w:p>
      <w:pPr>
        <w:spacing w:line="600" w:lineRule="exact"/>
        <w:ind w:firstLine="643" w:firstLineChars="200"/>
        <w:rPr>
          <w:rFonts w:ascii="Times New Roman" w:hAnsi="Times New Roman" w:eastAsia="仿宋_GB2312"/>
          <w:b/>
          <w:sz w:val="32"/>
          <w:szCs w:val="32"/>
        </w:rPr>
      </w:pPr>
      <w:r>
        <w:rPr>
          <w:rFonts w:hint="eastAsia" w:ascii="Times New Roman" w:hAnsi="Times New Roman" w:eastAsia="仿宋_GB2312"/>
          <w:b/>
          <w:sz w:val="32"/>
          <w:szCs w:val="32"/>
        </w:rPr>
        <w:t>抢抓新一轮科技革命和产业变革机遇，以“四新经济”为引领推动“三优化三转型”，着力打造县域经济高质量发展新动能。</w:t>
      </w:r>
      <w:r>
        <w:rPr>
          <w:rFonts w:hint="eastAsia" w:ascii="Times New Roman" w:hAnsi="Times New Roman" w:eastAsia="仿宋_GB2312"/>
          <w:sz w:val="32"/>
          <w:szCs w:val="32"/>
        </w:rPr>
        <w:t>充分把握用好“十四五”新一轮科技革命和产业变革的“机会窗口”，立足西华区位交通优势和产业发展基础，强化科创引领、数字赋能、模式创新，瞄准具有战略性、前瞻性和爆发式增长潜力的领域，着力开展新兴产业建链育链引链工程，重点发展临空经济、临港经济、高铁经济、数字经济等四大新经济形态，引领带动西华经济结构优化、空间布局优化、发展动能优化，推动产业转型、动能转型、数字转型，增创西华县域经济发展新优势。</w:t>
      </w:r>
    </w:p>
    <w:p>
      <w:pPr>
        <w:spacing w:line="600" w:lineRule="exact"/>
        <w:ind w:firstLine="643" w:firstLineChars="200"/>
        <w:rPr>
          <w:rFonts w:ascii="Times New Roman" w:hAnsi="Times New Roman" w:eastAsia="仿宋_GB2312"/>
          <w:sz w:val="32"/>
          <w:szCs w:val="32"/>
        </w:rPr>
      </w:pPr>
      <w:r>
        <w:rPr>
          <w:rFonts w:hint="eastAsia" w:ascii="仿宋_GB2312" w:hAnsi="仿宋_GB2312" w:eastAsia="仿宋_GB2312" w:cs="仿宋_GB2312"/>
          <w:b/>
          <w:sz w:val="32"/>
          <w:szCs w:val="32"/>
        </w:rPr>
        <w:t>聚焦县域经济“两个主战场”，以“百城提质”与“六村共建”为抓手，推动“三突破三示范”，着力打造城乡融合发展新格局。</w:t>
      </w:r>
      <w:r>
        <w:rPr>
          <w:rFonts w:hint="eastAsia" w:ascii="Times New Roman" w:hAnsi="Times New Roman" w:eastAsia="仿宋_GB2312"/>
          <w:sz w:val="32"/>
          <w:szCs w:val="32"/>
        </w:rPr>
        <w:t>认真践行县域治理“三起来”，突出城乡共建、成果共享，以“百城提质”和“六村共建”为抓手，协同推进新型城镇化和乡村振兴，着力在城市建设管理模式、农村人居环境综合整治、农业农村改革等三个方面实现新的突破，着力打造以县城为龙头、中心镇为节点、乡村为腹地的发展新格局。用足用好“国家农村产业融合发展示范园”“全国美丽乡村建设示范县”“全国过程农业示范县”等“国字号”金字招牌，着力在农村一二三产业融合发展、美丽乡村建设、城乡融合发展等三个方面作为示范，为全国传统农区城乡高质量发展提供可借鉴的“西华模式”。</w:t>
      </w:r>
      <w:bookmarkEnd w:id="15"/>
      <w:bookmarkEnd w:id="16"/>
    </w:p>
    <w:p>
      <w:pPr>
        <w:pStyle w:val="3"/>
        <w:spacing w:before="120" w:after="120" w:line="600" w:lineRule="exact"/>
        <w:jc w:val="center"/>
        <w:rPr>
          <w:rFonts w:ascii="仿宋_GB2312" w:eastAsia="仿宋_GB2312"/>
        </w:rPr>
      </w:pPr>
      <w:bookmarkStart w:id="17" w:name="_Toc63015573"/>
      <w:bookmarkStart w:id="18" w:name="_Toc31328"/>
      <w:bookmarkStart w:id="19" w:name="_Toc65514255"/>
      <w:r>
        <w:rPr>
          <w:rFonts w:hint="eastAsia" w:ascii="仿宋_GB2312" w:eastAsia="仿宋_GB2312"/>
        </w:rPr>
        <w:t>第四节战略愿景</w:t>
      </w:r>
      <w:bookmarkEnd w:id="17"/>
      <w:bookmarkEnd w:id="18"/>
      <w:bookmarkEnd w:id="19"/>
    </w:p>
    <w:p>
      <w:pPr>
        <w:pStyle w:val="4"/>
        <w:spacing w:before="0" w:after="0" w:line="600" w:lineRule="exact"/>
        <w:ind w:firstLine="643" w:firstLineChars="200"/>
        <w:rPr>
          <w:rFonts w:ascii="Times New Roman" w:hAnsi="Times New Roman" w:eastAsia="仿宋_GB2312"/>
        </w:rPr>
      </w:pPr>
      <w:bookmarkStart w:id="20" w:name="_Toc65514256"/>
      <w:bookmarkStart w:id="21" w:name="_Toc18739"/>
      <w:bookmarkStart w:id="22" w:name="_Toc63015574"/>
      <w:r>
        <w:rPr>
          <w:rFonts w:hint="eastAsia" w:ascii="Times New Roman" w:eastAsia="仿宋_GB2312"/>
        </w:rPr>
        <w:t>一、</w:t>
      </w:r>
      <w:r>
        <w:rPr>
          <w:rFonts w:hint="eastAsia" w:ascii="Times New Roman" w:hAnsi="Times New Roman" w:eastAsia="仿宋_GB2312"/>
        </w:rPr>
        <w:t>二</w:t>
      </w:r>
      <w:r>
        <w:rPr>
          <w:rFonts w:hint="eastAsia" w:ascii="宋体" w:hAnsi="宋体" w:cs="宋体"/>
        </w:rPr>
        <w:t>〇</w:t>
      </w:r>
      <w:r>
        <w:rPr>
          <w:rFonts w:hint="eastAsia" w:ascii="Times New Roman" w:hAnsi="Times New Roman" w:eastAsia="仿宋_GB2312"/>
        </w:rPr>
        <w:t>三五</w:t>
      </w:r>
      <w:r>
        <w:rPr>
          <w:rFonts w:hint="eastAsia" w:ascii="Times New Roman" w:eastAsia="仿宋_GB2312"/>
        </w:rPr>
        <w:t>年远景目标</w:t>
      </w:r>
      <w:bookmarkEnd w:id="20"/>
      <w:bookmarkEnd w:id="21"/>
      <w:bookmarkEnd w:id="22"/>
    </w:p>
    <w:p>
      <w:pPr>
        <w:spacing w:line="600" w:lineRule="exact"/>
        <w:ind w:firstLine="640" w:firstLineChars="200"/>
        <w:rPr>
          <w:rFonts w:ascii="仿宋_GB2312" w:hAnsi="仿宋_GB2312" w:eastAsia="仿宋_GB2312"/>
          <w:sz w:val="32"/>
          <w:lang w:val="zh-CN"/>
        </w:rPr>
      </w:pPr>
      <w:r>
        <w:rPr>
          <w:rFonts w:hint="eastAsia" w:ascii="仿宋_GB2312" w:hAnsi="仿宋_GB2312" w:eastAsia="仿宋_GB2312" w:cs="仿宋_GB2312"/>
          <w:sz w:val="32"/>
          <w:szCs w:val="32"/>
          <w:shd w:val="clear" w:color="auto" w:fill="FFFFFF"/>
        </w:rPr>
        <w:t>展望二</w:t>
      </w:r>
      <w:r>
        <w:rPr>
          <w:rFonts w:hint="eastAsia" w:ascii="宋体" w:hAnsi="宋体" w:cs="宋体"/>
          <w:sz w:val="32"/>
          <w:szCs w:val="32"/>
          <w:shd w:val="clear" w:color="auto" w:fill="FFFFFF"/>
        </w:rPr>
        <w:t>〇</w:t>
      </w:r>
      <w:r>
        <w:rPr>
          <w:rFonts w:hint="eastAsia" w:ascii="仿宋_GB2312" w:hAnsi="仿宋_GB2312" w:eastAsia="仿宋_GB2312" w:cs="仿宋_GB2312"/>
          <w:sz w:val="32"/>
          <w:szCs w:val="32"/>
          <w:shd w:val="clear" w:color="auto" w:fill="FFFFFF"/>
        </w:rPr>
        <w:t>三五年，我县将紧紧围绕跨越发展、更加出彩，坚持“两个高质量”，基本建成</w:t>
      </w:r>
      <w:r>
        <w:rPr>
          <w:rFonts w:hint="eastAsia" w:ascii="仿宋_GB2312" w:hAnsi="仿宋_GB2312" w:eastAsia="仿宋_GB2312" w:cs="仿宋_GB2312"/>
          <w:b/>
          <w:sz w:val="32"/>
          <w:szCs w:val="32"/>
          <w:shd w:val="clear" w:color="auto" w:fill="FFFFFF"/>
        </w:rPr>
        <w:t>“四个西华、三个高地、一个食品加工智能装备产业园”</w:t>
      </w:r>
      <w:r>
        <w:rPr>
          <w:rFonts w:hint="eastAsia" w:ascii="仿宋_GB2312" w:hAnsi="仿宋_GB2312" w:eastAsia="仿宋_GB2312" w:cs="仿宋_GB2312"/>
          <w:sz w:val="32"/>
          <w:szCs w:val="32"/>
          <w:shd w:val="clear" w:color="auto" w:fill="FFFFFF"/>
        </w:rPr>
        <w:t>的现代化新西华。在以党建高质量推动发展高质量上，思想政治统领更加有力，根本建设、基础建设、长远建设作用更加彰显，学的氛围、严的氛围、干的氛围更加浓厚，扛牢主体责任，将党建引领践行新发展理念、融入新发展格局、推动高质量跨越发展的保证作用充分彰显。</w:t>
      </w:r>
      <w:r>
        <w:rPr>
          <w:rFonts w:hint="eastAsia" w:ascii="楷体_GB2312" w:hAnsi="仿宋_GB2312" w:eastAsia="楷体_GB2312" w:cs="仿宋_GB2312"/>
          <w:b/>
          <w:sz w:val="32"/>
          <w:szCs w:val="32"/>
          <w:shd w:val="clear" w:color="auto" w:fill="FFFFFF"/>
        </w:rPr>
        <w:t>在生态西华建设上，</w:t>
      </w:r>
      <w:r>
        <w:rPr>
          <w:rFonts w:hint="eastAsia" w:ascii="仿宋_GB2312" w:hAnsi="仿宋_GB2312" w:eastAsia="仿宋_GB2312" w:cs="仿宋_GB2312"/>
          <w:sz w:val="32"/>
          <w:szCs w:val="32"/>
          <w:shd w:val="clear" w:color="auto" w:fill="FFFFFF"/>
        </w:rPr>
        <w:t>绿色发展方式和生活方式基本形成，能源资源利用效率达到全国水平，生态环境实现根本性好转，生产空间安全高效，沙颍河生态经济带生态系统健康稳定，人与自然和谐共生，污染防治攻坚战取得决定性胜利。</w:t>
      </w:r>
      <w:r>
        <w:rPr>
          <w:rFonts w:hint="eastAsia" w:ascii="楷体_GB2312" w:hAnsi="仿宋_GB2312" w:eastAsia="楷体_GB2312" w:cs="仿宋_GB2312"/>
          <w:b/>
          <w:sz w:val="32"/>
          <w:szCs w:val="32"/>
          <w:shd w:val="clear" w:color="auto" w:fill="FFFFFF"/>
        </w:rPr>
        <w:t>在宜居西华建设上，</w:t>
      </w:r>
      <w:r>
        <w:rPr>
          <w:rFonts w:hint="eastAsia" w:ascii="仿宋_GB2312" w:hAnsi="仿宋_GB2312" w:eastAsia="仿宋_GB2312" w:cs="仿宋_GB2312"/>
          <w:sz w:val="32"/>
          <w:szCs w:val="32"/>
          <w:shd w:val="clear" w:color="auto" w:fill="FFFFFF"/>
        </w:rPr>
        <w:t>新型城镇化基本建成，乡村振兴目标基本实现，城镇现代文明向农村辐射，形成城乡互动、良性循环、相得益彰的发展格局。</w:t>
      </w:r>
      <w:r>
        <w:rPr>
          <w:rFonts w:hint="eastAsia" w:ascii="楷体_GB2312" w:hAnsi="仿宋_GB2312" w:eastAsia="楷体_GB2312" w:cs="仿宋_GB2312"/>
          <w:b/>
          <w:sz w:val="32"/>
          <w:szCs w:val="32"/>
          <w:shd w:val="clear" w:color="auto" w:fill="FFFFFF"/>
        </w:rPr>
        <w:t>在创业西华建设上，</w:t>
      </w:r>
      <w:r>
        <w:rPr>
          <w:rFonts w:hint="eastAsia" w:ascii="仿宋_GB2312" w:hAnsi="仿宋_GB2312" w:eastAsia="仿宋_GB2312" w:cs="仿宋_GB2312"/>
          <w:sz w:val="32"/>
          <w:szCs w:val="32"/>
          <w:shd w:val="clear" w:color="auto" w:fill="FFFFFF"/>
        </w:rPr>
        <w:t>聚焦市场主体，打造全市乃至全省最优的政务服务环境、公平公正法治环境、政治生态环境，让广大企业家在风清气正的发展环境中干事创业、做大做强。</w:t>
      </w:r>
      <w:r>
        <w:rPr>
          <w:rFonts w:hint="eastAsia" w:ascii="楷体_GB2312" w:hAnsi="仿宋_GB2312" w:eastAsia="楷体_GB2312" w:cs="仿宋_GB2312"/>
          <w:b/>
          <w:sz w:val="32"/>
          <w:szCs w:val="32"/>
          <w:shd w:val="clear" w:color="auto" w:fill="FFFFFF"/>
        </w:rPr>
        <w:t>在魅力西华建设上，</w:t>
      </w:r>
      <w:r>
        <w:rPr>
          <w:rFonts w:hint="eastAsia" w:ascii="仿宋_GB2312" w:hAnsi="仿宋_GB2312" w:eastAsia="仿宋_GB2312" w:cs="仿宋_GB2312"/>
          <w:sz w:val="32"/>
          <w:szCs w:val="32"/>
          <w:shd w:val="clear" w:color="auto" w:fill="FFFFFF"/>
        </w:rPr>
        <w:t>居民收入增长和经济增长基本同步，共同富裕取得更为明显的实质性进展，人民的基本需求满足感、就业创业成就感、生产生活安全感、人居环境舒适感和精神生活充实感大幅增强，人民生活更加美好。</w:t>
      </w:r>
      <w:r>
        <w:rPr>
          <w:rFonts w:hint="eastAsia" w:ascii="楷体_GB2312" w:hAnsi="仿宋_GB2312" w:eastAsia="楷体_GB2312" w:cs="仿宋_GB2312"/>
          <w:b/>
          <w:sz w:val="32"/>
          <w:szCs w:val="32"/>
          <w:shd w:val="clear" w:color="auto" w:fill="FFFFFF"/>
        </w:rPr>
        <w:t>在区域性创新高地建设上，</w:t>
      </w:r>
      <w:r>
        <w:rPr>
          <w:rFonts w:hint="eastAsia" w:ascii="仿宋_GB2312" w:hAnsi="仿宋_GB2312" w:eastAsia="仿宋_GB2312" w:cs="仿宋_GB2312"/>
          <w:sz w:val="32"/>
          <w:szCs w:val="32"/>
          <w:shd w:val="clear" w:color="auto" w:fill="FFFFFF"/>
        </w:rPr>
        <w:t>坚持以县委提出的一系列新发展理念为引领，以高质量发展为主题，积极融入新发展格局，进一步强化土壤污染防治技术研发、化肥减量技术研发等农业领域的创新，实施龙头企业创新能力提升工程</w:t>
      </w:r>
      <w:r>
        <w:rPr>
          <w:rFonts w:ascii="仿宋_GB2312" w:hAnsi="仿宋_GB2312" w:eastAsia="仿宋_GB2312" w:cs="仿宋_GB2312"/>
          <w:sz w:val="32"/>
          <w:szCs w:val="32"/>
          <w:shd w:val="clear" w:color="auto" w:fill="FFFFFF"/>
        </w:rPr>
        <w:t>,</w:t>
      </w:r>
      <w:r>
        <w:rPr>
          <w:rFonts w:hint="eastAsia" w:ascii="仿宋_GB2312" w:hAnsi="仿宋_GB2312" w:eastAsia="仿宋_GB2312" w:cs="仿宋_GB2312"/>
          <w:sz w:val="32"/>
          <w:szCs w:val="32"/>
          <w:shd w:val="clear" w:color="auto" w:fill="FFFFFF"/>
        </w:rPr>
        <w:t>着力培育一批核心技术能力突出、集成创新能力强的创新型领军企业</w:t>
      </w:r>
      <w:r>
        <w:rPr>
          <w:rFonts w:ascii="仿宋_GB2312" w:hAnsi="仿宋_GB2312" w:eastAsia="仿宋_GB2312" w:cs="仿宋_GB2312"/>
          <w:sz w:val="32"/>
          <w:szCs w:val="32"/>
          <w:shd w:val="clear" w:color="auto" w:fill="FFFFFF"/>
        </w:rPr>
        <w:t>,</w:t>
      </w:r>
      <w:r>
        <w:rPr>
          <w:rFonts w:hint="eastAsia" w:ascii="仿宋_GB2312" w:hAnsi="仿宋_GB2312" w:eastAsia="仿宋_GB2312" w:cs="仿宋_GB2312"/>
          <w:sz w:val="32"/>
          <w:szCs w:val="32"/>
          <w:shd w:val="clear" w:color="auto" w:fill="FFFFFF"/>
        </w:rPr>
        <w:t>推动企业优化升级。</w:t>
      </w:r>
      <w:r>
        <w:rPr>
          <w:rFonts w:hint="eastAsia" w:ascii="楷体_GB2312" w:hAnsi="仿宋_GB2312" w:eastAsia="楷体_GB2312" w:cs="仿宋_GB2312"/>
          <w:b/>
          <w:sz w:val="32"/>
          <w:szCs w:val="32"/>
          <w:shd w:val="clear" w:color="auto" w:fill="FFFFFF"/>
        </w:rPr>
        <w:t>在开放高地建设上，</w:t>
      </w:r>
      <w:r>
        <w:rPr>
          <w:rFonts w:hint="eastAsia" w:ascii="仿宋_GB2312" w:hAnsi="仿宋_GB2312" w:eastAsia="仿宋_GB2312" w:cs="仿宋_GB2312"/>
          <w:sz w:val="32"/>
          <w:szCs w:val="32"/>
          <w:shd w:val="clear" w:color="auto" w:fill="FFFFFF"/>
        </w:rPr>
        <w:t>充分发挥“水、陆、空、铁”多式联运大交通枢纽的区位优势，主动对接周口高铁经济带和沙颍河生态经济带，融入郑州一小时经济圈，周口中心城区一体化发展战略，扩大对外开放，承接优质产业产能转移，吸引产业、技术、人才、资金、项目等要素向西华聚集，增强我县发展活力。</w:t>
      </w:r>
      <w:r>
        <w:rPr>
          <w:rFonts w:hint="eastAsia" w:ascii="楷体_GB2312" w:hAnsi="仿宋_GB2312" w:eastAsia="楷体_GB2312" w:cs="仿宋_GB2312"/>
          <w:b/>
          <w:sz w:val="32"/>
          <w:szCs w:val="32"/>
          <w:shd w:val="clear" w:color="auto" w:fill="FFFFFF"/>
        </w:rPr>
        <w:t>在文化高地建设上，</w:t>
      </w:r>
      <w:r>
        <w:rPr>
          <w:rFonts w:hint="eastAsia" w:ascii="仿宋_GB2312" w:hAnsi="仿宋_GB2312" w:eastAsia="仿宋_GB2312" w:cs="仿宋_GB2312"/>
          <w:sz w:val="32"/>
          <w:szCs w:val="32"/>
          <w:shd w:val="clear" w:color="auto" w:fill="FFFFFF"/>
        </w:rPr>
        <w:t>深度挖掘以盘古寨、女娲城为代表的创世文化，以箕子台、商高宗陵为代表的殷商文化，以杜岗会师纪念馆、豫东特委旧址、国家计委经委和农业部五七干校旧址、周口第一个农村党支部（奉母岗张村党支部）旧址为代表的红色文化，以黄桥万亩桃园为代表的农业观光文化，统筹做好逍遥胡辣汤等非物质文化遗产保护传承工作，培育发展好杂技、戏曲等特色文化，打造河南杂技品牌。</w:t>
      </w:r>
      <w:r>
        <w:rPr>
          <w:rFonts w:hint="eastAsia" w:ascii="楷体_GB2312" w:hAnsi="仿宋_GB2312" w:eastAsia="楷体_GB2312" w:cs="仿宋_GB2312"/>
          <w:b/>
          <w:sz w:val="32"/>
          <w:szCs w:val="32"/>
          <w:shd w:val="clear" w:color="auto" w:fill="FFFFFF"/>
        </w:rPr>
        <w:t>在食品加工智能制造产业园区建设上，</w:t>
      </w:r>
      <w:r>
        <w:rPr>
          <w:rFonts w:hint="eastAsia" w:ascii="仿宋_GB2312" w:hAnsi="仿宋_GB2312" w:eastAsia="仿宋_GB2312" w:cs="仿宋_GB2312"/>
          <w:sz w:val="32"/>
          <w:szCs w:val="32"/>
          <w:shd w:val="clear" w:color="auto" w:fill="FFFFFF"/>
        </w:rPr>
        <w:t>以双汇食品肉鸡产业园、胡辣汤观光产业园、耕德电子智能手机制造产业园、无人系统智能制造产业园为重点，加快食品加工、智能装备产业发展，强化基础配套能力，拓展产业发展空间，积极招引相关产业的上下游生产商、配套商，建强补强、建齐完善产业链条，推动和促进食品加工智能制造系统产业健康、持续、快速发展，打造西华高质量发展新引擎。</w:t>
      </w:r>
    </w:p>
    <w:p>
      <w:pPr>
        <w:pStyle w:val="4"/>
        <w:spacing w:before="0" w:after="0" w:line="600" w:lineRule="exact"/>
        <w:ind w:firstLine="643" w:firstLineChars="200"/>
        <w:rPr>
          <w:rFonts w:ascii="Times New Roman" w:eastAsia="仿宋_GB2312"/>
        </w:rPr>
      </w:pPr>
      <w:bookmarkStart w:id="23" w:name="_Toc29840"/>
      <w:bookmarkStart w:id="24" w:name="_Toc63015575"/>
      <w:bookmarkStart w:id="25" w:name="_Toc65514257"/>
      <w:r>
        <w:rPr>
          <w:rFonts w:hint="eastAsia" w:ascii="Times New Roman" w:eastAsia="仿宋_GB2312"/>
        </w:rPr>
        <w:t>二、“十四五”时期主要目标</w:t>
      </w:r>
      <w:bookmarkEnd w:id="23"/>
      <w:bookmarkEnd w:id="24"/>
      <w:bookmarkEnd w:id="25"/>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lang w:val="zh-CN"/>
        </w:rPr>
        <w:t>锚定二</w:t>
      </w:r>
      <w:r>
        <w:rPr>
          <w:rFonts w:hint="eastAsia" w:ascii="宋体" w:hAnsi="宋体" w:cs="宋体"/>
          <w:sz w:val="32"/>
          <w:szCs w:val="32"/>
          <w:lang w:val="zh-CN"/>
        </w:rPr>
        <w:t>〇</w:t>
      </w:r>
      <w:r>
        <w:rPr>
          <w:rFonts w:hint="eastAsia" w:ascii="仿宋_GB2312" w:hAnsi="仿宋_GB2312" w:eastAsia="仿宋_GB2312" w:cs="仿宋_GB2312"/>
          <w:sz w:val="32"/>
          <w:szCs w:val="32"/>
          <w:lang w:val="zh-CN"/>
        </w:rPr>
        <w:t>三五年远景目标，综合考虑我县发展实际，今后五年全</w:t>
      </w:r>
      <w:r>
        <w:rPr>
          <w:rFonts w:hint="eastAsia" w:ascii="Times New Roman" w:hAnsi="Times New Roman" w:eastAsia="仿宋_GB2312"/>
          <w:sz w:val="32"/>
          <w:szCs w:val="32"/>
        </w:rPr>
        <w:t>县经济社会发展的总体目标是实现</w:t>
      </w:r>
      <w:r>
        <w:rPr>
          <w:rFonts w:hint="eastAsia" w:ascii="Times New Roman" w:hAnsi="Times New Roman" w:eastAsia="仿宋_GB2312"/>
          <w:b/>
          <w:sz w:val="32"/>
          <w:szCs w:val="32"/>
          <w:lang w:val="zh-CN"/>
        </w:rPr>
        <w:t>“四强、两优、三争先”</w:t>
      </w:r>
      <w:r>
        <w:rPr>
          <w:rFonts w:hint="eastAsia" w:ascii="Times New Roman" w:hAnsi="Times New Roman" w:eastAsia="仿宋_GB2312"/>
          <w:sz w:val="32"/>
          <w:szCs w:val="32"/>
          <w:lang w:val="zh-CN"/>
        </w:rPr>
        <w:t>。</w:t>
      </w:r>
      <w:r>
        <w:rPr>
          <w:rFonts w:hint="eastAsia" w:ascii="Times New Roman" w:hAnsi="Times New Roman" w:eastAsia="仿宋_GB2312"/>
          <w:sz w:val="32"/>
          <w:szCs w:val="32"/>
        </w:rPr>
        <w:t>其中，</w:t>
      </w:r>
      <w:r>
        <w:rPr>
          <w:rFonts w:hint="eastAsia" w:ascii="楷体_GB2312" w:hAnsi="Times New Roman" w:eastAsia="楷体_GB2312"/>
          <w:sz w:val="32"/>
          <w:szCs w:val="32"/>
        </w:rPr>
        <w:t>“四强”</w:t>
      </w:r>
      <w:r>
        <w:rPr>
          <w:rFonts w:hint="eastAsia" w:ascii="Times New Roman" w:hAnsi="Times New Roman" w:eastAsia="仿宋_GB2312"/>
          <w:sz w:val="32"/>
          <w:szCs w:val="32"/>
        </w:rPr>
        <w:t>，即县域经济综合竞争力进一步增强、创新驱动力进一步增强、对外开放合作水平进一步增强、人民幸福感进一步增强；</w:t>
      </w:r>
      <w:r>
        <w:rPr>
          <w:rFonts w:hint="eastAsia" w:ascii="楷体_GB2312" w:hAnsi="Times New Roman" w:eastAsia="楷体_GB2312"/>
          <w:sz w:val="32"/>
          <w:szCs w:val="32"/>
        </w:rPr>
        <w:t>“两优”</w:t>
      </w:r>
      <w:r>
        <w:rPr>
          <w:rFonts w:hint="eastAsia" w:ascii="Times New Roman" w:hAnsi="Times New Roman" w:eastAsia="仿宋_GB2312"/>
          <w:sz w:val="32"/>
          <w:szCs w:val="32"/>
        </w:rPr>
        <w:t>即城乡环境更优、营商环境更优；</w:t>
      </w:r>
      <w:r>
        <w:rPr>
          <w:rFonts w:hint="eastAsia" w:ascii="楷体_GB2312" w:hAnsi="Times New Roman" w:eastAsia="楷体_GB2312"/>
          <w:sz w:val="32"/>
          <w:szCs w:val="32"/>
        </w:rPr>
        <w:t>“三争先”</w:t>
      </w:r>
      <w:r>
        <w:rPr>
          <w:rFonts w:hint="eastAsia" w:ascii="Times New Roman" w:hAnsi="Times New Roman" w:eastAsia="仿宋_GB2312"/>
          <w:sz w:val="32"/>
          <w:szCs w:val="32"/>
        </w:rPr>
        <w:t>即在平原农区乡村振兴发展上奋勇争先、在制造业高质量发展上奋勇争先、在特色文化传承创新上奋勇争先，在“七个方面”出现新局面，主要指标跨入稳居全市前三位。</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形成现代产业体系新优势。</w:t>
      </w:r>
      <w:r>
        <w:rPr>
          <w:rFonts w:hint="eastAsia" w:ascii="Times New Roman" w:hAnsi="Times New Roman" w:eastAsia="仿宋_GB2312"/>
          <w:kern w:val="32"/>
          <w:sz w:val="32"/>
          <w:szCs w:val="32"/>
        </w:rPr>
        <w:t>以通航产业为特色、以两大百亿级先进制造业和现代服务业为支撑的现代化产业体系</w:t>
      </w:r>
      <w:r>
        <w:rPr>
          <w:rFonts w:hint="eastAsia" w:ascii="Times New Roman" w:hAnsi="Times New Roman" w:eastAsia="仿宋_GB2312"/>
          <w:sz w:val="32"/>
          <w:szCs w:val="32"/>
        </w:rPr>
        <w:t>初步形成，产业基础能力和产业链水平显著提升，培育形成一批有较强竞争力和影响力的优势产业集群。</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实现科技创新能力新突破。</w:t>
      </w:r>
      <w:r>
        <w:rPr>
          <w:rFonts w:hint="eastAsia" w:ascii="Times New Roman" w:hAnsi="Times New Roman" w:eastAsia="仿宋_GB2312"/>
          <w:sz w:val="32"/>
          <w:szCs w:val="32"/>
        </w:rPr>
        <w:t>研发创新投入强度较快上升，建成一批市级以上创新平台，区域性产业研发集聚、产业化发展集聚、创新产业孵化集聚、高层次人才集聚态势基本形成，主要创新指标位于全市前列，经济发展质量效益在全省的领先优势进一步扩大。</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呈现城乡融合新局面。</w:t>
      </w:r>
      <w:r>
        <w:rPr>
          <w:rFonts w:hint="eastAsia" w:ascii="Times New Roman" w:hAnsi="Times New Roman" w:eastAsia="仿宋_GB2312"/>
          <w:sz w:val="32"/>
          <w:szCs w:val="32"/>
        </w:rPr>
        <w:t>新型城镇化和乡村振兴工作扎实推进，中心城区进一步做大做强，乡镇实现品质提升、竞争力提升、人居环境提升，构建形成“一主一副、两轴三点”的城乡融合发展新格局。</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构建开放发展新格局。</w:t>
      </w:r>
      <w:r>
        <w:rPr>
          <w:rFonts w:hint="eastAsia" w:ascii="Times New Roman" w:hAnsi="Times New Roman" w:eastAsia="仿宋_GB2312"/>
          <w:sz w:val="32"/>
          <w:szCs w:val="32"/>
        </w:rPr>
        <w:t>深度融入“双循环”新发展格局，全面对接周口高铁经济带和沙颍河生态经济带，县域营商环境竞争力显著提升，全县利用省外和境外资金规模质量全面提高，各类开放平台的功能、承载能力进一步增强，在全市地位显著提高。</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取得绿色转型新成效。</w:t>
      </w:r>
      <w:r>
        <w:rPr>
          <w:rFonts w:hint="eastAsia" w:ascii="Times New Roman" w:hAnsi="Times New Roman" w:eastAsia="仿宋_GB2312"/>
          <w:sz w:val="32"/>
          <w:szCs w:val="32"/>
        </w:rPr>
        <w:t>生态保护建设取得新进展，环境保护、生态治理取得重大成果，生态环境质量持续改善，城乡人居环境显著优化，资源利用效率显著提高，绿色生产方式和生活方式加快形成，西华的天更蓝、地更绿、水更清、空气更清新。</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展现文化繁荣新景象。</w:t>
      </w:r>
      <w:r>
        <w:rPr>
          <w:rFonts w:hint="eastAsia" w:ascii="Times New Roman" w:hAnsi="Times New Roman" w:eastAsia="仿宋_GB2312"/>
          <w:sz w:val="32"/>
          <w:szCs w:val="32"/>
        </w:rPr>
        <w:t>深入开展，“到人民中去”“送欢乐下基层”“文艺支教”等文艺志愿服务品牌项目，社会主义核心价值观更加深入人心，全民素质和社会文明程度达到新高度，精神文化需求得到更好满足。文化事业和文化产业繁荣发展，建成“看得见文化、读得出历史、记得住乡愁”的魅力西华。</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迈上治理能力新台阶。</w:t>
      </w:r>
      <w:r>
        <w:rPr>
          <w:rFonts w:hint="eastAsia" w:ascii="Times New Roman" w:hAnsi="Times New Roman" w:eastAsia="仿宋_GB2312"/>
          <w:sz w:val="32"/>
          <w:szCs w:val="32"/>
        </w:rPr>
        <w:t>政府治理效能显著提高，法治西华、法治政府、法治社会一体化建设取得积极进展，社会治理体系和治理能力现代化建设取得显著成效，社会更加稳定和谐，法治建设满意度、人民群众安全感位居全市前列。</w:t>
      </w:r>
    </w:p>
    <w:p>
      <w:pPr>
        <w:spacing w:line="560" w:lineRule="exact"/>
        <w:ind w:firstLine="1124" w:firstLineChars="400"/>
        <w:jc w:val="center"/>
        <w:rPr>
          <w:rFonts w:ascii="宋体" w:cs="宋体"/>
          <w:b/>
          <w:sz w:val="28"/>
          <w:szCs w:val="28"/>
        </w:rPr>
      </w:pPr>
      <w:r>
        <w:rPr>
          <w:rFonts w:hint="eastAsia" w:ascii="宋体" w:hAnsi="宋体" w:cs="宋体"/>
          <w:b/>
          <w:sz w:val="28"/>
          <w:szCs w:val="28"/>
        </w:rPr>
        <w:t>表</w:t>
      </w:r>
      <w:r>
        <w:rPr>
          <w:rFonts w:ascii="Times New Roman" w:hAnsi="Times New Roman"/>
          <w:b/>
          <w:sz w:val="28"/>
          <w:szCs w:val="28"/>
        </w:rPr>
        <w:t xml:space="preserve">1  </w:t>
      </w:r>
      <w:r>
        <w:rPr>
          <w:rFonts w:hint="eastAsia" w:ascii="Times New Roman" w:hAnsi="Times New Roman"/>
          <w:b/>
          <w:sz w:val="28"/>
          <w:szCs w:val="28"/>
        </w:rPr>
        <w:t>西华县</w:t>
      </w:r>
      <w:r>
        <w:rPr>
          <w:rFonts w:ascii="Times New Roman" w:hAnsi="Times New Roman"/>
          <w:b/>
          <w:sz w:val="28"/>
          <w:szCs w:val="28"/>
        </w:rPr>
        <w:t>“</w:t>
      </w:r>
      <w:r>
        <w:rPr>
          <w:rFonts w:hint="eastAsia" w:ascii="宋体" w:hAnsi="宋体" w:cs="宋体"/>
          <w:b/>
          <w:sz w:val="28"/>
          <w:szCs w:val="28"/>
        </w:rPr>
        <w:t>十四五</w:t>
      </w:r>
      <w:r>
        <w:rPr>
          <w:rFonts w:ascii="Times New Roman" w:hAnsi="Times New Roman"/>
          <w:b/>
          <w:sz w:val="28"/>
          <w:szCs w:val="28"/>
        </w:rPr>
        <w:t>”</w:t>
      </w:r>
      <w:r>
        <w:rPr>
          <w:rFonts w:hint="eastAsia" w:ascii="宋体" w:hAnsi="宋体" w:cs="宋体"/>
          <w:b/>
          <w:sz w:val="28"/>
          <w:szCs w:val="28"/>
        </w:rPr>
        <w:t>经济社会发展主要指标</w:t>
      </w:r>
    </w:p>
    <w:tbl>
      <w:tblPr>
        <w:tblStyle w:val="11"/>
        <w:tblW w:w="5000" w:type="pct"/>
        <w:jc w:val="center"/>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Layout w:type="autofit"/>
        <w:tblCellMar>
          <w:top w:w="0" w:type="dxa"/>
          <w:left w:w="0" w:type="dxa"/>
          <w:bottom w:w="0" w:type="dxa"/>
          <w:right w:w="0" w:type="dxa"/>
        </w:tblCellMar>
      </w:tblPr>
      <w:tblGrid>
        <w:gridCol w:w="610"/>
        <w:gridCol w:w="4233"/>
        <w:gridCol w:w="1056"/>
        <w:gridCol w:w="920"/>
        <w:gridCol w:w="1200"/>
        <w:gridCol w:w="75"/>
        <w:gridCol w:w="666"/>
      </w:tblGrid>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37" w:hRule="atLeast"/>
          <w:tblHeader/>
          <w:jc w:val="center"/>
        </w:trPr>
        <w:tc>
          <w:tcPr>
            <w:tcW w:w="348" w:type="pct"/>
            <w:tcBorders>
              <w:top w:val="single" w:color="auto" w:sz="12" w:space="0"/>
            </w:tcBorders>
            <w:vAlign w:val="center"/>
          </w:tcPr>
          <w:p>
            <w:pPr>
              <w:jc w:val="center"/>
              <w:rPr>
                <w:rFonts w:ascii="Times New Roman" w:hAnsi="Times New Roman" w:eastAsia="黑体"/>
              </w:rPr>
            </w:pPr>
            <w:r>
              <w:rPr>
                <w:rFonts w:hint="eastAsia" w:ascii="Times New Roman" w:hAnsi="Times New Roman" w:eastAsia="黑体"/>
              </w:rPr>
              <w:t>序号</w:t>
            </w:r>
          </w:p>
        </w:tc>
        <w:tc>
          <w:tcPr>
            <w:tcW w:w="2416" w:type="pct"/>
            <w:tcBorders>
              <w:top w:val="single" w:color="auto" w:sz="12" w:space="0"/>
            </w:tcBorders>
            <w:vAlign w:val="center"/>
          </w:tcPr>
          <w:p>
            <w:pPr>
              <w:jc w:val="center"/>
              <w:rPr>
                <w:rFonts w:ascii="Times New Roman" w:hAnsi="Times New Roman" w:eastAsia="黑体"/>
              </w:rPr>
            </w:pPr>
            <w:r>
              <w:rPr>
                <w:rFonts w:hint="eastAsia" w:ascii="Times New Roman" w:hAnsi="Times New Roman" w:eastAsia="黑体"/>
              </w:rPr>
              <w:t>指标名称</w:t>
            </w:r>
          </w:p>
        </w:tc>
        <w:tc>
          <w:tcPr>
            <w:tcW w:w="603" w:type="pct"/>
            <w:tcBorders>
              <w:top w:val="single" w:color="auto" w:sz="12" w:space="0"/>
            </w:tcBorders>
            <w:vAlign w:val="center"/>
          </w:tcPr>
          <w:p>
            <w:pPr>
              <w:jc w:val="center"/>
              <w:rPr>
                <w:rFonts w:ascii="Times New Roman" w:hAnsi="Times New Roman" w:eastAsia="黑体"/>
              </w:rPr>
            </w:pPr>
            <w:r>
              <w:rPr>
                <w:rFonts w:ascii="Times New Roman" w:hAnsi="Times New Roman" w:eastAsia="黑体"/>
              </w:rPr>
              <w:t>2020</w:t>
            </w:r>
            <w:r>
              <w:rPr>
                <w:rFonts w:hint="eastAsia" w:ascii="Times New Roman" w:hAnsi="Times New Roman" w:eastAsia="黑体"/>
              </w:rPr>
              <w:t>年</w:t>
            </w:r>
          </w:p>
          <w:p>
            <w:pPr>
              <w:jc w:val="center"/>
              <w:rPr>
                <w:rFonts w:ascii="Times New Roman" w:hAnsi="Times New Roman" w:eastAsia="黑体"/>
              </w:rPr>
            </w:pPr>
            <w:r>
              <w:rPr>
                <w:rFonts w:hint="eastAsia" w:ascii="Times New Roman" w:hAnsi="Times New Roman" w:eastAsia="黑体"/>
              </w:rPr>
              <w:t>基数</w:t>
            </w:r>
          </w:p>
        </w:tc>
        <w:tc>
          <w:tcPr>
            <w:tcW w:w="525" w:type="pct"/>
            <w:tcBorders>
              <w:top w:val="single" w:color="auto" w:sz="12" w:space="0"/>
            </w:tcBorders>
            <w:vAlign w:val="center"/>
          </w:tcPr>
          <w:p>
            <w:pPr>
              <w:jc w:val="center"/>
              <w:rPr>
                <w:rFonts w:ascii="Times New Roman" w:hAnsi="Times New Roman" w:eastAsia="黑体"/>
              </w:rPr>
            </w:pPr>
            <w:r>
              <w:rPr>
                <w:rFonts w:ascii="Times New Roman" w:hAnsi="Times New Roman" w:eastAsia="黑体"/>
              </w:rPr>
              <w:t>2025</w:t>
            </w:r>
            <w:r>
              <w:rPr>
                <w:rFonts w:hint="eastAsia" w:ascii="Times New Roman" w:hAnsi="Times New Roman" w:eastAsia="黑体"/>
              </w:rPr>
              <w:t>年</w:t>
            </w:r>
          </w:p>
          <w:p>
            <w:pPr>
              <w:jc w:val="center"/>
              <w:rPr>
                <w:rFonts w:ascii="Times New Roman" w:hAnsi="Times New Roman" w:eastAsia="黑体"/>
              </w:rPr>
            </w:pPr>
            <w:r>
              <w:rPr>
                <w:rFonts w:hint="eastAsia" w:ascii="Times New Roman" w:hAnsi="Times New Roman" w:eastAsia="黑体"/>
              </w:rPr>
              <w:t>目标</w:t>
            </w:r>
          </w:p>
        </w:tc>
        <w:tc>
          <w:tcPr>
            <w:tcW w:w="685" w:type="pct"/>
            <w:tcBorders>
              <w:top w:val="single" w:color="auto" w:sz="12" w:space="0"/>
            </w:tcBorders>
            <w:vAlign w:val="center"/>
          </w:tcPr>
          <w:p>
            <w:pPr>
              <w:jc w:val="center"/>
              <w:rPr>
                <w:rFonts w:ascii="Times New Roman" w:hAnsi="Times New Roman" w:eastAsia="黑体"/>
              </w:rPr>
            </w:pPr>
            <w:r>
              <w:rPr>
                <w:rFonts w:hint="eastAsia" w:ascii="Times New Roman" w:hAnsi="Times New Roman" w:eastAsia="黑体"/>
              </w:rPr>
              <w:t>五年年均增长或累计</w:t>
            </w:r>
          </w:p>
        </w:tc>
        <w:tc>
          <w:tcPr>
            <w:tcW w:w="423" w:type="pct"/>
            <w:gridSpan w:val="2"/>
            <w:tcBorders>
              <w:top w:val="single" w:color="auto" w:sz="12" w:space="0"/>
            </w:tcBorders>
            <w:vAlign w:val="center"/>
          </w:tcPr>
          <w:p>
            <w:pPr>
              <w:jc w:val="center"/>
              <w:rPr>
                <w:rFonts w:ascii="Times New Roman" w:hAnsi="Times New Roman" w:eastAsia="黑体"/>
              </w:rPr>
            </w:pPr>
            <w:r>
              <w:rPr>
                <w:rFonts w:hint="eastAsia" w:ascii="Times New Roman" w:hAnsi="Times New Roman" w:eastAsia="黑体"/>
              </w:rPr>
              <w:t>属性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5000" w:type="pct"/>
            <w:gridSpan w:val="7"/>
            <w:vAlign w:val="center"/>
          </w:tcPr>
          <w:p>
            <w:pPr>
              <w:ind w:firstLine="105" w:firstLineChars="50"/>
              <w:rPr>
                <w:rFonts w:ascii="Times New Roman" w:hAnsi="Times New Roman"/>
              </w:rPr>
            </w:pPr>
            <w:r>
              <w:rPr>
                <w:rFonts w:hint="eastAsia" w:ascii="黑体" w:eastAsia="黑体"/>
              </w:rPr>
              <w:t>一、经济发展</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ascii="Times New Roman" w:hAnsi="Times New Roman"/>
              </w:rPr>
              <w:t>1</w:t>
            </w:r>
          </w:p>
        </w:tc>
        <w:tc>
          <w:tcPr>
            <w:tcW w:w="2416" w:type="pct"/>
            <w:vAlign w:val="center"/>
          </w:tcPr>
          <w:p>
            <w:pPr>
              <w:ind w:firstLine="52" w:firstLineChars="25"/>
              <w:jc w:val="left"/>
              <w:rPr>
                <w:rFonts w:ascii="Times New Roman" w:hAnsi="Times New Roman"/>
              </w:rPr>
            </w:pPr>
            <w:r>
              <w:rPr>
                <w:rFonts w:hint="eastAsia" w:ascii="Times New Roman"/>
              </w:rPr>
              <w:t>地区生产总值增速（</w:t>
            </w:r>
            <w:r>
              <w:rPr>
                <w:rFonts w:hint="eastAsia"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728" w:type="pct"/>
            <w:gridSpan w:val="2"/>
            <w:vAlign w:val="center"/>
          </w:tcPr>
          <w:p>
            <w:pPr>
              <w:jc w:val="center"/>
              <w:rPr>
                <w:rFonts w:ascii="Times New Roman" w:hAnsi="Times New Roman"/>
              </w:rPr>
            </w:pPr>
            <w:r>
              <w:rPr>
                <w:rFonts w:hint="eastAsia" w:ascii="Times New Roman" w:hAnsi="Times New Roman"/>
                <w:lang w:val="en-US" w:eastAsia="zh-CN"/>
              </w:rPr>
              <w:t>9</w:t>
            </w:r>
            <w:r>
              <w:rPr>
                <w:rFonts w:hint="eastAsia" w:ascii="Times New Roman" w:hAnsi="Times New Roman"/>
              </w:rPr>
              <w:t>以上</w:t>
            </w:r>
          </w:p>
        </w:tc>
        <w:tc>
          <w:tcPr>
            <w:tcW w:w="380" w:type="pct"/>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ascii="Times New Roman" w:hAnsi="Times New Roman"/>
              </w:rPr>
              <w:t>2</w:t>
            </w:r>
          </w:p>
        </w:tc>
        <w:tc>
          <w:tcPr>
            <w:tcW w:w="2416" w:type="pct"/>
            <w:vAlign w:val="center"/>
          </w:tcPr>
          <w:p>
            <w:pPr>
              <w:ind w:firstLine="52" w:firstLineChars="25"/>
              <w:jc w:val="left"/>
              <w:rPr>
                <w:rFonts w:ascii="Times New Roman"/>
              </w:rPr>
            </w:pPr>
            <w:r>
              <w:rPr>
                <w:rFonts w:hint="eastAsia" w:ascii="Times New Roman"/>
              </w:rPr>
              <w:t>固定资产投资增速（</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728" w:type="pct"/>
            <w:gridSpan w:val="2"/>
            <w:vAlign w:val="center"/>
          </w:tcPr>
          <w:p>
            <w:pPr>
              <w:jc w:val="center"/>
              <w:rPr>
                <w:rFonts w:ascii="Times New Roman" w:hAnsi="Times New Roman"/>
              </w:rPr>
            </w:pPr>
            <w:r>
              <w:rPr>
                <w:rFonts w:hint="eastAsia" w:ascii="Times New Roman" w:hAnsi="Times New Roman"/>
              </w:rPr>
              <w:t>10以上</w:t>
            </w:r>
          </w:p>
        </w:tc>
        <w:tc>
          <w:tcPr>
            <w:tcW w:w="380" w:type="pct"/>
            <w:vAlign w:val="center"/>
          </w:tcPr>
          <w:p>
            <w:pPr>
              <w:jc w:val="center"/>
              <w:rPr>
                <w:rFonts w:asci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3</w:t>
            </w:r>
          </w:p>
        </w:tc>
        <w:tc>
          <w:tcPr>
            <w:tcW w:w="2416" w:type="pct"/>
            <w:vAlign w:val="center"/>
          </w:tcPr>
          <w:p>
            <w:pPr>
              <w:ind w:firstLine="52" w:firstLineChars="25"/>
              <w:jc w:val="left"/>
              <w:rPr>
                <w:rFonts w:ascii="Times New Roman"/>
              </w:rPr>
            </w:pPr>
            <w:r>
              <w:rPr>
                <w:rFonts w:hint="eastAsia" w:ascii="Times New Roman"/>
              </w:rPr>
              <w:t>工业投资占比（%）</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728" w:type="pct"/>
            <w:gridSpan w:val="2"/>
            <w:vAlign w:val="center"/>
          </w:tcPr>
          <w:p>
            <w:pPr>
              <w:jc w:val="center"/>
              <w:rPr>
                <w:rFonts w:ascii="Times New Roman" w:hAnsi="Times New Roman"/>
              </w:rPr>
            </w:pPr>
            <w:r>
              <w:rPr>
                <w:rFonts w:hint="eastAsia" w:ascii="Times New Roman" w:hAnsi="Times New Roman"/>
              </w:rPr>
              <w:t>35以上</w:t>
            </w:r>
          </w:p>
        </w:tc>
        <w:tc>
          <w:tcPr>
            <w:tcW w:w="380" w:type="pct"/>
            <w:vAlign w:val="center"/>
          </w:tcPr>
          <w:p>
            <w:pPr>
              <w:jc w:val="center"/>
              <w:rPr>
                <w:rFonts w:ascii="Times New Roman"/>
              </w:rPr>
            </w:pP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4</w:t>
            </w:r>
          </w:p>
        </w:tc>
        <w:tc>
          <w:tcPr>
            <w:tcW w:w="2416" w:type="pct"/>
            <w:vAlign w:val="center"/>
          </w:tcPr>
          <w:p>
            <w:pPr>
              <w:ind w:firstLine="52" w:firstLineChars="25"/>
              <w:jc w:val="left"/>
              <w:rPr>
                <w:rFonts w:ascii="Times New Roman" w:hAnsi="Times New Roman"/>
              </w:rPr>
            </w:pPr>
            <w:r>
              <w:rPr>
                <w:rFonts w:hint="eastAsia" w:ascii="Times New Roman"/>
              </w:rPr>
              <w:t>全员劳动生产率增速（%）</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728" w:type="pct"/>
            <w:gridSpan w:val="2"/>
            <w:vAlign w:val="center"/>
          </w:tcPr>
          <w:p>
            <w:pPr>
              <w:jc w:val="center"/>
              <w:rPr>
                <w:rFonts w:ascii="Times New Roman" w:hAnsi="Times New Roman"/>
              </w:rPr>
            </w:pPr>
            <w:r>
              <w:rPr>
                <w:rFonts w:hint="eastAsia" w:ascii="Times New Roman" w:hAnsi="Times New Roman"/>
              </w:rPr>
              <w:t>5.5以上</w:t>
            </w:r>
          </w:p>
        </w:tc>
        <w:tc>
          <w:tcPr>
            <w:tcW w:w="380" w:type="pct"/>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5</w:t>
            </w:r>
          </w:p>
        </w:tc>
        <w:tc>
          <w:tcPr>
            <w:tcW w:w="2416" w:type="pct"/>
            <w:vAlign w:val="center"/>
          </w:tcPr>
          <w:p>
            <w:pPr>
              <w:ind w:firstLine="52" w:firstLineChars="25"/>
              <w:jc w:val="left"/>
              <w:rPr>
                <w:rFonts w:ascii="Times New Roman" w:hAnsi="Times New Roman"/>
              </w:rPr>
            </w:pPr>
            <w:r>
              <w:rPr>
                <w:rFonts w:hint="eastAsia" w:ascii="Times New Roman"/>
              </w:rPr>
              <w:t>常住人口城镇化率（</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39.7</w:t>
            </w:r>
          </w:p>
        </w:tc>
        <w:tc>
          <w:tcPr>
            <w:tcW w:w="525" w:type="pct"/>
            <w:vAlign w:val="center"/>
          </w:tcPr>
          <w:p>
            <w:pPr>
              <w:jc w:val="center"/>
              <w:rPr>
                <w:rFonts w:ascii="Times New Roman" w:hAnsi="Times New Roman"/>
              </w:rPr>
            </w:pPr>
            <w:r>
              <w:rPr>
                <w:rFonts w:hint="eastAsia" w:ascii="Times New Roman" w:hAnsi="Times New Roman"/>
              </w:rPr>
              <w:t>53</w:t>
            </w:r>
          </w:p>
        </w:tc>
        <w:tc>
          <w:tcPr>
            <w:tcW w:w="728" w:type="pct"/>
            <w:gridSpan w:val="2"/>
            <w:vAlign w:val="center"/>
          </w:tcPr>
          <w:p>
            <w:pPr>
              <w:jc w:val="center"/>
              <w:rPr>
                <w:rFonts w:ascii="Times New Roman" w:hAnsi="Times New Roman"/>
              </w:rPr>
            </w:pPr>
            <w:r>
              <w:rPr>
                <w:rFonts w:hint="eastAsia" w:ascii="Times New Roman" w:hAnsi="Times New Roman"/>
              </w:rPr>
              <w:t>10以上</w:t>
            </w:r>
          </w:p>
        </w:tc>
        <w:tc>
          <w:tcPr>
            <w:tcW w:w="380" w:type="pct"/>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6</w:t>
            </w:r>
          </w:p>
        </w:tc>
        <w:tc>
          <w:tcPr>
            <w:tcW w:w="2416" w:type="pct"/>
            <w:vAlign w:val="center"/>
          </w:tcPr>
          <w:p>
            <w:pPr>
              <w:ind w:firstLine="52" w:firstLineChars="25"/>
              <w:jc w:val="left"/>
              <w:rPr>
                <w:rFonts w:ascii="Times New Roman" w:hAnsi="Times New Roman"/>
              </w:rPr>
            </w:pPr>
            <w:r>
              <w:rPr>
                <w:rFonts w:hint="eastAsia" w:ascii="Times New Roman"/>
              </w:rPr>
              <w:t>社会消费品零售总额增长（</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728" w:type="pct"/>
            <w:gridSpan w:val="2"/>
            <w:vAlign w:val="center"/>
          </w:tcPr>
          <w:p>
            <w:pPr>
              <w:jc w:val="center"/>
              <w:rPr>
                <w:rFonts w:ascii="Times New Roman" w:hAnsi="Times New Roman"/>
              </w:rPr>
            </w:pPr>
            <w:r>
              <w:rPr>
                <w:rFonts w:hint="eastAsia" w:ascii="Times New Roman" w:hAnsi="Times New Roman"/>
              </w:rPr>
              <w:t>9.5</w:t>
            </w:r>
          </w:p>
        </w:tc>
        <w:tc>
          <w:tcPr>
            <w:tcW w:w="380" w:type="pct"/>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5000" w:type="pct"/>
            <w:gridSpan w:val="7"/>
            <w:vAlign w:val="center"/>
          </w:tcPr>
          <w:p>
            <w:pPr>
              <w:ind w:firstLine="105" w:firstLineChars="50"/>
              <w:rPr>
                <w:rFonts w:ascii="Times New Roman"/>
              </w:rPr>
            </w:pPr>
            <w:r>
              <w:rPr>
                <w:rFonts w:hint="eastAsia" w:ascii="黑体" w:eastAsia="黑体"/>
              </w:rPr>
              <w:t>二、创新驱动</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7</w:t>
            </w:r>
          </w:p>
        </w:tc>
        <w:tc>
          <w:tcPr>
            <w:tcW w:w="2416" w:type="pct"/>
            <w:vAlign w:val="center"/>
          </w:tcPr>
          <w:p>
            <w:pPr>
              <w:ind w:firstLine="52" w:firstLineChars="25"/>
              <w:jc w:val="left"/>
              <w:rPr>
                <w:rFonts w:ascii="Times New Roman" w:hAnsi="Times New Roman"/>
              </w:rPr>
            </w:pPr>
            <w:r>
              <w:rPr>
                <w:rFonts w:hint="eastAsia" w:ascii="Times New Roman"/>
              </w:rPr>
              <w:t>研发经费投入增长（</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685" w:type="pct"/>
            <w:vAlign w:val="center"/>
          </w:tcPr>
          <w:p>
            <w:pPr>
              <w:jc w:val="center"/>
              <w:rPr>
                <w:rFonts w:ascii="Times New Roman" w:hAnsi="Times New Roman"/>
                <w:highlight w:val="yellow"/>
              </w:rPr>
            </w:pPr>
            <w:r>
              <w:rPr>
                <w:rFonts w:hint="eastAsia" w:ascii="Times New Roman" w:hAnsi="Times New Roman"/>
              </w:rPr>
              <w:t>19左右</w:t>
            </w: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8</w:t>
            </w:r>
          </w:p>
        </w:tc>
        <w:tc>
          <w:tcPr>
            <w:tcW w:w="2416" w:type="pct"/>
            <w:vAlign w:val="center"/>
          </w:tcPr>
          <w:p>
            <w:pPr>
              <w:ind w:firstLine="52" w:firstLineChars="25"/>
              <w:jc w:val="left"/>
              <w:rPr>
                <w:rFonts w:ascii="Times New Roman" w:hAnsi="Times New Roman"/>
              </w:rPr>
            </w:pPr>
            <w:r>
              <w:rPr>
                <w:rFonts w:hint="eastAsia" w:ascii="Times New Roman"/>
              </w:rPr>
              <w:t>每万人拥有高价值发明专利数（件）</w:t>
            </w:r>
          </w:p>
        </w:tc>
        <w:tc>
          <w:tcPr>
            <w:tcW w:w="603" w:type="pct"/>
            <w:vAlign w:val="center"/>
          </w:tcPr>
          <w:p>
            <w:pPr>
              <w:jc w:val="center"/>
              <w:rPr>
                <w:rFonts w:ascii="Times New Roman" w:hAnsi="Times New Roman"/>
              </w:rPr>
            </w:pPr>
            <w:r>
              <w:rPr>
                <w:rFonts w:ascii="Times New Roman" w:hAnsi="Times New Roman"/>
              </w:rPr>
              <w:t>4.4</w:t>
            </w:r>
          </w:p>
        </w:tc>
        <w:tc>
          <w:tcPr>
            <w:tcW w:w="525" w:type="pct"/>
            <w:vAlign w:val="center"/>
          </w:tcPr>
          <w:p>
            <w:pPr>
              <w:jc w:val="center"/>
              <w:rPr>
                <w:rFonts w:ascii="Times New Roman" w:hAnsi="Times New Roman"/>
              </w:rPr>
            </w:pPr>
            <w:r>
              <w:rPr>
                <w:rFonts w:ascii="Times New Roman" w:hAnsi="Times New Roman"/>
              </w:rPr>
              <w:t>5.8</w:t>
            </w:r>
          </w:p>
        </w:tc>
        <w:tc>
          <w:tcPr>
            <w:tcW w:w="685" w:type="pct"/>
            <w:vAlign w:val="center"/>
          </w:tcPr>
          <w:p>
            <w:pPr>
              <w:jc w:val="center"/>
              <w:rPr>
                <w:rFonts w:ascii="Times New Roman" w:hAnsi="Times New Roman"/>
              </w:rPr>
            </w:pPr>
            <w:r>
              <w:rPr>
                <w:rFonts w:ascii="Times New Roman" w:hAnsi="Times New Roman"/>
              </w:rPr>
              <w:t>[</w:t>
            </w:r>
            <w:r>
              <w:rPr>
                <w:rFonts w:hint="eastAsia" w:ascii="Times New Roman" w:hAnsi="Times New Roman"/>
              </w:rPr>
              <w:t>1.4</w:t>
            </w:r>
            <w:r>
              <w:rPr>
                <w:rFonts w:ascii="Times New Roman" w:hAnsi="Times New Roman"/>
              </w:rPr>
              <w:t>]</w:t>
            </w: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692" w:hRule="exact"/>
          <w:jc w:val="center"/>
        </w:trPr>
        <w:tc>
          <w:tcPr>
            <w:tcW w:w="348" w:type="pct"/>
            <w:vAlign w:val="center"/>
          </w:tcPr>
          <w:p>
            <w:pPr>
              <w:jc w:val="center"/>
              <w:rPr>
                <w:rFonts w:ascii="Times New Roman" w:hAnsi="Times New Roman"/>
              </w:rPr>
            </w:pPr>
            <w:r>
              <w:rPr>
                <w:rFonts w:hint="eastAsia" w:ascii="Times New Roman" w:hAnsi="Times New Roman"/>
              </w:rPr>
              <w:t>9</w:t>
            </w:r>
          </w:p>
        </w:tc>
        <w:tc>
          <w:tcPr>
            <w:tcW w:w="2416" w:type="pct"/>
            <w:vAlign w:val="center"/>
          </w:tcPr>
          <w:p>
            <w:pPr>
              <w:ind w:firstLine="52" w:firstLineChars="25"/>
              <w:jc w:val="left"/>
              <w:rPr>
                <w:rFonts w:ascii="Times New Roman" w:hAnsi="Times New Roman"/>
              </w:rPr>
            </w:pPr>
            <w:r>
              <w:rPr>
                <w:rFonts w:hint="eastAsia" w:ascii="Times New Roman"/>
              </w:rPr>
              <w:t>数字经济核心产业增加值占地区生产总值比重（</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685" w:type="pct"/>
            <w:vAlign w:val="center"/>
          </w:tcPr>
          <w:p>
            <w:pPr>
              <w:jc w:val="center"/>
              <w:rPr>
                <w:rFonts w:ascii="Times New Roman" w:hAnsi="Times New Roman"/>
              </w:rPr>
            </w:pPr>
            <w:r>
              <w:rPr>
                <w:rFonts w:hint="eastAsia" w:ascii="Times New Roman" w:hAnsi="Times New Roman"/>
              </w:rPr>
              <w:t>[2.5]</w:t>
            </w: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5000" w:type="pct"/>
            <w:gridSpan w:val="7"/>
            <w:vAlign w:val="center"/>
          </w:tcPr>
          <w:p>
            <w:pPr>
              <w:ind w:firstLine="105" w:firstLineChars="50"/>
              <w:rPr>
                <w:rFonts w:ascii="Times New Roman"/>
              </w:rPr>
            </w:pPr>
            <w:r>
              <w:rPr>
                <w:rFonts w:hint="eastAsia" w:ascii="黑体" w:eastAsia="黑体"/>
              </w:rPr>
              <w:t>三、民生福祉</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618" w:hRule="exact"/>
          <w:jc w:val="center"/>
        </w:trPr>
        <w:tc>
          <w:tcPr>
            <w:tcW w:w="348" w:type="pct"/>
            <w:vAlign w:val="center"/>
          </w:tcPr>
          <w:p>
            <w:pPr>
              <w:jc w:val="center"/>
              <w:rPr>
                <w:rFonts w:ascii="Times New Roman" w:hAnsi="Times New Roman"/>
              </w:rPr>
            </w:pPr>
            <w:r>
              <w:rPr>
                <w:rFonts w:hint="eastAsia" w:ascii="Times New Roman" w:hAnsi="Times New Roman"/>
              </w:rPr>
              <w:t>10</w:t>
            </w:r>
          </w:p>
        </w:tc>
        <w:tc>
          <w:tcPr>
            <w:tcW w:w="2416" w:type="pct"/>
            <w:vAlign w:val="center"/>
          </w:tcPr>
          <w:p>
            <w:pPr>
              <w:ind w:firstLine="52" w:firstLineChars="25"/>
              <w:jc w:val="left"/>
              <w:rPr>
                <w:rFonts w:ascii="Times New Roman" w:hAnsi="Times New Roman"/>
              </w:rPr>
            </w:pPr>
            <w:r>
              <w:rPr>
                <w:rFonts w:hint="eastAsia" w:ascii="Times New Roman"/>
              </w:rPr>
              <w:t>人均可支配收入增长率（</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685" w:type="pct"/>
            <w:vAlign w:val="center"/>
          </w:tcPr>
          <w:p>
            <w:pPr>
              <w:jc w:val="center"/>
              <w:rPr>
                <w:rFonts w:ascii="Times New Roman" w:hAnsi="Times New Roman"/>
              </w:rPr>
            </w:pPr>
            <w:r>
              <w:rPr>
                <w:rFonts w:hint="eastAsia" w:ascii="Times New Roman" w:hAnsi="Times New Roman"/>
              </w:rPr>
              <w:t>与经济增长基本同步</w:t>
            </w: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11</w:t>
            </w:r>
          </w:p>
        </w:tc>
        <w:tc>
          <w:tcPr>
            <w:tcW w:w="2416" w:type="pct"/>
            <w:vAlign w:val="center"/>
          </w:tcPr>
          <w:p>
            <w:pPr>
              <w:ind w:firstLine="52" w:firstLineChars="25"/>
              <w:jc w:val="left"/>
              <w:rPr>
                <w:rFonts w:ascii="Times New Roman"/>
              </w:rPr>
            </w:pPr>
            <w:r>
              <w:rPr>
                <w:rFonts w:hint="eastAsia" w:ascii="Times New Roman"/>
              </w:rPr>
              <w:t>城镇新增就业人数（万人）</w:t>
            </w:r>
          </w:p>
        </w:tc>
        <w:tc>
          <w:tcPr>
            <w:tcW w:w="603" w:type="pct"/>
            <w:vAlign w:val="center"/>
          </w:tcPr>
          <w:p>
            <w:pPr>
              <w:jc w:val="center"/>
              <w:rPr>
                <w:rFonts w:ascii="Times New Roman"/>
              </w:rPr>
            </w:pPr>
            <w:r>
              <w:rPr>
                <w:rFonts w:ascii="Times New Roman"/>
              </w:rPr>
              <w:t>[</w:t>
            </w:r>
            <w:r>
              <w:rPr>
                <w:rFonts w:hint="eastAsia" w:ascii="Times New Roman"/>
              </w:rPr>
              <w:t>3.5</w:t>
            </w:r>
            <w:r>
              <w:rPr>
                <w:rFonts w:ascii="Times New Roman"/>
              </w:rPr>
              <w:t>]</w:t>
            </w:r>
          </w:p>
        </w:tc>
        <w:tc>
          <w:tcPr>
            <w:tcW w:w="525" w:type="pct"/>
            <w:vAlign w:val="center"/>
          </w:tcPr>
          <w:p>
            <w:pPr>
              <w:jc w:val="center"/>
              <w:rPr>
                <w:rFonts w:ascii="Times New Roman"/>
              </w:rPr>
            </w:pPr>
            <w:r>
              <w:rPr>
                <w:rFonts w:ascii="Times New Roman"/>
              </w:rPr>
              <w:t>[</w:t>
            </w:r>
            <w:r>
              <w:rPr>
                <w:rFonts w:hint="eastAsia" w:ascii="Times New Roman"/>
              </w:rPr>
              <w:t>4.0</w:t>
            </w:r>
            <w:r>
              <w:rPr>
                <w:rFonts w:ascii="Times New Roman"/>
              </w:rPr>
              <w:t>]</w:t>
            </w:r>
          </w:p>
        </w:tc>
        <w:tc>
          <w:tcPr>
            <w:tcW w:w="685" w:type="pct"/>
            <w:vAlign w:val="center"/>
          </w:tcPr>
          <w:p>
            <w:pPr>
              <w:jc w:val="center"/>
              <w:rPr>
                <w:rFonts w:ascii="Times New Roman"/>
              </w:rPr>
            </w:pPr>
            <w:r>
              <w:rPr>
                <w:rFonts w:hint="eastAsia" w:ascii="Times New Roman"/>
              </w:rPr>
              <w:t>—</w:t>
            </w: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12</w:t>
            </w:r>
          </w:p>
        </w:tc>
        <w:tc>
          <w:tcPr>
            <w:tcW w:w="2416" w:type="pct"/>
            <w:vAlign w:val="center"/>
          </w:tcPr>
          <w:p>
            <w:pPr>
              <w:ind w:firstLine="52" w:firstLineChars="25"/>
              <w:jc w:val="left"/>
              <w:rPr>
                <w:rFonts w:ascii="Times New Roman" w:hAnsi="Times New Roman"/>
              </w:rPr>
            </w:pPr>
            <w:r>
              <w:rPr>
                <w:rFonts w:hint="eastAsia" w:ascii="Times New Roman"/>
              </w:rPr>
              <w:t>城镇调查失业率（</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3.9</w:t>
            </w:r>
          </w:p>
        </w:tc>
        <w:tc>
          <w:tcPr>
            <w:tcW w:w="525" w:type="pct"/>
            <w:vAlign w:val="center"/>
          </w:tcPr>
          <w:p>
            <w:pPr>
              <w:jc w:val="center"/>
              <w:rPr>
                <w:rFonts w:ascii="Times New Roman" w:hAnsi="Times New Roman"/>
              </w:rPr>
            </w:pPr>
            <w:r>
              <w:rPr>
                <w:rFonts w:hint="eastAsia" w:ascii="Times New Roman" w:hAnsi="Times New Roman"/>
              </w:rPr>
              <w:t>3.8</w:t>
            </w:r>
          </w:p>
        </w:tc>
        <w:tc>
          <w:tcPr>
            <w:tcW w:w="685" w:type="pct"/>
            <w:vAlign w:val="center"/>
          </w:tcPr>
          <w:p>
            <w:pPr>
              <w:jc w:val="center"/>
              <w:rPr>
                <w:rFonts w:ascii="Times New Roman" w:hAnsi="Times New Roman"/>
              </w:rPr>
            </w:pPr>
            <w:r>
              <w:rPr>
                <w:rFonts w:hint="eastAsia" w:ascii="Times New Roman" w:hAnsi="Times New Roman"/>
              </w:rPr>
              <w:t>—</w:t>
            </w: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13</w:t>
            </w:r>
          </w:p>
        </w:tc>
        <w:tc>
          <w:tcPr>
            <w:tcW w:w="2416" w:type="pct"/>
            <w:vAlign w:val="center"/>
          </w:tcPr>
          <w:p>
            <w:pPr>
              <w:ind w:firstLine="52" w:firstLineChars="25"/>
              <w:jc w:val="left"/>
              <w:rPr>
                <w:rFonts w:ascii="Times New Roman" w:hAnsi="Times New Roman"/>
              </w:rPr>
            </w:pPr>
            <w:r>
              <w:rPr>
                <w:rFonts w:hint="eastAsia" w:ascii="Times New Roman"/>
              </w:rPr>
              <w:t>劳动年龄人口平均受教育年限（年）</w:t>
            </w:r>
          </w:p>
        </w:tc>
        <w:tc>
          <w:tcPr>
            <w:tcW w:w="603" w:type="pct"/>
            <w:vAlign w:val="center"/>
          </w:tcPr>
          <w:p>
            <w:pPr>
              <w:jc w:val="center"/>
              <w:rPr>
                <w:rFonts w:ascii="Times New Roman" w:hAnsi="Times New Roman"/>
              </w:rPr>
            </w:pPr>
            <w:r>
              <w:rPr>
                <w:rFonts w:ascii="Times New Roman" w:hAnsi="Times New Roman"/>
              </w:rPr>
              <w:t>11</w:t>
            </w:r>
          </w:p>
        </w:tc>
        <w:tc>
          <w:tcPr>
            <w:tcW w:w="525" w:type="pct"/>
            <w:vAlign w:val="center"/>
          </w:tcPr>
          <w:p>
            <w:pPr>
              <w:jc w:val="center"/>
              <w:rPr>
                <w:rFonts w:ascii="Times New Roman" w:hAnsi="Times New Roman"/>
              </w:rPr>
            </w:pPr>
            <w:r>
              <w:rPr>
                <w:rFonts w:ascii="Times New Roman" w:hAnsi="Times New Roman"/>
              </w:rPr>
              <w:t>12</w:t>
            </w:r>
          </w:p>
        </w:tc>
        <w:tc>
          <w:tcPr>
            <w:tcW w:w="685" w:type="pct"/>
            <w:vAlign w:val="center"/>
          </w:tcPr>
          <w:p>
            <w:pPr>
              <w:jc w:val="center"/>
              <w:rPr>
                <w:rFonts w:ascii="Times New Roman" w:hAnsi="Times New Roman"/>
              </w:rPr>
            </w:pPr>
            <w:r>
              <w:rPr>
                <w:rFonts w:hint="eastAsia" w:ascii="Times New Roman" w:hAnsi="Times New Roman"/>
              </w:rPr>
              <w:t>—</w:t>
            </w:r>
          </w:p>
        </w:tc>
        <w:tc>
          <w:tcPr>
            <w:tcW w:w="423" w:type="pct"/>
            <w:gridSpan w:val="2"/>
            <w:vAlign w:val="center"/>
          </w:tcPr>
          <w:p>
            <w:pPr>
              <w:jc w:val="center"/>
              <w:rPr>
                <w:rFonts w:ascii="Times New Roman" w:hAnsi="Times New Roman"/>
              </w:rPr>
            </w:pPr>
            <w:r>
              <w:rPr>
                <w:rFonts w:hint="eastAsia" w:ascii="Times New Roman"/>
              </w:rPr>
              <w:t>约束性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14</w:t>
            </w:r>
          </w:p>
        </w:tc>
        <w:tc>
          <w:tcPr>
            <w:tcW w:w="2416" w:type="pct"/>
            <w:vAlign w:val="center"/>
          </w:tcPr>
          <w:p>
            <w:pPr>
              <w:ind w:firstLine="52" w:firstLineChars="25"/>
              <w:jc w:val="left"/>
              <w:rPr>
                <w:rFonts w:ascii="Times New Roman" w:hAnsi="Times New Roman"/>
              </w:rPr>
            </w:pPr>
            <w:r>
              <w:rPr>
                <w:rFonts w:hint="eastAsia" w:ascii="Times New Roman"/>
              </w:rPr>
              <w:t>每千人拥有执业（助理）医师数（人）</w:t>
            </w:r>
          </w:p>
        </w:tc>
        <w:tc>
          <w:tcPr>
            <w:tcW w:w="603" w:type="pct"/>
            <w:vAlign w:val="center"/>
          </w:tcPr>
          <w:p>
            <w:pPr>
              <w:jc w:val="center"/>
              <w:rPr>
                <w:rFonts w:ascii="Times New Roman" w:hAnsi="Times New Roman"/>
              </w:rPr>
            </w:pPr>
            <w:r>
              <w:rPr>
                <w:rFonts w:ascii="Times New Roman" w:hAnsi="Times New Roman"/>
              </w:rPr>
              <w:t>2.1</w:t>
            </w:r>
          </w:p>
        </w:tc>
        <w:tc>
          <w:tcPr>
            <w:tcW w:w="525" w:type="pct"/>
            <w:vAlign w:val="center"/>
          </w:tcPr>
          <w:p>
            <w:pPr>
              <w:jc w:val="center"/>
              <w:rPr>
                <w:rFonts w:ascii="Times New Roman" w:hAnsi="Times New Roman"/>
              </w:rPr>
            </w:pPr>
            <w:r>
              <w:rPr>
                <w:rFonts w:ascii="Times New Roman" w:hAnsi="Times New Roman"/>
              </w:rPr>
              <w:t>2.5</w:t>
            </w:r>
          </w:p>
        </w:tc>
        <w:tc>
          <w:tcPr>
            <w:tcW w:w="685" w:type="pct"/>
            <w:vAlign w:val="center"/>
          </w:tcPr>
          <w:p>
            <w:pPr>
              <w:jc w:val="center"/>
              <w:rPr>
                <w:rFonts w:ascii="Times New Roman" w:hAnsi="Times New Roman"/>
              </w:rPr>
            </w:pPr>
            <w:r>
              <w:rPr>
                <w:rFonts w:hint="eastAsia" w:ascii="Times New Roman" w:hAnsi="Times New Roman"/>
              </w:rPr>
              <w:t>—</w:t>
            </w: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15</w:t>
            </w:r>
          </w:p>
        </w:tc>
        <w:tc>
          <w:tcPr>
            <w:tcW w:w="2416" w:type="pct"/>
            <w:vAlign w:val="center"/>
          </w:tcPr>
          <w:p>
            <w:pPr>
              <w:ind w:firstLine="52" w:firstLineChars="25"/>
              <w:jc w:val="left"/>
              <w:rPr>
                <w:rFonts w:ascii="Times New Roman" w:hAnsi="Times New Roman"/>
              </w:rPr>
            </w:pPr>
            <w:r>
              <w:rPr>
                <w:rFonts w:hint="eastAsia" w:ascii="Times New Roman"/>
              </w:rPr>
              <w:t>每千人注册护士数（人）</w:t>
            </w:r>
          </w:p>
        </w:tc>
        <w:tc>
          <w:tcPr>
            <w:tcW w:w="603" w:type="pct"/>
            <w:vAlign w:val="center"/>
          </w:tcPr>
          <w:p>
            <w:pPr>
              <w:jc w:val="center"/>
              <w:rPr>
                <w:rFonts w:ascii="Times New Roman" w:hAnsi="Times New Roman"/>
              </w:rPr>
            </w:pPr>
            <w:r>
              <w:rPr>
                <w:rFonts w:hint="eastAsia" w:ascii="Times New Roman" w:hAnsi="Times New Roman"/>
              </w:rPr>
              <w:t>3.0</w:t>
            </w:r>
          </w:p>
        </w:tc>
        <w:tc>
          <w:tcPr>
            <w:tcW w:w="525" w:type="pct"/>
            <w:vAlign w:val="center"/>
          </w:tcPr>
          <w:p>
            <w:pPr>
              <w:jc w:val="center"/>
              <w:rPr>
                <w:rFonts w:ascii="Times New Roman" w:hAnsi="Times New Roman"/>
              </w:rPr>
            </w:pPr>
            <w:r>
              <w:rPr>
                <w:rFonts w:hint="eastAsia" w:ascii="Times New Roman" w:hAnsi="Times New Roman"/>
              </w:rPr>
              <w:t>4.0</w:t>
            </w:r>
          </w:p>
        </w:tc>
        <w:tc>
          <w:tcPr>
            <w:tcW w:w="685" w:type="pct"/>
            <w:vAlign w:val="center"/>
          </w:tcPr>
          <w:p>
            <w:pPr>
              <w:jc w:val="center"/>
              <w:rPr>
                <w:rFonts w:ascii="Times New Roman" w:hAnsi="Times New Roman"/>
              </w:rPr>
            </w:pPr>
            <w:r>
              <w:rPr>
                <w:rFonts w:hint="eastAsia" w:ascii="Times New Roman" w:hAnsi="Times New Roman"/>
              </w:rPr>
              <w:t>—</w:t>
            </w: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16</w:t>
            </w:r>
          </w:p>
        </w:tc>
        <w:tc>
          <w:tcPr>
            <w:tcW w:w="2416" w:type="pct"/>
            <w:vAlign w:val="center"/>
          </w:tcPr>
          <w:p>
            <w:pPr>
              <w:ind w:firstLine="52" w:firstLineChars="25"/>
              <w:jc w:val="left"/>
              <w:rPr>
                <w:rFonts w:ascii="Times New Roman"/>
              </w:rPr>
            </w:pPr>
            <w:r>
              <w:rPr>
                <w:rFonts w:hint="eastAsia" w:ascii="Times New Roman"/>
              </w:rPr>
              <w:t>基本养老保险参保率</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＞96</w:t>
            </w:r>
          </w:p>
        </w:tc>
        <w:tc>
          <w:tcPr>
            <w:tcW w:w="685" w:type="pct"/>
            <w:vAlign w:val="center"/>
          </w:tcPr>
          <w:p>
            <w:pPr>
              <w:jc w:val="center"/>
              <w:rPr>
                <w:rFonts w:ascii="Times New Roman" w:hAnsi="Times New Roman"/>
              </w:rPr>
            </w:pP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17</w:t>
            </w:r>
          </w:p>
        </w:tc>
        <w:tc>
          <w:tcPr>
            <w:tcW w:w="2416" w:type="pct"/>
            <w:vAlign w:val="center"/>
          </w:tcPr>
          <w:p>
            <w:pPr>
              <w:ind w:firstLine="52" w:firstLineChars="25"/>
              <w:jc w:val="left"/>
              <w:rPr>
                <w:rFonts w:ascii="Times New Roman"/>
              </w:rPr>
            </w:pPr>
            <w:r>
              <w:rPr>
                <w:rFonts w:hint="eastAsia" w:ascii="Times New Roman"/>
              </w:rPr>
              <w:t>千人拥有</w:t>
            </w:r>
            <w:r>
              <w:rPr>
                <w:rFonts w:ascii="Times New Roman"/>
              </w:rPr>
              <w:t>3</w:t>
            </w:r>
            <w:r>
              <w:rPr>
                <w:rFonts w:hint="eastAsia" w:ascii="Times New Roman"/>
              </w:rPr>
              <w:t>岁以下婴幼儿拖位数（个）</w:t>
            </w:r>
          </w:p>
        </w:tc>
        <w:tc>
          <w:tcPr>
            <w:tcW w:w="603" w:type="pct"/>
            <w:vAlign w:val="center"/>
          </w:tcPr>
          <w:p>
            <w:pPr>
              <w:jc w:val="center"/>
              <w:rPr>
                <w:rFonts w:ascii="Times New Roman" w:hAnsi="Times New Roman"/>
              </w:rPr>
            </w:pPr>
            <w:r>
              <w:rPr>
                <w:rFonts w:hint="eastAsia" w:ascii="Times New Roman" w:hAnsi="Times New Roman"/>
              </w:rPr>
              <w:t>0.5</w:t>
            </w:r>
          </w:p>
        </w:tc>
        <w:tc>
          <w:tcPr>
            <w:tcW w:w="525" w:type="pct"/>
            <w:vAlign w:val="center"/>
          </w:tcPr>
          <w:p>
            <w:pPr>
              <w:jc w:val="center"/>
              <w:rPr>
                <w:rFonts w:ascii="Times New Roman" w:hAnsi="Times New Roman"/>
              </w:rPr>
            </w:pPr>
            <w:r>
              <w:rPr>
                <w:rFonts w:hint="eastAsia" w:ascii="Times New Roman" w:hAnsi="Times New Roman"/>
              </w:rPr>
              <w:t>4.0</w:t>
            </w:r>
          </w:p>
        </w:tc>
        <w:tc>
          <w:tcPr>
            <w:tcW w:w="685" w:type="pct"/>
            <w:vAlign w:val="center"/>
          </w:tcPr>
          <w:p>
            <w:pPr>
              <w:jc w:val="center"/>
              <w:rPr>
                <w:rFonts w:ascii="Times New Roman" w:hAnsi="Times New Roman"/>
              </w:rPr>
            </w:pP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18</w:t>
            </w:r>
          </w:p>
        </w:tc>
        <w:tc>
          <w:tcPr>
            <w:tcW w:w="2416" w:type="pct"/>
            <w:vAlign w:val="center"/>
          </w:tcPr>
          <w:p>
            <w:pPr>
              <w:ind w:firstLine="52" w:firstLineChars="25"/>
              <w:jc w:val="left"/>
              <w:rPr>
                <w:rFonts w:ascii="Times New Roman"/>
              </w:rPr>
            </w:pPr>
            <w:r>
              <w:rPr>
                <w:rFonts w:hint="eastAsia" w:ascii="Times New Roman"/>
              </w:rPr>
              <w:t>人均预期寿命（岁）</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685" w:type="pct"/>
            <w:vAlign w:val="center"/>
          </w:tcPr>
          <w:p>
            <w:pPr>
              <w:jc w:val="center"/>
              <w:rPr>
                <w:rFonts w:ascii="Times New Roman" w:hAnsi="Times New Roman"/>
              </w:rPr>
            </w:pPr>
            <w:r>
              <w:rPr>
                <w:rFonts w:hint="eastAsia" w:ascii="Times New Roman" w:hAnsi="Times New Roman"/>
              </w:rPr>
              <w:t>[1.0]</w:t>
            </w:r>
          </w:p>
        </w:tc>
        <w:tc>
          <w:tcPr>
            <w:tcW w:w="423" w:type="pct"/>
            <w:gridSpan w:val="2"/>
            <w:vAlign w:val="center"/>
          </w:tcPr>
          <w:p>
            <w:pPr>
              <w:jc w:val="center"/>
              <w:rPr>
                <w:rFonts w:ascii="Times New Roman" w:hAnsi="Times New Roman"/>
              </w:rPr>
            </w:pPr>
            <w:r>
              <w:rPr>
                <w:rFonts w:hint="eastAsia" w:ascii="Times New Roman"/>
              </w:rPr>
              <w:t>预期性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5000" w:type="pct"/>
            <w:gridSpan w:val="7"/>
            <w:vAlign w:val="center"/>
          </w:tcPr>
          <w:p>
            <w:pPr>
              <w:ind w:firstLine="105" w:firstLineChars="50"/>
              <w:rPr>
                <w:rFonts w:ascii="Times New Roman" w:hAnsi="Times New Roman"/>
              </w:rPr>
            </w:pPr>
            <w:r>
              <w:rPr>
                <w:rFonts w:hint="eastAsia" w:ascii="黑体" w:eastAsia="黑体"/>
              </w:rPr>
              <w:t>四、绿色生态</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19</w:t>
            </w:r>
          </w:p>
        </w:tc>
        <w:tc>
          <w:tcPr>
            <w:tcW w:w="2416" w:type="pct"/>
            <w:vAlign w:val="center"/>
          </w:tcPr>
          <w:p>
            <w:pPr>
              <w:ind w:firstLine="52" w:firstLineChars="25"/>
              <w:jc w:val="left"/>
              <w:rPr>
                <w:rFonts w:ascii="Times New Roman" w:hAnsi="Times New Roman"/>
              </w:rPr>
            </w:pPr>
            <w:r>
              <w:rPr>
                <w:rFonts w:hint="eastAsia" w:ascii="Times New Roman"/>
              </w:rPr>
              <w:t>单位</w:t>
            </w:r>
            <w:r>
              <w:rPr>
                <w:rFonts w:ascii="Times New Roman" w:hAnsi="Times New Roman"/>
              </w:rPr>
              <w:t>GDP</w:t>
            </w:r>
            <w:r>
              <w:rPr>
                <w:rFonts w:hint="eastAsia" w:ascii="Times New Roman"/>
              </w:rPr>
              <w:t>能源消耗降幅（</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sz w:val="18"/>
                <w:szCs w:val="18"/>
              </w:rPr>
            </w:pPr>
            <w:r>
              <w:rPr>
                <w:rFonts w:hint="eastAsia" w:ascii="Times New Roman" w:hAnsi="Times New Roman"/>
              </w:rPr>
              <w:t>—</w:t>
            </w:r>
          </w:p>
        </w:tc>
        <w:tc>
          <w:tcPr>
            <w:tcW w:w="685" w:type="pct"/>
            <w:vAlign w:val="center"/>
          </w:tcPr>
          <w:p>
            <w:pPr>
              <w:jc w:val="center"/>
              <w:rPr>
                <w:rFonts w:ascii="Times New Roman" w:hAnsi="Times New Roman"/>
              </w:rPr>
            </w:pPr>
            <w:r>
              <w:rPr>
                <w:rFonts w:hint="eastAsia" w:ascii="Times New Roman" w:hAnsi="Times New Roman"/>
                <w:sz w:val="18"/>
                <w:szCs w:val="18"/>
              </w:rPr>
              <w:t>完成市下达指标</w:t>
            </w:r>
          </w:p>
        </w:tc>
        <w:tc>
          <w:tcPr>
            <w:tcW w:w="423" w:type="pct"/>
            <w:gridSpan w:val="2"/>
            <w:vAlign w:val="center"/>
          </w:tcPr>
          <w:p>
            <w:pPr>
              <w:jc w:val="center"/>
              <w:rPr>
                <w:rFonts w:ascii="Times New Roman" w:hAnsi="Times New Roman"/>
              </w:rPr>
            </w:pPr>
            <w:r>
              <w:rPr>
                <w:rFonts w:hint="eastAsia" w:ascii="Times New Roman"/>
              </w:rPr>
              <w:t>约束性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20</w:t>
            </w:r>
          </w:p>
        </w:tc>
        <w:tc>
          <w:tcPr>
            <w:tcW w:w="2416" w:type="pct"/>
            <w:vAlign w:val="center"/>
          </w:tcPr>
          <w:p>
            <w:pPr>
              <w:ind w:firstLine="52" w:firstLineChars="25"/>
              <w:jc w:val="left"/>
              <w:rPr>
                <w:rFonts w:ascii="Times New Roman" w:hAnsi="Times New Roman"/>
              </w:rPr>
            </w:pPr>
            <w:r>
              <w:rPr>
                <w:rFonts w:hint="eastAsia" w:ascii="Times New Roman"/>
              </w:rPr>
              <w:t>单位</w:t>
            </w:r>
            <w:r>
              <w:rPr>
                <w:rFonts w:ascii="Times New Roman" w:hAnsi="Times New Roman"/>
              </w:rPr>
              <w:t>GDP</w:t>
            </w:r>
            <w:r>
              <w:rPr>
                <w:rFonts w:hint="eastAsia" w:ascii="Times New Roman"/>
              </w:rPr>
              <w:t>二氧化碳排放降幅（</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rPr>
              <w:t>—</w:t>
            </w:r>
          </w:p>
        </w:tc>
        <w:tc>
          <w:tcPr>
            <w:tcW w:w="685" w:type="pct"/>
            <w:vAlign w:val="center"/>
          </w:tcPr>
          <w:p>
            <w:pPr>
              <w:jc w:val="center"/>
              <w:rPr>
                <w:rFonts w:ascii="Times New Roman" w:hAnsi="Times New Roman"/>
              </w:rPr>
            </w:pPr>
            <w:r>
              <w:rPr>
                <w:rFonts w:hint="eastAsia" w:ascii="Times New Roman" w:hAnsi="Times New Roman"/>
                <w:sz w:val="18"/>
                <w:szCs w:val="18"/>
              </w:rPr>
              <w:t>完成下达指标</w:t>
            </w:r>
          </w:p>
        </w:tc>
        <w:tc>
          <w:tcPr>
            <w:tcW w:w="423" w:type="pct"/>
            <w:gridSpan w:val="2"/>
            <w:vAlign w:val="center"/>
          </w:tcPr>
          <w:p>
            <w:pPr>
              <w:jc w:val="center"/>
              <w:rPr>
                <w:rFonts w:ascii="Times New Roman" w:hAnsi="Times New Roman"/>
              </w:rPr>
            </w:pPr>
            <w:r>
              <w:rPr>
                <w:rFonts w:hint="eastAsia" w:ascii="Times New Roman"/>
              </w:rPr>
              <w:t>约束性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21</w:t>
            </w:r>
          </w:p>
        </w:tc>
        <w:tc>
          <w:tcPr>
            <w:tcW w:w="2416" w:type="pct"/>
            <w:vAlign w:val="center"/>
          </w:tcPr>
          <w:p>
            <w:pPr>
              <w:ind w:firstLine="52" w:firstLineChars="25"/>
              <w:jc w:val="left"/>
              <w:rPr>
                <w:rFonts w:ascii="Times New Roman" w:hAnsi="Times New Roman"/>
              </w:rPr>
            </w:pPr>
            <w:r>
              <w:rPr>
                <w:rFonts w:hint="eastAsia" w:ascii="Times New Roman" w:hAnsi="Times New Roman"/>
              </w:rPr>
              <w:t>空气优良天数比率</w:t>
            </w:r>
            <w:r>
              <w:rPr>
                <w:rFonts w:hint="eastAsia" w:ascii="Times New Roman"/>
              </w:rPr>
              <w:t>（</w:t>
            </w:r>
            <w:r>
              <w:rPr>
                <w:rFonts w:asci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sz w:val="18"/>
                <w:szCs w:val="18"/>
              </w:rPr>
            </w:pPr>
            <w:r>
              <w:rPr>
                <w:rFonts w:hint="eastAsia" w:ascii="Times New Roman" w:hAnsi="Times New Roman"/>
                <w:sz w:val="18"/>
                <w:szCs w:val="18"/>
              </w:rPr>
              <w:t>完成下达指标</w:t>
            </w:r>
          </w:p>
        </w:tc>
        <w:tc>
          <w:tcPr>
            <w:tcW w:w="685" w:type="pct"/>
            <w:vAlign w:val="center"/>
          </w:tcPr>
          <w:p>
            <w:pPr>
              <w:jc w:val="center"/>
              <w:rPr>
                <w:rFonts w:ascii="Times New Roman" w:hAnsi="Times New Roman"/>
              </w:rPr>
            </w:pPr>
          </w:p>
        </w:tc>
        <w:tc>
          <w:tcPr>
            <w:tcW w:w="423" w:type="pct"/>
            <w:gridSpan w:val="2"/>
            <w:vAlign w:val="center"/>
          </w:tcPr>
          <w:p>
            <w:pPr>
              <w:jc w:val="center"/>
              <w:rPr>
                <w:rFonts w:ascii="Times New Roman" w:hAnsi="Times New Roman"/>
              </w:rPr>
            </w:pPr>
            <w:r>
              <w:rPr>
                <w:rFonts w:hint="eastAsia" w:ascii="Times New Roman"/>
              </w:rPr>
              <w:t>约束性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22</w:t>
            </w:r>
          </w:p>
        </w:tc>
        <w:tc>
          <w:tcPr>
            <w:tcW w:w="2416" w:type="pct"/>
            <w:vAlign w:val="center"/>
          </w:tcPr>
          <w:p>
            <w:pPr>
              <w:ind w:firstLine="52" w:firstLineChars="25"/>
              <w:jc w:val="left"/>
              <w:rPr>
                <w:rFonts w:ascii="Times New Roman" w:hAnsi="Times New Roman"/>
              </w:rPr>
            </w:pPr>
            <w:r>
              <w:rPr>
                <w:rFonts w:hint="eastAsia" w:ascii="Times New Roman"/>
              </w:rPr>
              <w:t>达到或好于</w:t>
            </w:r>
            <w:r>
              <w:rPr>
                <w:rFonts w:hint="eastAsia" w:ascii="宋体" w:hAnsi="宋体" w:cs="宋体"/>
              </w:rPr>
              <w:t>Ⅲ</w:t>
            </w:r>
            <w:r>
              <w:rPr>
                <w:rFonts w:hint="eastAsia" w:ascii="Times New Roman"/>
              </w:rPr>
              <w:t>类水体占地表水比例（</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w:t>
            </w:r>
          </w:p>
        </w:tc>
        <w:tc>
          <w:tcPr>
            <w:tcW w:w="525" w:type="pct"/>
            <w:vAlign w:val="center"/>
          </w:tcPr>
          <w:p>
            <w:pPr>
              <w:jc w:val="center"/>
              <w:rPr>
                <w:rFonts w:ascii="Times New Roman" w:hAnsi="Times New Roman"/>
              </w:rPr>
            </w:pPr>
            <w:r>
              <w:rPr>
                <w:rFonts w:hint="eastAsia" w:ascii="Times New Roman" w:hAnsi="Times New Roman"/>
                <w:sz w:val="18"/>
                <w:szCs w:val="18"/>
              </w:rPr>
              <w:t>完成下达指标</w:t>
            </w:r>
          </w:p>
        </w:tc>
        <w:tc>
          <w:tcPr>
            <w:tcW w:w="685" w:type="pct"/>
            <w:vAlign w:val="center"/>
          </w:tcPr>
          <w:p>
            <w:pPr>
              <w:jc w:val="center"/>
              <w:rPr>
                <w:rFonts w:ascii="Times New Roman" w:hAnsi="Times New Roman"/>
              </w:rPr>
            </w:pPr>
          </w:p>
        </w:tc>
        <w:tc>
          <w:tcPr>
            <w:tcW w:w="423" w:type="pct"/>
            <w:gridSpan w:val="2"/>
            <w:vAlign w:val="center"/>
          </w:tcPr>
          <w:p>
            <w:pPr>
              <w:jc w:val="center"/>
              <w:rPr>
                <w:rFonts w:ascii="Times New Roman" w:hAnsi="Times New Roman"/>
              </w:rPr>
            </w:pPr>
            <w:r>
              <w:rPr>
                <w:rFonts w:hint="eastAsia" w:ascii="Times New Roman"/>
              </w:rPr>
              <w:t>约束性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vAlign w:val="center"/>
          </w:tcPr>
          <w:p>
            <w:pPr>
              <w:jc w:val="center"/>
              <w:rPr>
                <w:rFonts w:ascii="Times New Roman" w:hAnsi="Times New Roman"/>
              </w:rPr>
            </w:pPr>
            <w:r>
              <w:rPr>
                <w:rFonts w:hint="eastAsia" w:ascii="Times New Roman" w:hAnsi="Times New Roman"/>
              </w:rPr>
              <w:t>23</w:t>
            </w:r>
          </w:p>
        </w:tc>
        <w:tc>
          <w:tcPr>
            <w:tcW w:w="2416" w:type="pct"/>
            <w:vAlign w:val="center"/>
          </w:tcPr>
          <w:p>
            <w:pPr>
              <w:ind w:firstLine="52" w:firstLineChars="25"/>
              <w:jc w:val="left"/>
              <w:rPr>
                <w:rFonts w:ascii="Times New Roman" w:hAnsi="Times New Roman"/>
              </w:rPr>
            </w:pPr>
            <w:r>
              <w:rPr>
                <w:rFonts w:hint="eastAsia" w:ascii="Times New Roman"/>
              </w:rPr>
              <w:t>森林覆盖率（</w:t>
            </w:r>
            <w:r>
              <w:rPr>
                <w:rFonts w:ascii="Times New Roman" w:hAnsi="Times New Roman"/>
              </w:rPr>
              <w:t>%</w:t>
            </w:r>
            <w:r>
              <w:rPr>
                <w:rFonts w:hint="eastAsia" w:ascii="Times New Roman"/>
              </w:rPr>
              <w:t>）</w:t>
            </w:r>
          </w:p>
        </w:tc>
        <w:tc>
          <w:tcPr>
            <w:tcW w:w="603" w:type="pct"/>
            <w:vAlign w:val="center"/>
          </w:tcPr>
          <w:p>
            <w:pPr>
              <w:jc w:val="center"/>
              <w:rPr>
                <w:rFonts w:ascii="Times New Roman" w:hAnsi="Times New Roman"/>
              </w:rPr>
            </w:pPr>
            <w:r>
              <w:rPr>
                <w:rFonts w:hint="eastAsia" w:ascii="Times New Roman" w:hAnsi="Times New Roman"/>
              </w:rPr>
              <w:t>6.67</w:t>
            </w:r>
          </w:p>
        </w:tc>
        <w:tc>
          <w:tcPr>
            <w:tcW w:w="525" w:type="pct"/>
            <w:vAlign w:val="center"/>
          </w:tcPr>
          <w:p>
            <w:pPr>
              <w:jc w:val="center"/>
              <w:rPr>
                <w:rFonts w:ascii="Times New Roman" w:hAnsi="Times New Roman"/>
              </w:rPr>
            </w:pPr>
            <w:r>
              <w:rPr>
                <w:rFonts w:hint="eastAsia" w:ascii="Times New Roman" w:hAnsi="Times New Roman"/>
                <w:sz w:val="18"/>
                <w:szCs w:val="18"/>
              </w:rPr>
              <w:t>完成下达指</w:t>
            </w:r>
          </w:p>
        </w:tc>
        <w:tc>
          <w:tcPr>
            <w:tcW w:w="685" w:type="pct"/>
            <w:vAlign w:val="center"/>
          </w:tcPr>
          <w:p>
            <w:pPr>
              <w:jc w:val="center"/>
              <w:rPr>
                <w:rFonts w:ascii="Times New Roman" w:hAnsi="Times New Roman"/>
              </w:rPr>
            </w:pPr>
          </w:p>
        </w:tc>
        <w:tc>
          <w:tcPr>
            <w:tcW w:w="423" w:type="pct"/>
            <w:gridSpan w:val="2"/>
            <w:vAlign w:val="center"/>
          </w:tcPr>
          <w:p>
            <w:pPr>
              <w:jc w:val="center"/>
              <w:rPr>
                <w:rFonts w:ascii="Times New Roman" w:hAnsi="Times New Roman"/>
              </w:rPr>
            </w:pPr>
            <w:r>
              <w:rPr>
                <w:rFonts w:hint="eastAsia" w:ascii="Times New Roman"/>
              </w:rPr>
              <w:t>约束性</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5000" w:type="pct"/>
            <w:gridSpan w:val="7"/>
            <w:vAlign w:val="center"/>
          </w:tcPr>
          <w:p>
            <w:pPr>
              <w:ind w:firstLine="105" w:firstLineChars="50"/>
              <w:rPr>
                <w:rFonts w:ascii="Times New Roman"/>
              </w:rPr>
            </w:pPr>
            <w:r>
              <w:rPr>
                <w:rFonts w:hint="eastAsia" w:ascii="黑体" w:eastAsia="黑体"/>
              </w:rPr>
              <w:t>五、安全保障</w:t>
            </w:r>
          </w:p>
        </w:tc>
      </w:tr>
      <w:tr>
        <w:tblPrEx>
          <w:tblBorders>
            <w:top w:val="single" w:color="auto" w:sz="12" w:space="0"/>
            <w:left w:val="single" w:color="auto" w:sz="12" w:space="0"/>
            <w:bottom w:val="single" w:color="auto" w:sz="8" w:space="0"/>
            <w:right w:val="single" w:color="auto" w:sz="12" w:space="0"/>
            <w:insideH w:val="single" w:color="auto" w:sz="8" w:space="0"/>
            <w:insideV w:val="single" w:color="auto" w:sz="8" w:space="0"/>
          </w:tblBorders>
          <w:tblCellMar>
            <w:top w:w="0" w:type="dxa"/>
            <w:left w:w="0" w:type="dxa"/>
            <w:bottom w:w="0" w:type="dxa"/>
            <w:right w:w="0" w:type="dxa"/>
          </w:tblCellMar>
        </w:tblPrEx>
        <w:trPr>
          <w:cantSplit/>
          <w:trHeight w:val="397" w:hRule="exact"/>
          <w:jc w:val="center"/>
        </w:trPr>
        <w:tc>
          <w:tcPr>
            <w:tcW w:w="348" w:type="pct"/>
            <w:tcBorders>
              <w:bottom w:val="single" w:color="auto" w:sz="12" w:space="0"/>
            </w:tcBorders>
            <w:vAlign w:val="center"/>
          </w:tcPr>
          <w:p>
            <w:pPr>
              <w:jc w:val="center"/>
              <w:rPr>
                <w:rFonts w:ascii="Times New Roman" w:hAnsi="Times New Roman"/>
              </w:rPr>
            </w:pPr>
            <w:r>
              <w:rPr>
                <w:rFonts w:hint="eastAsia" w:ascii="Times New Roman" w:hAnsi="Times New Roman"/>
              </w:rPr>
              <w:t>24</w:t>
            </w:r>
          </w:p>
        </w:tc>
        <w:tc>
          <w:tcPr>
            <w:tcW w:w="2416" w:type="pct"/>
            <w:tcBorders>
              <w:bottom w:val="single" w:color="auto" w:sz="12" w:space="0"/>
            </w:tcBorders>
            <w:vAlign w:val="center"/>
          </w:tcPr>
          <w:p>
            <w:pPr>
              <w:ind w:firstLine="52" w:firstLineChars="25"/>
              <w:jc w:val="left"/>
              <w:rPr>
                <w:rFonts w:ascii="Times New Roman"/>
              </w:rPr>
            </w:pPr>
            <w:r>
              <w:rPr>
                <w:rFonts w:hint="eastAsia" w:ascii="Times New Roman"/>
              </w:rPr>
              <w:t>粮食综合生产能力（万吨）</w:t>
            </w:r>
          </w:p>
        </w:tc>
        <w:tc>
          <w:tcPr>
            <w:tcW w:w="603" w:type="pct"/>
            <w:tcBorders>
              <w:bottom w:val="single" w:color="auto" w:sz="12" w:space="0"/>
            </w:tcBorders>
            <w:vAlign w:val="center"/>
          </w:tcPr>
          <w:p>
            <w:pPr>
              <w:jc w:val="center"/>
              <w:rPr>
                <w:rFonts w:ascii="Times New Roman" w:hAnsi="Times New Roman"/>
              </w:rPr>
            </w:pPr>
            <w:r>
              <w:rPr>
                <w:rFonts w:ascii="Times New Roman" w:hAnsi="Times New Roman"/>
              </w:rPr>
              <w:t>85.7</w:t>
            </w:r>
          </w:p>
        </w:tc>
        <w:tc>
          <w:tcPr>
            <w:tcW w:w="525" w:type="pct"/>
            <w:tcBorders>
              <w:bottom w:val="single" w:color="auto" w:sz="12" w:space="0"/>
            </w:tcBorders>
            <w:vAlign w:val="center"/>
          </w:tcPr>
          <w:p>
            <w:pPr>
              <w:jc w:val="center"/>
              <w:rPr>
                <w:rFonts w:ascii="Times New Roman" w:hAnsi="Times New Roman"/>
              </w:rPr>
            </w:pPr>
            <w:r>
              <w:rPr>
                <w:rFonts w:hint="eastAsia" w:ascii="Times New Roman" w:hAnsi="Times New Roman"/>
              </w:rPr>
              <w:t>＞</w:t>
            </w:r>
            <w:r>
              <w:rPr>
                <w:rFonts w:ascii="Times New Roman" w:hAnsi="Times New Roman"/>
              </w:rPr>
              <w:t>85.7</w:t>
            </w:r>
          </w:p>
        </w:tc>
        <w:tc>
          <w:tcPr>
            <w:tcW w:w="685" w:type="pct"/>
            <w:tcBorders>
              <w:bottom w:val="single" w:color="auto" w:sz="12" w:space="0"/>
            </w:tcBorders>
            <w:vAlign w:val="center"/>
          </w:tcPr>
          <w:p>
            <w:pPr>
              <w:jc w:val="center"/>
              <w:rPr>
                <w:rFonts w:ascii="Times New Roman" w:hAnsi="Times New Roman"/>
              </w:rPr>
            </w:pPr>
          </w:p>
        </w:tc>
        <w:tc>
          <w:tcPr>
            <w:tcW w:w="423" w:type="pct"/>
            <w:gridSpan w:val="2"/>
            <w:tcBorders>
              <w:bottom w:val="single" w:color="auto" w:sz="12" w:space="0"/>
            </w:tcBorders>
            <w:vAlign w:val="center"/>
          </w:tcPr>
          <w:p>
            <w:pPr>
              <w:jc w:val="center"/>
              <w:rPr>
                <w:rFonts w:ascii="Times New Roman"/>
              </w:rPr>
            </w:pPr>
            <w:r>
              <w:rPr>
                <w:rFonts w:hint="eastAsia" w:ascii="Times New Roman"/>
              </w:rPr>
              <w:t>约束性</w:t>
            </w:r>
          </w:p>
        </w:tc>
      </w:tr>
    </w:tbl>
    <w:p>
      <w:pPr>
        <w:spacing w:beforeLines="25" w:line="240" w:lineRule="exact"/>
        <w:ind w:left="-735" w:leftChars="-350" w:firstLine="735" w:firstLineChars="350"/>
        <w:rPr>
          <w:rFonts w:ascii="Times New Roman" w:hAnsi="Times New Roman"/>
          <w:b/>
          <w:sz w:val="28"/>
          <w:szCs w:val="28"/>
        </w:rPr>
      </w:pPr>
      <w:r>
        <w:rPr>
          <w:rFonts w:hint="eastAsia" w:ascii="楷体_GB2312" w:hAnsi="黑体" w:eastAsia="楷体_GB2312"/>
        </w:rPr>
        <w:t>注：</w:t>
      </w:r>
      <w:r>
        <w:rPr>
          <w:rFonts w:ascii="Times New Roman" w:hAnsi="Times New Roman" w:eastAsia="楷体_GB2312"/>
        </w:rPr>
        <w:t>[ ]</w:t>
      </w:r>
      <w:r>
        <w:rPr>
          <w:rFonts w:hint="eastAsia" w:ascii="Times New Roman" w:hAnsi="Times New Roman" w:eastAsia="楷体_GB2312"/>
        </w:rPr>
        <w:t>为五年累计数。</w:t>
      </w:r>
    </w:p>
    <w:p>
      <w:pPr>
        <w:pStyle w:val="2"/>
        <w:spacing w:before="240" w:after="240" w:line="600" w:lineRule="exact"/>
        <w:jc w:val="center"/>
        <w:rPr>
          <w:rFonts w:ascii="黑体" w:hAnsi="黑体" w:eastAsia="黑体"/>
          <w:b w:val="0"/>
          <w:sz w:val="32"/>
          <w:szCs w:val="32"/>
        </w:rPr>
      </w:pPr>
      <w:bookmarkStart w:id="26" w:name="_Toc58193180"/>
      <w:bookmarkStart w:id="27" w:name="_Toc11436"/>
      <w:bookmarkStart w:id="28" w:name="_Toc65514258"/>
      <w:r>
        <w:rPr>
          <w:rFonts w:hint="eastAsia" w:ascii="黑体" w:hAnsi="黑体" w:eastAsia="黑体"/>
          <w:b w:val="0"/>
          <w:sz w:val="32"/>
          <w:szCs w:val="32"/>
        </w:rPr>
        <w:t>第三章</w:t>
      </w:r>
      <w:r>
        <w:rPr>
          <w:rFonts w:hint="eastAsia" w:ascii="黑体" w:hAnsi="黑体" w:eastAsia="黑体"/>
          <w:b w:val="0"/>
          <w:bCs/>
          <w:sz w:val="32"/>
          <w:szCs w:val="32"/>
        </w:rPr>
        <w:t>加速新旧动能转化，</w:t>
      </w:r>
      <w:bookmarkEnd w:id="26"/>
      <w:r>
        <w:rPr>
          <w:rFonts w:hint="eastAsia" w:ascii="黑体" w:hAnsi="黑体" w:eastAsia="黑体"/>
          <w:b w:val="0"/>
          <w:bCs/>
          <w:sz w:val="32"/>
          <w:szCs w:val="32"/>
        </w:rPr>
        <w:t>打造豫皖省际区域创新高地</w:t>
      </w:r>
      <w:bookmarkEnd w:id="27"/>
      <w:bookmarkEnd w:id="28"/>
    </w:p>
    <w:p>
      <w:pPr>
        <w:spacing w:line="600" w:lineRule="exact"/>
        <w:ind w:firstLine="640" w:firstLineChars="200"/>
        <w:rPr>
          <w:rFonts w:ascii="仿宋_GB2312" w:hAnsi="Times New Roman" w:eastAsia="仿宋_GB2312"/>
          <w:sz w:val="32"/>
          <w:szCs w:val="32"/>
        </w:rPr>
      </w:pPr>
      <w:r>
        <w:rPr>
          <w:rFonts w:hint="eastAsia" w:ascii="Times New Roman" w:hAnsi="Times New Roman" w:eastAsia="仿宋_GB2312"/>
          <w:sz w:val="32"/>
          <w:szCs w:val="32"/>
        </w:rPr>
        <w:t>深入实施创新驱动发展战略，强化产业链、创新链深度融合，全面提升创新资源集聚能力和创新成果转化能力，加快形成以创新为引领和支撑的发展模式，让创新成为西华发展的“代名词”。</w:t>
      </w:r>
    </w:p>
    <w:p>
      <w:pPr>
        <w:pStyle w:val="3"/>
        <w:spacing w:before="120" w:after="120" w:line="600" w:lineRule="exact"/>
        <w:jc w:val="center"/>
        <w:rPr>
          <w:rFonts w:ascii="仿宋_GB2312" w:eastAsia="仿宋_GB2312"/>
        </w:rPr>
      </w:pPr>
      <w:bookmarkStart w:id="29" w:name="_Toc4273"/>
      <w:bookmarkStart w:id="30" w:name="_Toc65514259"/>
      <w:bookmarkStart w:id="31" w:name="_Toc58193181"/>
      <w:r>
        <w:rPr>
          <w:rFonts w:hint="eastAsia" w:ascii="仿宋_GB2312" w:eastAsia="仿宋_GB2312"/>
        </w:rPr>
        <w:t>第一节 强化农业科技创新</w:t>
      </w:r>
      <w:bookmarkEnd w:id="29"/>
      <w:bookmarkEnd w:id="30"/>
      <w:bookmarkEnd w:id="31"/>
    </w:p>
    <w:p>
      <w:pPr>
        <w:spacing w:line="600" w:lineRule="exact"/>
        <w:ind w:firstLine="640" w:firstLineChars="200"/>
        <w:rPr>
          <w:rFonts w:ascii="仿宋_GB2312" w:hAnsi="Times New Roman" w:eastAsia="仿宋_GB2312"/>
          <w:sz w:val="32"/>
          <w:szCs w:val="32"/>
        </w:rPr>
      </w:pPr>
      <w:r>
        <w:rPr>
          <w:rFonts w:hint="eastAsia" w:ascii="Times New Roman" w:hAnsi="Times New Roman" w:eastAsia="仿宋_GB2312"/>
          <w:sz w:val="32"/>
          <w:szCs w:val="32"/>
        </w:rPr>
        <w:t>深入实施农业重大科技创新工程，联合科研院所、高等院校，整合农技推广部门、农技协会等农业科研资源，加强农业科研力量建设，加快建设一批现代农业科技示范园区。依托西华农作物育种领域优势，建好用好县农场、园艺场、农科所等农业科技平台，加强良种繁育，在提升农作物品质上贡献西华力量。依托临空经济区和高端智能装备产业园建设，加快农业高效节水节肥技术研发和农机装备智能化发展，推广植保无人机专业服务。以西华独具特点的生物科技为基点，大力推广聚谷氨酸水溶化肥，着力土壤修复治理新产业，借鉴工业质量管控体系理念嫁接传统农业生产，全力探索实践“过程农业”新模式，持续叫响全国过程农业第一县品牌。</w:t>
      </w:r>
    </w:p>
    <w:p>
      <w:pPr>
        <w:pStyle w:val="3"/>
        <w:spacing w:before="120" w:after="120" w:line="600" w:lineRule="exact"/>
        <w:jc w:val="center"/>
        <w:rPr>
          <w:rFonts w:ascii="仿宋_GB2312" w:eastAsia="仿宋_GB2312"/>
        </w:rPr>
      </w:pPr>
      <w:bookmarkStart w:id="32" w:name="_Toc65514260"/>
      <w:r>
        <w:rPr>
          <w:rFonts w:hint="eastAsia" w:ascii="仿宋_GB2312" w:eastAsia="仿宋_GB2312"/>
        </w:rPr>
        <w:t>第二节 加强创新载体平台建设</w:t>
      </w:r>
      <w:bookmarkEnd w:id="32"/>
    </w:p>
    <w:p>
      <w:pPr>
        <w:spacing w:line="600" w:lineRule="exact"/>
        <w:ind w:firstLine="640" w:firstLineChars="200"/>
        <w:rPr>
          <w:rFonts w:ascii="Times New Roman" w:hAnsi="Times New Roman" w:eastAsia="仿宋_GB2312"/>
          <w:sz w:val="32"/>
          <w:szCs w:val="32"/>
        </w:rPr>
      </w:pPr>
      <w:r>
        <w:rPr>
          <w:rFonts w:hint="eastAsia" w:ascii="仿宋_GB2312" w:hAnsi="仿宋" w:eastAsia="仿宋_GB2312" w:cs="仿宋"/>
          <w:sz w:val="32"/>
          <w:szCs w:val="32"/>
        </w:rPr>
        <w:t>加强科技基础设施建设，</w:t>
      </w:r>
      <w:r>
        <w:rPr>
          <w:rFonts w:hint="eastAsia" w:eastAsia="仿宋_GB2312"/>
          <w:kern w:val="0"/>
          <w:sz w:val="32"/>
          <w:szCs w:val="32"/>
        </w:rPr>
        <w:t>完善创新载体平台体系，</w:t>
      </w:r>
      <w:r>
        <w:rPr>
          <w:rFonts w:hint="eastAsia" w:ascii="仿宋_GB2312" w:hAnsi="仿宋" w:eastAsia="仿宋_GB2312" w:cs="仿宋"/>
          <w:sz w:val="32"/>
          <w:szCs w:val="32"/>
        </w:rPr>
        <w:t>增强创新资源要素集聚能力</w:t>
      </w:r>
      <w:r>
        <w:rPr>
          <w:rFonts w:hint="eastAsia" w:ascii="仿宋_GB2312" w:hAnsi="仿宋_GB2312" w:eastAsia="仿宋_GB2312" w:cs="仿宋_GB2312"/>
          <w:sz w:val="32"/>
          <w:szCs w:val="32"/>
        </w:rPr>
        <w:t>，</w:t>
      </w:r>
      <w:r>
        <w:rPr>
          <w:rFonts w:hint="eastAsia" w:ascii="Times New Roman" w:hAnsi="Times New Roman" w:eastAsia="仿宋_GB2312"/>
          <w:sz w:val="32"/>
          <w:szCs w:val="32"/>
        </w:rPr>
        <w:t>彰显周口在中西部创新高地建设上西华担当</w:t>
      </w:r>
      <w:r>
        <w:rPr>
          <w:rFonts w:hint="eastAsia" w:ascii="仿宋_GB2312" w:hAnsi="仿宋" w:eastAsia="仿宋_GB2312" w:cs="仿宋"/>
          <w:sz w:val="32"/>
          <w:szCs w:val="32"/>
        </w:rPr>
        <w:t>。</w:t>
      </w:r>
    </w:p>
    <w:p>
      <w:pPr>
        <w:spacing w:line="600" w:lineRule="exact"/>
        <w:ind w:firstLine="643" w:firstLineChars="200"/>
        <w:rPr>
          <w:rFonts w:ascii="Times New Roman" w:hAnsi="Times New Roman" w:eastAsia="仿宋_GB2312"/>
          <w:sz w:val="32"/>
          <w:szCs w:val="32"/>
        </w:rPr>
      </w:pPr>
      <w:r>
        <w:rPr>
          <w:rFonts w:hint="eastAsia" w:eastAsia="仿宋_GB2312"/>
          <w:b/>
          <w:bCs/>
          <w:sz w:val="32"/>
          <w:szCs w:val="32"/>
        </w:rPr>
        <w:t>开展“科技基础设施建设行动”。</w:t>
      </w:r>
      <w:r>
        <w:rPr>
          <w:rFonts w:hint="eastAsia" w:ascii="Times New Roman" w:hAnsi="Times New Roman" w:eastAsia="仿宋_GB2312"/>
          <w:sz w:val="32"/>
          <w:szCs w:val="32"/>
        </w:rPr>
        <w:t>全面启动实施科技重大专项，加强自主创新能力提升。围绕落实国家科技创新重大战略部署，结合河南省科技型企业成长计划，</w:t>
      </w:r>
      <w:r>
        <w:rPr>
          <w:rFonts w:hint="eastAsia" w:ascii="仿宋_GB2312" w:hAnsi="仿宋_GB2312" w:eastAsia="仿宋_GB2312" w:cs="仿宋_GB2312"/>
          <w:sz w:val="32"/>
          <w:szCs w:val="32"/>
        </w:rPr>
        <w:t>抢抓国家和省优化区域创新资源布局机遇，</w:t>
      </w:r>
      <w:r>
        <w:rPr>
          <w:rFonts w:hint="eastAsia" w:ascii="Times New Roman" w:hAnsi="Times New Roman" w:eastAsia="仿宋_GB2312"/>
          <w:sz w:val="32"/>
          <w:szCs w:val="32"/>
        </w:rPr>
        <w:t>聚焦西华县经济社会发展重大战略目标和需求，大力聚集科技创新资源，集中力量办大事，积极争取国家级和省级实验室、院士工作站、重大科技基础设施、综合性产业创新中心等平台布局，加强与中科院系统、省科学院、省农科院等大院大所的合作，积极争取在西华设立分院级研发机构，全面提升相关产业的自主创新能力和核心竞争力，突破一批关键核心技术，培育一批具有核心竞争力的自主品牌。</w:t>
      </w:r>
    </w:p>
    <w:p>
      <w:pPr>
        <w:spacing w:line="600" w:lineRule="exact"/>
        <w:ind w:firstLine="643" w:firstLineChars="200"/>
        <w:rPr>
          <w:rFonts w:ascii="Times New Roman" w:hAnsi="Times New Roman" w:eastAsia="仿宋_GB2312"/>
          <w:sz w:val="32"/>
          <w:szCs w:val="32"/>
        </w:rPr>
      </w:pPr>
      <w:r>
        <w:rPr>
          <w:rFonts w:hint="eastAsia" w:eastAsia="仿宋_GB2312"/>
          <w:b/>
          <w:bCs/>
          <w:sz w:val="32"/>
          <w:szCs w:val="32"/>
        </w:rPr>
        <w:t>开展“双创综合体建设行动”。</w:t>
      </w:r>
      <w:r>
        <w:rPr>
          <w:rFonts w:hint="eastAsia" w:ascii="Times New Roman" w:hAnsi="Times New Roman" w:eastAsia="仿宋_GB2312"/>
          <w:sz w:val="32"/>
          <w:szCs w:val="32"/>
        </w:rPr>
        <w:t>统筹科技创新和产业优化升级，建立以企业为主体、市场为导向、政产学研金深度融合的技术创新体系，整合建设集科技企业孵化、创新研发、成果转化、科技服务等功能集成的“双创”综合体。</w:t>
      </w:r>
      <w:r>
        <w:rPr>
          <w:rFonts w:hint="eastAsia" w:ascii="Times New Roman" w:eastAsia="仿宋_GB2312"/>
          <w:kern w:val="0"/>
          <w:sz w:val="32"/>
          <w:szCs w:val="32"/>
        </w:rPr>
        <w:t>按照“科研</w:t>
      </w:r>
      <w:r>
        <w:rPr>
          <w:rFonts w:ascii="Times New Roman" w:eastAsia="仿宋_GB2312"/>
          <w:kern w:val="0"/>
          <w:sz w:val="32"/>
          <w:szCs w:val="32"/>
        </w:rPr>
        <w:t>+</w:t>
      </w:r>
      <w:r>
        <w:rPr>
          <w:rFonts w:hint="eastAsia" w:ascii="Times New Roman" w:eastAsia="仿宋_GB2312"/>
          <w:kern w:val="0"/>
          <w:sz w:val="32"/>
          <w:szCs w:val="32"/>
        </w:rPr>
        <w:t>产业</w:t>
      </w:r>
      <w:r>
        <w:rPr>
          <w:rFonts w:ascii="Times New Roman" w:eastAsia="仿宋_GB2312"/>
          <w:kern w:val="0"/>
          <w:sz w:val="32"/>
          <w:szCs w:val="32"/>
        </w:rPr>
        <w:t>+</w:t>
      </w:r>
      <w:r>
        <w:rPr>
          <w:rFonts w:hint="eastAsia" w:ascii="Times New Roman" w:eastAsia="仿宋_GB2312"/>
          <w:kern w:val="0"/>
          <w:sz w:val="32"/>
          <w:szCs w:val="32"/>
        </w:rPr>
        <w:t>资本”的院所建设模式，以通用航空、智能装备制造、食品加工等行业为重点，支持龙头骨干企业、科研机构牵头，联合国内外知名科研机构、大型企业研究中心建设一批独具西华特色的新型产业技术研究院，开展产业发展和产业链配套中的关键环节技术研究。</w:t>
      </w:r>
    </w:p>
    <w:p>
      <w:pPr>
        <w:spacing w:line="600" w:lineRule="exact"/>
        <w:ind w:firstLine="643" w:firstLineChars="200"/>
        <w:rPr>
          <w:rFonts w:ascii="Times New Roman" w:hAnsi="Times New Roman" w:eastAsia="仿宋_GB2312"/>
          <w:sz w:val="32"/>
          <w:szCs w:val="32"/>
        </w:rPr>
      </w:pPr>
      <w:r>
        <w:rPr>
          <w:rFonts w:hint="eastAsia" w:eastAsia="仿宋_GB2312"/>
          <w:b/>
          <w:bCs/>
          <w:sz w:val="32"/>
          <w:szCs w:val="32"/>
        </w:rPr>
        <w:t>开展“无人机特色研发平台提质升级行动”。</w:t>
      </w:r>
      <w:r>
        <w:rPr>
          <w:rFonts w:hint="eastAsia" w:ascii="Times New Roman" w:hAnsi="Times New Roman" w:eastAsia="仿宋_GB2312"/>
          <w:sz w:val="32"/>
          <w:szCs w:val="32"/>
        </w:rPr>
        <w:t>建好用好河南省无人机公共技术研发设计中心这一平台，积极深化与北京航空航天大学、河南工业技术研究院、中电科27所、郑州航空工业管理学院、河南农业机械协会、周口师范学院等高校、科研机构的合作，着力构建无人机、无人船、机器人等无人系统的研发、设计、测试、总装集成全产业链，让无人系统产业在西华起航飞得更高更远。</w:t>
      </w:r>
    </w:p>
    <w:p>
      <w:pPr>
        <w:pStyle w:val="3"/>
        <w:spacing w:before="120" w:after="120" w:line="600" w:lineRule="exact"/>
        <w:jc w:val="center"/>
        <w:rPr>
          <w:rFonts w:ascii="仿宋_GB2312" w:eastAsia="仿宋_GB2312"/>
        </w:rPr>
      </w:pPr>
      <w:bookmarkStart w:id="33" w:name="_Toc65514261"/>
      <w:r>
        <w:rPr>
          <w:rFonts w:hint="eastAsia" w:ascii="仿宋_GB2312" w:eastAsia="仿宋_GB2312"/>
        </w:rPr>
        <w:t>第三节 提升企业技术创新能力</w:t>
      </w:r>
      <w:bookmarkEnd w:id="33"/>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强化企业创新主体地位，建立完善创新型企业梯次培育机制，促进各类创新要素向企业集聚，推动创新型企业快速成长。</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实施创新型企业树标引领计划</w:t>
      </w:r>
      <w:r>
        <w:rPr>
          <w:rFonts w:hint="eastAsia" w:ascii="Times New Roman" w:hAnsi="Times New Roman" w:eastAsia="仿宋_GB2312"/>
          <w:sz w:val="32"/>
          <w:szCs w:val="32"/>
        </w:rPr>
        <w:t>。</w:t>
      </w:r>
      <w:r>
        <w:rPr>
          <w:rFonts w:hint="eastAsia" w:ascii="仿宋_GB2312" w:hAnsi="仿宋" w:eastAsia="仿宋_GB2312" w:cs="仿宋"/>
          <w:sz w:val="32"/>
          <w:szCs w:val="32"/>
        </w:rPr>
        <w:t>按照“突出引导、注重集成、上下联动、重点推进”的原则，</w:t>
      </w:r>
      <w:r>
        <w:rPr>
          <w:rFonts w:hint="eastAsia" w:ascii="Times New Roman" w:hAnsi="Times New Roman" w:eastAsia="仿宋_GB2312"/>
          <w:sz w:val="32"/>
          <w:szCs w:val="32"/>
        </w:rPr>
        <w:t>发挥大企业引领支撑作用，依托耕德电子、大华电子等骨干企业全力发展高端智能装备制造产业，聚焦人工智能、机器人、通信电子、无人机和无人系统，</w:t>
      </w:r>
      <w:r>
        <w:rPr>
          <w:rFonts w:hint="eastAsia" w:ascii="仿宋_GB2312" w:hAnsi="仿宋" w:eastAsia="仿宋_GB2312" w:cs="仿宋"/>
          <w:sz w:val="32"/>
          <w:szCs w:val="32"/>
        </w:rPr>
        <w:t>整合资金、人才、土地等资源要素，协同社会创新力量，支持其在重大关键技术研发、产业创新联盟构建、</w:t>
      </w:r>
      <w:r>
        <w:rPr>
          <w:rFonts w:hint="eastAsia" w:ascii="仿宋_GB2312" w:hAnsi="仿宋_GB2312" w:eastAsia="仿宋_GB2312" w:cs="仿宋_GB2312"/>
          <w:sz w:val="32"/>
          <w:szCs w:val="32"/>
        </w:rPr>
        <w:t>高层次创新平台建设</w:t>
      </w:r>
      <w:r>
        <w:rPr>
          <w:rFonts w:hint="eastAsia" w:ascii="仿宋_GB2312" w:hAnsi="仿宋" w:eastAsia="仿宋_GB2312" w:cs="仿宋"/>
          <w:sz w:val="32"/>
          <w:szCs w:val="32"/>
        </w:rPr>
        <w:t>、人才技术集聚等方面率先实现突破，着力培育形成行业引领能力强、具有先进技术水平和竞争力的创新型龙头企业，引领带动全县企业创新转型发展</w:t>
      </w:r>
      <w:r>
        <w:rPr>
          <w:rFonts w:hint="eastAsia" w:ascii="Times New Roman" w:hAnsi="Times New Roman" w:eastAsia="仿宋_GB2312"/>
          <w:sz w:val="32"/>
          <w:szCs w:val="32"/>
        </w:rPr>
        <w:t>。</w:t>
      </w:r>
    </w:p>
    <w:p>
      <w:pPr>
        <w:spacing w:line="600" w:lineRule="exact"/>
        <w:ind w:firstLine="643" w:firstLineChars="200"/>
        <w:rPr>
          <w:rFonts w:ascii="Times New Roman" w:hAnsi="Times New Roman" w:eastAsia="仿宋_GB2312"/>
          <w:b/>
          <w:sz w:val="32"/>
          <w:szCs w:val="32"/>
        </w:rPr>
      </w:pPr>
      <w:r>
        <w:rPr>
          <w:rFonts w:hint="eastAsia" w:ascii="Times New Roman" w:hAnsi="Times New Roman" w:eastAsia="仿宋_GB2312"/>
          <w:b/>
          <w:sz w:val="32"/>
          <w:szCs w:val="32"/>
        </w:rPr>
        <w:t>实施科技型中小企业“春笋”计划。</w:t>
      </w:r>
      <w:r>
        <w:rPr>
          <w:rFonts w:hint="eastAsia" w:ascii="Times New Roman" w:hAnsi="Times New Roman" w:eastAsia="仿宋_GB2312"/>
          <w:sz w:val="32"/>
          <w:szCs w:val="32"/>
        </w:rPr>
        <w:t>加大科技型企业培育力度，</w:t>
      </w:r>
      <w:r>
        <w:rPr>
          <w:rFonts w:hint="eastAsia" w:eastAsia="仿宋_GB2312"/>
          <w:sz w:val="32"/>
          <w:szCs w:val="32"/>
        </w:rPr>
        <w:t>遴选一批创新能力强、</w:t>
      </w:r>
      <w:r>
        <w:rPr>
          <w:rFonts w:hint="eastAsia" w:ascii="仿宋_GB2312" w:eastAsia="仿宋_GB2312"/>
          <w:sz w:val="32"/>
          <w:szCs w:val="32"/>
        </w:rPr>
        <w:t>成长速度快、发展潜力大的科技型中小企业，促进其加快成长为“科技小巨人”企业。鼓励龙头企业、科研院所、新型研发机构建设专业化众创空间，为科技型中小企业提供研究开发、检验检测、公共平台等服务。</w:t>
      </w:r>
      <w:r>
        <w:rPr>
          <w:rFonts w:hint="eastAsia" w:ascii="仿宋_GB2312" w:hAnsi="Times New Roman" w:eastAsia="仿宋_GB2312"/>
          <w:sz w:val="32"/>
          <w:szCs w:val="32"/>
        </w:rPr>
        <w:t>积极组织实施科技型领军企业重大创新项目。通过加大对技术水平高、发展潜力强、销售规模大的科技型企业的扶持力度，有力的推动一批重大技术的创新和转化，培育一批技术领先的科技型领军企业和知名品牌，实现“科技型企业大发展”。</w:t>
      </w:r>
    </w:p>
    <w:p>
      <w:pPr>
        <w:spacing w:line="600" w:lineRule="exact"/>
        <w:ind w:firstLine="643" w:firstLineChars="200"/>
        <w:rPr>
          <w:rFonts w:ascii="Times New Roman" w:eastAsia="仿宋_GB2312"/>
          <w:sz w:val="32"/>
          <w:szCs w:val="32"/>
        </w:rPr>
      </w:pPr>
      <w:r>
        <w:rPr>
          <w:rFonts w:hint="eastAsia" w:ascii="Times New Roman" w:hAnsi="Times New Roman" w:eastAsia="仿宋_GB2312"/>
          <w:b/>
          <w:sz w:val="32"/>
          <w:szCs w:val="32"/>
        </w:rPr>
        <w:t>实施高新技术企业“双倍增”计划。</w:t>
      </w:r>
      <w:r>
        <w:rPr>
          <w:rFonts w:hint="eastAsia" w:eastAsia="仿宋_GB2312"/>
          <w:sz w:val="32"/>
          <w:szCs w:val="32"/>
        </w:rPr>
        <w:t>围绕创新基础好、发展潜力大的科技型中小企业，建设高新技术后备企业库，加速其升级为高新技术企业。坚持把申报创建高新技术企业作为创新发展的重要抓手，</w:t>
      </w:r>
      <w:r>
        <w:rPr>
          <w:rFonts w:hint="eastAsia" w:ascii="仿宋_GB2312" w:hAnsi="仿宋_GB2312" w:eastAsia="仿宋_GB2312" w:cs="仿宋_GB2312"/>
          <w:sz w:val="32"/>
          <w:szCs w:val="32"/>
        </w:rPr>
        <w:t>切实落实高新技术企业所得税优惠政策</w:t>
      </w:r>
      <w:r>
        <w:rPr>
          <w:rFonts w:hint="eastAsia" w:eastAsia="仿宋_GB2312"/>
          <w:sz w:val="32"/>
          <w:szCs w:val="32"/>
        </w:rPr>
        <w:t>，营造有利于申报和发展的优良环境，</w:t>
      </w:r>
      <w:r>
        <w:rPr>
          <w:rFonts w:hint="eastAsia" w:ascii="Times New Roman" w:hAnsi="Times New Roman" w:eastAsia="仿宋_GB2312"/>
          <w:sz w:val="32"/>
          <w:szCs w:val="32"/>
        </w:rPr>
        <w:t>推进</w:t>
      </w:r>
      <w:r>
        <w:rPr>
          <w:rFonts w:hint="eastAsia" w:eastAsia="仿宋_GB2312"/>
          <w:sz w:val="32"/>
          <w:szCs w:val="32"/>
        </w:rPr>
        <w:t>全县高新技术企业认定数量、完成产值</w:t>
      </w:r>
      <w:r>
        <w:rPr>
          <w:rFonts w:hint="eastAsia" w:ascii="仿宋_GB2312" w:eastAsia="仿宋_GB2312"/>
          <w:sz w:val="32"/>
          <w:szCs w:val="32"/>
        </w:rPr>
        <w:t>实现“双倍增”</w:t>
      </w:r>
      <w:r>
        <w:rPr>
          <w:rFonts w:hint="eastAsia" w:eastAsia="仿宋_GB2312"/>
          <w:sz w:val="32"/>
          <w:szCs w:val="32"/>
        </w:rPr>
        <w:t>。</w:t>
      </w:r>
      <w:r>
        <w:rPr>
          <w:rFonts w:hint="eastAsia" w:ascii="Times New Roman" w:eastAsia="仿宋_GB2312"/>
          <w:sz w:val="32"/>
          <w:szCs w:val="32"/>
        </w:rPr>
        <w:t>到</w:t>
      </w:r>
      <w:r>
        <w:rPr>
          <w:rFonts w:ascii="Times New Roman" w:hAnsi="Times New Roman" w:eastAsia="仿宋_GB2312"/>
          <w:sz w:val="32"/>
          <w:szCs w:val="32"/>
        </w:rPr>
        <w:t>2025</w:t>
      </w:r>
      <w:r>
        <w:rPr>
          <w:rFonts w:hint="eastAsia" w:ascii="Times New Roman" w:eastAsia="仿宋_GB2312"/>
          <w:sz w:val="32"/>
          <w:szCs w:val="32"/>
        </w:rPr>
        <w:t>年，</w:t>
      </w:r>
      <w:r>
        <w:rPr>
          <w:rFonts w:hint="eastAsia" w:eastAsia="仿宋_GB2312"/>
          <w:sz w:val="32"/>
          <w:szCs w:val="32"/>
        </w:rPr>
        <w:t>全县高新技术企业数量</w:t>
      </w:r>
      <w:r>
        <w:rPr>
          <w:rFonts w:ascii="Times New Roman" w:eastAsia="仿宋_GB2312"/>
          <w:sz w:val="32"/>
          <w:szCs w:val="32"/>
        </w:rPr>
        <w:t>达到</w:t>
      </w:r>
      <w:r>
        <w:rPr>
          <w:rFonts w:ascii="Times New Roman" w:hAnsi="Times New Roman" w:eastAsia="仿宋_GB2312"/>
          <w:sz w:val="32"/>
          <w:szCs w:val="32"/>
        </w:rPr>
        <w:t>20</w:t>
      </w:r>
      <w:r>
        <w:rPr>
          <w:rFonts w:ascii="Times New Roman" w:eastAsia="仿宋_GB2312"/>
          <w:sz w:val="32"/>
          <w:szCs w:val="32"/>
        </w:rPr>
        <w:t>家。</w:t>
      </w:r>
    </w:p>
    <w:p>
      <w:pPr>
        <w:spacing w:line="600" w:lineRule="exact"/>
        <w:ind w:firstLine="643" w:firstLineChars="200"/>
        <w:rPr>
          <w:rFonts w:ascii="Times New Roman" w:eastAsia="仿宋_GB2312"/>
          <w:sz w:val="32"/>
          <w:szCs w:val="32"/>
        </w:rPr>
      </w:pPr>
      <w:r>
        <w:rPr>
          <w:rFonts w:hint="eastAsia" w:ascii="Times New Roman" w:hAnsi="Times New Roman" w:eastAsia="仿宋_GB2312"/>
          <w:b/>
          <w:sz w:val="32"/>
          <w:szCs w:val="32"/>
        </w:rPr>
        <w:t>实施协同创新发展计划。</w:t>
      </w:r>
      <w:r>
        <w:rPr>
          <w:rFonts w:hint="eastAsia" w:ascii="Times New Roman" w:hAnsi="Times New Roman" w:eastAsia="仿宋_GB2312"/>
          <w:sz w:val="32"/>
          <w:szCs w:val="32"/>
        </w:rPr>
        <w:t>深化产学研深度融合，支持厚德电力、远大锅炉、普瑞制药、酷农无人机等企业积极争创区域科技创新中心，力争在无人机研发、智能装备制造、禽类食品加工等领域打造一批科技创新共同体，承担国家重大科技项目。发挥企业家在技术创新中的重要作用，鼓励企业加大研发投入，加快数字化改造、智能化升级，拓展网络化协同研发制造、个性化定制、云制造等新模式，推动向价值链的高端攀升。持续加强智能装备、无人机等共性技术平台建设，推动产业链上中下游、大中小企业融通创新。</w:t>
      </w:r>
    </w:p>
    <w:p>
      <w:pPr>
        <w:pStyle w:val="3"/>
        <w:spacing w:before="120" w:after="120" w:line="600" w:lineRule="exact"/>
        <w:jc w:val="center"/>
        <w:rPr>
          <w:rFonts w:ascii="仿宋_GB2312" w:eastAsia="仿宋_GB2312"/>
        </w:rPr>
      </w:pPr>
      <w:bookmarkStart w:id="34" w:name="_Toc65514262"/>
      <w:r>
        <w:rPr>
          <w:rFonts w:hint="eastAsia" w:ascii="仿宋_GB2312" w:eastAsia="仿宋_GB2312"/>
        </w:rPr>
        <w:t>第四节 实施科技成果转换与示范应用工程</w:t>
      </w:r>
      <w:bookmarkEnd w:id="34"/>
    </w:p>
    <w:p>
      <w:pPr>
        <w:spacing w:line="600" w:lineRule="exact"/>
        <w:ind w:firstLine="640" w:firstLineChars="200"/>
        <w:rPr>
          <w:rFonts w:ascii="仿宋_GB2312" w:eastAsia="仿宋_GB2312"/>
          <w:sz w:val="32"/>
          <w:szCs w:val="32"/>
        </w:rPr>
      </w:pPr>
      <w:r>
        <w:rPr>
          <w:rFonts w:hint="eastAsia" w:ascii="仿宋_GB2312" w:eastAsia="仿宋_GB2312"/>
          <w:sz w:val="32"/>
          <w:szCs w:val="32"/>
        </w:rPr>
        <w:t>加强科技创新孵化转化平台建设，实施科技成果转移转化专项，推进科研院所和高新科研成果在西华县孵化转化。</w:t>
      </w:r>
    </w:p>
    <w:p>
      <w:pPr>
        <w:spacing w:line="600" w:lineRule="exact"/>
        <w:ind w:firstLine="643" w:firstLineChars="200"/>
        <w:rPr>
          <w:rFonts w:ascii="Times New Roman" w:hAnsi="Times New Roman" w:eastAsia="仿宋_GB2312"/>
          <w:sz w:val="32"/>
          <w:szCs w:val="32"/>
        </w:rPr>
      </w:pPr>
      <w:r>
        <w:rPr>
          <w:rFonts w:hint="eastAsia" w:ascii="仿宋_GB2312" w:eastAsia="仿宋_GB2312"/>
          <w:b/>
          <w:sz w:val="32"/>
          <w:szCs w:val="32"/>
        </w:rPr>
        <w:t>实施科技成果转移转化专项。</w:t>
      </w:r>
      <w:r>
        <w:rPr>
          <w:rFonts w:hint="eastAsia" w:ascii="Times New Roman" w:hAnsi="Times New Roman" w:eastAsia="仿宋_GB2312"/>
          <w:sz w:val="32"/>
          <w:szCs w:val="32"/>
        </w:rPr>
        <w:t>坚持需求导向和问题导向，围绕临空经济、临港经济、循环经济、数字经济以及高端智能装备制造、新能源等新兴产业培育，制衣制鞋、板材加工、商贸物流等传统产业升级，聚力推进一批科技创新成果转移转化专项，落地实施一批适用性科技创新成果。</w:t>
      </w:r>
    </w:p>
    <w:p>
      <w:pPr>
        <w:spacing w:line="600" w:lineRule="exact"/>
        <w:ind w:firstLine="643" w:firstLineChars="200"/>
        <w:rPr>
          <w:rFonts w:ascii="Times New Roman" w:hAnsi="Times New Roman" w:eastAsia="仿宋_GB2312"/>
          <w:sz w:val="32"/>
          <w:szCs w:val="32"/>
        </w:rPr>
      </w:pPr>
      <w:r>
        <w:rPr>
          <w:rFonts w:hint="eastAsia" w:ascii="仿宋_GB2312" w:eastAsia="仿宋_GB2312"/>
          <w:b/>
          <w:sz w:val="32"/>
          <w:szCs w:val="32"/>
        </w:rPr>
        <w:t>加强科技孵化转化平台建设。</w:t>
      </w:r>
      <w:r>
        <w:rPr>
          <w:rFonts w:hint="eastAsia" w:ascii="仿宋_GB2312" w:hAnsi="仿宋_GB2312" w:eastAsia="仿宋_GB2312" w:cs="仿宋_GB2312"/>
          <w:spacing w:val="-6"/>
          <w:sz w:val="32"/>
          <w:szCs w:val="32"/>
        </w:rPr>
        <w:t>加快众创平台、众创空</w:t>
      </w:r>
      <w:r>
        <w:rPr>
          <w:rFonts w:hint="eastAsia" w:eastAsia="仿宋_GB2312"/>
          <w:kern w:val="0"/>
          <w:sz w:val="32"/>
          <w:szCs w:val="32"/>
        </w:rPr>
        <w:t>间、</w:t>
      </w:r>
      <w:r>
        <w:rPr>
          <w:rFonts w:hint="eastAsia" w:ascii="仿宋_GB2312" w:hAnsi="仿宋_GB2312" w:eastAsia="仿宋_GB2312" w:cs="仿宋_GB2312"/>
          <w:sz w:val="32"/>
          <w:szCs w:val="32"/>
        </w:rPr>
        <w:t>星创天地等新型众创空间建设</w:t>
      </w:r>
      <w:r>
        <w:rPr>
          <w:rFonts w:hint="eastAsia" w:eastAsia="仿宋_GB2312"/>
          <w:kern w:val="0"/>
          <w:sz w:val="32"/>
          <w:szCs w:val="32"/>
        </w:rPr>
        <w:t>，</w:t>
      </w:r>
      <w:r>
        <w:rPr>
          <w:rFonts w:hint="eastAsia" w:eastAsia="仿宋_GB2312"/>
          <w:sz w:val="32"/>
          <w:szCs w:val="32"/>
        </w:rPr>
        <w:t>谋划建立</w:t>
      </w:r>
      <w:r>
        <w:rPr>
          <w:rFonts w:hint="eastAsia" w:eastAsia="仿宋_GB2312"/>
          <w:kern w:val="0"/>
          <w:sz w:val="32"/>
          <w:szCs w:val="32"/>
        </w:rPr>
        <w:t>创新工场</w:t>
      </w:r>
      <w:r>
        <w:rPr>
          <w:rFonts w:hint="eastAsia" w:eastAsia="仿宋_GB2312"/>
          <w:sz w:val="32"/>
          <w:szCs w:val="32"/>
        </w:rPr>
        <w:t>，</w:t>
      </w:r>
      <w:r>
        <w:rPr>
          <w:rFonts w:hint="eastAsia" w:eastAsia="仿宋_GB2312"/>
          <w:kern w:val="0"/>
          <w:sz w:val="32"/>
          <w:szCs w:val="32"/>
        </w:rPr>
        <w:t>建设创客空间、创业咖啡等市场化、专业化、集成化、网络化的众创空间，</w:t>
      </w:r>
      <w:r>
        <w:rPr>
          <w:rFonts w:hint="eastAsia" w:eastAsia="仿宋_GB2312"/>
          <w:sz w:val="32"/>
          <w:szCs w:val="32"/>
        </w:rPr>
        <w:t>积极吸引</w:t>
      </w:r>
      <w:r>
        <w:rPr>
          <w:rFonts w:hint="eastAsia" w:eastAsia="仿宋_GB2312"/>
          <w:kern w:val="0"/>
          <w:sz w:val="32"/>
          <w:szCs w:val="32"/>
        </w:rPr>
        <w:t>小微企业和专业技术人员创新创业。</w:t>
      </w:r>
      <w:r>
        <w:rPr>
          <w:rFonts w:hint="eastAsia" w:ascii="Times New Roman" w:hAnsi="Times New Roman" w:eastAsia="仿宋_GB2312"/>
          <w:sz w:val="32"/>
          <w:szCs w:val="32"/>
        </w:rPr>
        <w:t>依托智能手机产业园和无人系统智能制造产业园，大力支持、扶持发展耕德电子华为手机制造基地、大华电子视频监控生产基地、中电建智能管线支撑系统装备制造基地、石墨烯穿戴用品研发基地建设，继续招引华为、苹果、三星、小米、</w:t>
      </w:r>
      <w:r>
        <w:rPr>
          <w:rFonts w:ascii="Times New Roman" w:hAnsi="Times New Roman" w:eastAsia="仿宋_GB2312"/>
          <w:sz w:val="32"/>
          <w:szCs w:val="32"/>
        </w:rPr>
        <w:t>OPPO等</w:t>
      </w:r>
      <w:r>
        <w:rPr>
          <w:rFonts w:hint="eastAsia" w:ascii="Times New Roman" w:hAnsi="Times New Roman" w:eastAsia="仿宋_GB2312"/>
          <w:sz w:val="32"/>
          <w:szCs w:val="32"/>
        </w:rPr>
        <w:t>智能终端设备制造企业和大疆、易航等无人机</w:t>
      </w:r>
      <w:r>
        <w:rPr>
          <w:rFonts w:hint="eastAsia" w:ascii="仿宋_GB2312" w:hAnsi="Times New Roman" w:eastAsia="仿宋_GB2312"/>
          <w:sz w:val="32"/>
          <w:szCs w:val="32"/>
        </w:rPr>
        <w:t>生产</w:t>
      </w:r>
      <w:r>
        <w:rPr>
          <w:rFonts w:hint="eastAsia" w:ascii="Times New Roman" w:hAnsi="Times New Roman" w:eastAsia="仿宋_GB2312"/>
          <w:sz w:val="32"/>
          <w:szCs w:val="32"/>
        </w:rPr>
        <w:t>企业，真正把西华打造成高端智能装备制造的核心区域。</w:t>
      </w:r>
    </w:p>
    <w:p>
      <w:pPr>
        <w:pStyle w:val="3"/>
        <w:spacing w:before="120" w:after="120" w:line="600" w:lineRule="exact"/>
        <w:jc w:val="center"/>
        <w:rPr>
          <w:rFonts w:ascii="仿宋_GB2312" w:eastAsia="仿宋_GB2312"/>
        </w:rPr>
      </w:pPr>
      <w:bookmarkStart w:id="35" w:name="_Toc65514263"/>
      <w:r>
        <w:rPr>
          <w:rFonts w:hint="eastAsia" w:ascii="仿宋_GB2312" w:eastAsia="仿宋_GB2312"/>
        </w:rPr>
        <w:t>第五节 优化创新创业环境</w:t>
      </w:r>
      <w:bookmarkEnd w:id="35"/>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深化人才发展体制机制，着力破除人才引进、培养、使用、评价、流动、激励等方面体制机制障碍，善于用项目联人才、用乡情引人才、用人才带人才，不断集聚各方英才，激发人才创新活力。大力实施“候鸟招引”工程、技能提升行动、人才返乡计划等，加强创新型、应用型、技能型人才培养。深入推进全民技能振兴工程，推进普工向技工转型，壮大高水平工程师和高技能人才队伍。坚持政策推动、乡情感动、项目带动，推动在外西华籍成功人士返乡创业，努力打造全省返乡经济发展典范。完善科技金融支持体系，加快资本与科技创新深度融合，鼓励金融资本、风险资本和民间资本投入科技产业。建立健全创新成果转换服务机制，推动重点领域项目、基地、人才、资金一体化配置，完善开放激励机制和评价机制，着力营造鼓励开放、支持创新、宽容失败的良好氛围，把西华打造成科技成果能转化、人生价值能实现、招商项目能落地的创新高地、发财旺地、投资福地。加强科研诚信建设，完善知识产权保护、应用和服务体系。弘扬科学精神和工匠精神，营造崇尚科技创新的社会氛围。</w:t>
      </w:r>
    </w:p>
    <w:p>
      <w:pPr>
        <w:pStyle w:val="2"/>
        <w:spacing w:before="240" w:after="240" w:line="600" w:lineRule="exact"/>
        <w:jc w:val="center"/>
        <w:rPr>
          <w:rFonts w:ascii="黑体" w:hAnsi="黑体" w:eastAsia="黑体"/>
          <w:b w:val="0"/>
          <w:sz w:val="32"/>
          <w:szCs w:val="32"/>
        </w:rPr>
      </w:pPr>
      <w:bookmarkStart w:id="36" w:name="_Toc65514264"/>
      <w:r>
        <w:rPr>
          <w:rFonts w:hint="eastAsia" w:ascii="黑体" w:hAnsi="黑体" w:eastAsia="黑体"/>
          <w:b w:val="0"/>
          <w:sz w:val="32"/>
          <w:szCs w:val="32"/>
        </w:rPr>
        <w:t>第四章</w:t>
      </w:r>
      <w:r>
        <w:rPr>
          <w:rFonts w:hint="eastAsia" w:ascii="黑体" w:hAnsi="黑体" w:eastAsia="黑体"/>
          <w:b w:val="0"/>
          <w:bCs/>
          <w:sz w:val="32"/>
          <w:szCs w:val="32"/>
        </w:rPr>
        <w:t>聚焦高质量发展，</w:t>
      </w:r>
      <w:r>
        <w:rPr>
          <w:rFonts w:hint="eastAsia" w:ascii="黑体" w:hAnsi="黑体" w:eastAsia="黑体" w:cs="黑体"/>
          <w:b w:val="0"/>
          <w:spacing w:val="6"/>
          <w:sz w:val="32"/>
          <w:szCs w:val="32"/>
        </w:rPr>
        <w:t>加快构建现代产业体系</w:t>
      </w:r>
      <w:bookmarkEnd w:id="36"/>
    </w:p>
    <w:p>
      <w:pPr>
        <w:spacing w:line="600" w:lineRule="exact"/>
        <w:ind w:firstLine="640" w:firstLineChars="200"/>
        <w:rPr>
          <w:rFonts w:ascii="仿宋_GB2312" w:hAnsi="Times New Roman" w:eastAsia="仿宋_GB2312"/>
          <w:sz w:val="32"/>
          <w:szCs w:val="32"/>
        </w:rPr>
      </w:pPr>
      <w:r>
        <w:rPr>
          <w:rFonts w:hint="eastAsia" w:ascii="Times New Roman" w:hAnsi="Times New Roman" w:eastAsia="仿宋_GB2312"/>
          <w:sz w:val="32"/>
          <w:szCs w:val="32"/>
        </w:rPr>
        <w:t>坚持把实体经济作为高质量发展的着力点，突出新兴产业培育、传统产业转型升级和产业融合创新，持续深化供给侧结构性改革，加快构建以数字经济为引领、一二三产业深度融合和集群联动发展的现代化产业体系。</w:t>
      </w:r>
    </w:p>
    <w:p>
      <w:pPr>
        <w:pStyle w:val="3"/>
        <w:spacing w:before="120" w:after="120" w:line="600" w:lineRule="exact"/>
        <w:jc w:val="center"/>
        <w:rPr>
          <w:rFonts w:ascii="仿宋_GB2312" w:eastAsia="仿宋_GB2312"/>
        </w:rPr>
      </w:pPr>
      <w:bookmarkStart w:id="37" w:name="_Toc65514265"/>
      <w:r>
        <w:rPr>
          <w:rFonts w:hint="eastAsia" w:ascii="仿宋_GB2312" w:eastAsia="仿宋_GB2312"/>
        </w:rPr>
        <w:t>第一节 打造西华航空特色产业优势</w:t>
      </w:r>
      <w:bookmarkEnd w:id="37"/>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紧抓通用航空、无人机快速发展的契机，围绕中原飞行培训之都、周口临空经济核心区、豫东南枢纽经济先行区的战略定位，统筹打造“一核、两主、两特”的通航产业体系，</w:t>
      </w:r>
      <w:r>
        <w:rPr>
          <w:rFonts w:hint="eastAsia" w:ascii="Times New Roman" w:hAnsi="Times New Roman" w:eastAsia="仿宋_GB2312"/>
          <w:spacing w:val="6"/>
          <w:sz w:val="32"/>
          <w:szCs w:val="32"/>
        </w:rPr>
        <w:t>加快建设航空物流园区、航空科普园区、航空食品制造园区、航空农业观光园区等特色园区，把临空经济建成西华乃至周口的最大亮点、最大特色、最新增长极，打造“中国无人机生产第一县”</w:t>
      </w:r>
      <w:r>
        <w:rPr>
          <w:rFonts w:hint="eastAsia" w:ascii="Times New Roman" w:hAnsi="Times New Roman" w:eastAsia="仿宋_GB2312"/>
          <w:spacing w:val="6"/>
          <w:kern w:val="0"/>
          <w:sz w:val="32"/>
          <w:szCs w:val="32"/>
        </w:rPr>
        <w:t>。</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“一核”：做强航空教育培训核心产业。</w:t>
      </w:r>
      <w:r>
        <w:rPr>
          <w:rFonts w:hint="eastAsia" w:ascii="Times New Roman" w:hAnsi="Times New Roman" w:eastAsia="仿宋_GB2312"/>
          <w:sz w:val="32"/>
          <w:szCs w:val="32"/>
        </w:rPr>
        <w:t>依托东方时尚建立训练基地，开展飞行执照培训，打造中部地区重要的飞行培训基地；积极引入航空维修培训机构，开展航空器维修基础培训、部件修理基础修理培训和机型培训、航空机电专业基本技能培训；加强与相关航空职业高校、航空培训机构合作，设立航空职业培训中心（分校），择机开展机场运行与管理培训、签派执照培训、航行情报培训、航务综合及专业高级管理人员培训等专业人才培训业务。依托酷农，以植保飞防手培训为主，逐步开展无人机飞手培训、无人机生产装配实训，争取无人机执照考试设点，打造应用型航空无人机实训基地。</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“两主”：壮大通航运营、航空制造两个主导产业。</w:t>
      </w:r>
      <w:r>
        <w:rPr>
          <w:rFonts w:hint="eastAsia" w:ascii="Times New Roman" w:hAnsi="Times New Roman" w:eastAsia="仿宋_GB2312"/>
          <w:sz w:val="32"/>
          <w:szCs w:val="32"/>
        </w:rPr>
        <w:t>立足西华通航产业基础和行业发展趋势，聚力发展壮大通航运营、航空制造两个主导产业。</w:t>
      </w:r>
      <w:r>
        <w:rPr>
          <w:rFonts w:hint="eastAsia" w:ascii="楷体_GB2312" w:hAnsi="Times New Roman" w:eastAsia="楷体_GB2312"/>
          <w:b/>
          <w:sz w:val="32"/>
          <w:szCs w:val="32"/>
        </w:rPr>
        <w:t>通航运营产业。</w:t>
      </w:r>
      <w:r>
        <w:rPr>
          <w:rFonts w:hint="eastAsia" w:ascii="Times New Roman" w:hAnsi="Times New Roman" w:eastAsia="仿宋_GB2312"/>
          <w:sz w:val="32"/>
          <w:szCs w:val="32"/>
        </w:rPr>
        <w:t>以西华机场为平台，吸引通航作业企业入驻，提供覆盖全县以及周边城市的飞机播种、农药喷洒、农业病虫害防治、油气管路巡线、电力巡线、航空物理勘探、航空摄影、航空测绘、环境监测等飞行业务，发展警务飞行、医疗救援、防火灭火等救援、抢险、防火灭火等通航公共服务项目。依托省内机场网络布局，发展通航短途运输，与高铁网络形成错位协同发展，丰富和完善周口的综合交通方式，有效提升出行效率和服务水平。大力开展维修业务，对实验区内自主运行的飞机进行修改，同时承接外部维修业务，积极引进其他主流机型的维修项目；对实验区自主生产的无人机进行维修等售后服务；与京东、顺丰等物流企业合作无人机维修改装项目，探索提供定制化、个性化的改装服务。</w:t>
      </w:r>
      <w:r>
        <w:rPr>
          <w:rFonts w:hint="eastAsia" w:ascii="楷体_GB2312" w:hAnsi="Times New Roman" w:eastAsia="楷体_GB2312"/>
          <w:b/>
          <w:sz w:val="32"/>
          <w:szCs w:val="32"/>
        </w:rPr>
        <w:t>航空制造产业。</w:t>
      </w:r>
      <w:r>
        <w:rPr>
          <w:rFonts w:hint="eastAsia" w:ascii="Times New Roman" w:hAnsi="Times New Roman" w:eastAsia="仿宋_GB2312"/>
          <w:sz w:val="32"/>
          <w:szCs w:val="32"/>
        </w:rPr>
        <w:t>紧抓国内无人机领域高速发展的机遇，依托农业资源和现有基础，结合运营市场需求引进适宜的知名无人机制造企业，大力发展植保无人机，逐步拓展警用安防、电力巡线、物流等工业无人机,开展无人机的研发、组装和生产，并积极向产业链上下游延伸发展，形成从研发设计、生产装配到试飞校验等全流程专业化的能力，形成集聚效应；以空中体验、空中跳伞、空中滑翔等低空运动消费为导向，发展滑翔机、伞翼机、动力伞、滑翔伞、热气球等航空运动装备的组装生产和来料加工；发展航空运动装备制造与组装，未来大力推动自制航空器、套材飞机的组装生产。</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“两特”：培育发展航空旅游、航空物流两个特色产业。</w:t>
      </w:r>
      <w:r>
        <w:rPr>
          <w:rFonts w:hint="eastAsia" w:ascii="Times New Roman" w:hAnsi="Times New Roman" w:eastAsia="仿宋_GB2312"/>
          <w:sz w:val="32"/>
          <w:szCs w:val="32"/>
        </w:rPr>
        <w:t>坚持市场需求发展导向，着力发展航空旅游、航空物流两个特色产业，提升西华通航产业发展效益。</w:t>
      </w:r>
      <w:r>
        <w:rPr>
          <w:rFonts w:hint="eastAsia" w:ascii="楷体_GB2312" w:hAnsi="Times New Roman" w:eastAsia="楷体_GB2312"/>
          <w:b/>
          <w:sz w:val="32"/>
          <w:szCs w:val="32"/>
        </w:rPr>
        <w:t>航空旅游产业。</w:t>
      </w:r>
      <w:r>
        <w:rPr>
          <w:rFonts w:hint="eastAsia" w:ascii="Times New Roman" w:hAnsi="Times New Roman" w:eastAsia="仿宋_GB2312"/>
          <w:sz w:val="32"/>
          <w:szCs w:val="32"/>
        </w:rPr>
        <w:t>面向周口市、郑州都市圈及皖北地区的消费人群，依托美邦通航率先开展低空旅游、飞行体验和空中婚礼等业务，打造区域级通航娱乐消费中心；引进航空运动项目运营商，利用本地良好的机场基础和空域资源，充分发挥西华本地自然生态资源，开展航空运动体验、培训、赛事、会展等，发展航空消费产业；规划建设航空主题文化小镇，发展航空科普、无人机博览展示、航空主题乐园等业态，积极开拓航空文化创意产业，打造青少年航空科普馆、研学基地等集航空文化教育、体验、传播于一体的载体空间和青少年爱国主义教育基地。</w:t>
      </w:r>
      <w:r>
        <w:rPr>
          <w:rFonts w:hint="eastAsia" w:ascii="楷体_GB2312" w:hAnsi="Times New Roman" w:eastAsia="楷体_GB2312"/>
          <w:b/>
          <w:sz w:val="32"/>
          <w:szCs w:val="32"/>
        </w:rPr>
        <w:t>航空物流产业。</w:t>
      </w:r>
      <w:r>
        <w:rPr>
          <w:rFonts w:hint="eastAsia" w:ascii="Times New Roman" w:hAnsi="Times New Roman" w:eastAsia="仿宋_GB2312"/>
          <w:sz w:val="32"/>
          <w:szCs w:val="32"/>
        </w:rPr>
        <w:t>利用航空优势，建设全自动物流中心、冷链仓库等仓储设施，与京东、顺丰、菜鸟等电商及物流</w:t>
      </w:r>
      <w:r>
        <w:rPr>
          <w:rFonts w:hint="eastAsia" w:ascii="仿宋_GB2312" w:hAnsi="Times New Roman" w:eastAsia="仿宋_GB2312"/>
          <w:sz w:val="32"/>
          <w:szCs w:val="32"/>
        </w:rPr>
        <w:t>企业</w:t>
      </w:r>
      <w:r>
        <w:rPr>
          <w:rFonts w:hint="eastAsia" w:ascii="Times New Roman" w:hAnsi="Times New Roman" w:eastAsia="仿宋_GB2312"/>
          <w:sz w:val="32"/>
          <w:szCs w:val="32"/>
        </w:rPr>
        <w:t>合作，积极发展航空微物流、冷链物流、电商物流，探索多式联运，创新发展通航物流、无人机物流新模式。</w:t>
      </w:r>
    </w:p>
    <w:p>
      <w:pPr>
        <w:spacing w:line="600" w:lineRule="exact"/>
        <w:ind w:firstLine="643" w:firstLineChars="200"/>
        <w:rPr>
          <w:rFonts w:ascii="仿宋_GB2312" w:hAnsi="Times New Roman" w:eastAsia="仿宋_GB2312"/>
          <w:kern w:val="32"/>
          <w:sz w:val="32"/>
          <w:szCs w:val="32"/>
        </w:rPr>
      </w:pPr>
      <w:r>
        <w:rPr>
          <w:rFonts w:hint="eastAsia" w:ascii="仿宋_GB2312" w:eastAsia="仿宋_GB2312"/>
          <w:b/>
          <w:sz w:val="32"/>
          <w:szCs w:val="32"/>
        </w:rPr>
        <w:t>积极拓展通用航空延伸服务。</w:t>
      </w:r>
      <w:r>
        <w:rPr>
          <w:rFonts w:hint="eastAsia" w:ascii="仿宋_GB2312" w:eastAsia="仿宋_GB2312"/>
          <w:sz w:val="32"/>
          <w:szCs w:val="32"/>
        </w:rPr>
        <w:t>深度拓展“通航</w:t>
      </w:r>
      <w:r>
        <w:rPr>
          <w:rFonts w:ascii="仿宋_GB2312" w:eastAsia="仿宋_GB2312"/>
          <w:sz w:val="32"/>
          <w:szCs w:val="32"/>
        </w:rPr>
        <w:t>+</w:t>
      </w:r>
      <w:r>
        <w:rPr>
          <w:rFonts w:hint="eastAsia" w:ascii="仿宋_GB2312" w:eastAsia="仿宋_GB2312"/>
          <w:sz w:val="32"/>
          <w:szCs w:val="32"/>
        </w:rPr>
        <w:t>”，推进通用航空与研发设计、商务金融、信息服务等产业融合发展，培育通航产业新业态新模式。</w:t>
      </w:r>
      <w:r>
        <w:rPr>
          <w:rFonts w:hint="eastAsia" w:ascii="Times New Roman" w:hAnsi="Times New Roman" w:eastAsia="仿宋_GB2312"/>
          <w:bCs/>
          <w:sz w:val="32"/>
          <w:szCs w:val="32"/>
        </w:rPr>
        <w:t>积极探索“航空后经济”及“通航</w:t>
      </w:r>
      <w:r>
        <w:rPr>
          <w:rFonts w:ascii="Times New Roman" w:hAnsi="Times New Roman" w:eastAsia="仿宋_GB2312"/>
          <w:bCs/>
          <w:sz w:val="32"/>
          <w:szCs w:val="32"/>
        </w:rPr>
        <w:t>+</w:t>
      </w:r>
      <w:r>
        <w:rPr>
          <w:rFonts w:hint="eastAsia" w:ascii="Times New Roman" w:hAnsi="Times New Roman" w:eastAsia="仿宋_GB2312"/>
          <w:bCs/>
          <w:sz w:val="32"/>
          <w:szCs w:val="32"/>
        </w:rPr>
        <w:t>”发展路径，创新市场化运作模式，推动以展招商，通过航展带动通航市场和社会经济发展，着力打造全国航空会展经济新高地。</w:t>
      </w:r>
      <w:r>
        <w:rPr>
          <w:rFonts w:hint="eastAsia" w:ascii="Times New Roman" w:hAnsi="Times New Roman" w:eastAsia="仿宋_GB2312"/>
          <w:sz w:val="32"/>
          <w:szCs w:val="32"/>
        </w:rPr>
        <w:t>加快</w:t>
      </w:r>
      <w:r>
        <w:rPr>
          <w:rFonts w:hint="eastAsia" w:ascii="Times New Roman" w:hAnsi="Times New Roman" w:eastAsia="仿宋_GB2312"/>
          <w:kern w:val="32"/>
          <w:sz w:val="32"/>
          <w:szCs w:val="32"/>
        </w:rPr>
        <w:t>建立航空应急救援体系和快速反应机制，</w:t>
      </w:r>
      <w:r>
        <w:rPr>
          <w:rFonts w:hint="eastAsia" w:ascii="Times New Roman" w:hAnsi="Times New Roman" w:eastAsia="仿宋_GB2312"/>
          <w:sz w:val="32"/>
          <w:szCs w:val="32"/>
        </w:rPr>
        <w:t>加强通用航空在应急救援、医疗救护、城市安保等领域的应用，谋划建设全市及河南省航空应急救援基地。</w:t>
      </w:r>
    </w:p>
    <w:p>
      <w:pPr>
        <w:pStyle w:val="3"/>
        <w:spacing w:before="120" w:after="120" w:line="600" w:lineRule="exact"/>
        <w:jc w:val="center"/>
        <w:rPr>
          <w:rFonts w:ascii="仿宋_GB2312" w:eastAsia="仿宋_GB2312"/>
        </w:rPr>
      </w:pPr>
      <w:bookmarkStart w:id="38" w:name="_Toc65514266"/>
      <w:r>
        <w:rPr>
          <w:rFonts w:hint="eastAsia" w:ascii="仿宋_GB2312" w:eastAsia="仿宋_GB2312"/>
        </w:rPr>
        <w:t>第二节 打造两大超百亿级主导产业集群</w:t>
      </w:r>
      <w:bookmarkEnd w:id="38"/>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按照“创新驱动、智能转型、龙头带动、集群发展”的发展思路，加快制造业结构优化调整，聚力做大做强智能装备制造、食品加工两大超百亿级产业集群。</w:t>
      </w:r>
    </w:p>
    <w:p>
      <w:pPr>
        <w:spacing w:line="600" w:lineRule="exact"/>
        <w:ind w:firstLine="643" w:firstLineChars="200"/>
        <w:rPr>
          <w:rFonts w:ascii="仿宋_GB2312" w:hAnsi="仿宋" w:eastAsia="仿宋_GB2312" w:cs="仿宋"/>
          <w:sz w:val="32"/>
          <w:szCs w:val="32"/>
        </w:rPr>
      </w:pPr>
      <w:r>
        <w:rPr>
          <w:rFonts w:hint="eastAsia" w:ascii="仿宋_GB2312" w:hAnsi="Times New Roman" w:eastAsia="仿宋_GB2312"/>
          <w:b/>
          <w:sz w:val="32"/>
          <w:szCs w:val="32"/>
        </w:rPr>
        <w:t>智能制造装备。</w:t>
      </w:r>
      <w:r>
        <w:rPr>
          <w:rFonts w:hint="eastAsia" w:ascii="Times New Roman" w:hAnsi="Times New Roman" w:eastAsia="仿宋_GB2312"/>
          <w:sz w:val="32"/>
          <w:szCs w:val="32"/>
        </w:rPr>
        <w:t>把握新一代信息技术与先进制造技术融合发展新趋势，实施数字化赋能行动，</w:t>
      </w:r>
      <w:r>
        <w:rPr>
          <w:rFonts w:hint="eastAsia" w:ascii="仿宋_GB2312" w:hAnsi="仿宋" w:eastAsia="仿宋_GB2312" w:cs="Tahoma"/>
          <w:sz w:val="32"/>
          <w:szCs w:val="32"/>
        </w:rPr>
        <w:t>以龙头企业为引领和支撑，以“链式整合、园区支撑、集群带动、协同发展”为路径，</w:t>
      </w:r>
      <w:r>
        <w:rPr>
          <w:rFonts w:hint="eastAsia" w:ascii="Times New Roman" w:hAnsi="Times New Roman" w:eastAsia="仿宋_GB2312"/>
          <w:sz w:val="32"/>
          <w:szCs w:val="32"/>
        </w:rPr>
        <w:t>聚焦人工智能、智能通信设备、工业机器人、无人机和无人系统等重点领域，大力发展以集成化、信息化、绿色化、成套化为核</w:t>
      </w:r>
      <w:r>
        <w:rPr>
          <w:rFonts w:hint="eastAsia" w:ascii="仿宋_GB2312" w:hAnsi="Times New Roman" w:eastAsia="仿宋_GB2312" w:cs="仿宋_GB2312"/>
          <w:kern w:val="0"/>
          <w:sz w:val="32"/>
          <w:szCs w:val="32"/>
        </w:rPr>
        <w:t>心的智能制造装备。</w:t>
      </w:r>
      <w:r>
        <w:rPr>
          <w:rFonts w:hint="eastAsia" w:ascii="Times New Roman" w:hAnsi="Times New Roman" w:eastAsia="仿宋_GB2312"/>
          <w:sz w:val="32"/>
          <w:szCs w:val="32"/>
        </w:rPr>
        <w:t>重点依托智能手机产业园、无人系统智能制造产业园两大平台，</w:t>
      </w:r>
      <w:r>
        <w:rPr>
          <w:rFonts w:hint="eastAsia" w:ascii="仿宋_GB2312" w:hAnsi="仿宋" w:eastAsia="仿宋_GB2312" w:cs="仿宋"/>
          <w:sz w:val="32"/>
          <w:szCs w:val="32"/>
        </w:rPr>
        <w:t>支持耕德电子、厚德电力、华兴益达、墨特石墨烯等龙头骨干企业扩大产能、拉长链条，</w:t>
      </w:r>
      <w:r>
        <w:rPr>
          <w:rFonts w:hint="eastAsia" w:ascii="仿宋_GB2312" w:hAnsi="仿宋" w:eastAsia="仿宋_GB2312"/>
          <w:sz w:val="32"/>
          <w:szCs w:val="32"/>
          <w:shd w:val="clear" w:color="auto" w:fill="FFFFFF"/>
        </w:rPr>
        <w:t>大力发展智能手机终端、智能安防监控、智能医疗设备、智能管线支撑系统装备等产品研发生产</w:t>
      </w:r>
      <w:r>
        <w:rPr>
          <w:rFonts w:hint="eastAsia" w:ascii="仿宋_GB2312" w:hAnsi="仿宋" w:eastAsia="仿宋_GB2312" w:cs="仿宋"/>
          <w:sz w:val="32"/>
          <w:szCs w:val="32"/>
        </w:rPr>
        <w:t>，不断壮大装备制造业规模；加强智能制造装备延链补链强链，</w:t>
      </w:r>
      <w:r>
        <w:rPr>
          <w:rFonts w:hint="eastAsia" w:ascii="仿宋_GB2312" w:hAnsi="仿宋" w:eastAsia="仿宋_GB2312" w:cs="Tahoma"/>
          <w:sz w:val="32"/>
          <w:szCs w:val="32"/>
        </w:rPr>
        <w:t>加大产业链上下游针对性招商引资，</w:t>
      </w:r>
      <w:r>
        <w:rPr>
          <w:rFonts w:hint="eastAsia" w:ascii="仿宋_GB2312" w:hAnsi="仿宋" w:eastAsia="仿宋_GB2312" w:cs="仿宋"/>
          <w:sz w:val="32"/>
          <w:szCs w:val="32"/>
        </w:rPr>
        <w:t>加快完善加工组装、零部件制造和产业配套服务功能，努力打造具有较强影响力的智能制造装备特色产业集群。</w:t>
      </w:r>
    </w:p>
    <w:p>
      <w:pPr>
        <w:spacing w:line="600" w:lineRule="exact"/>
        <w:ind w:firstLine="643" w:firstLineChars="200"/>
        <w:rPr>
          <w:rFonts w:ascii="仿宋_GB2312" w:hAnsi="仿宋" w:eastAsia="仿宋_GB2312"/>
          <w:sz w:val="32"/>
          <w:szCs w:val="32"/>
          <w:shd w:val="clear" w:color="auto" w:fill="FFFFFF"/>
        </w:rPr>
      </w:pPr>
      <w:r>
        <w:rPr>
          <w:rFonts w:hint="eastAsia" w:ascii="仿宋_GB2312" w:eastAsia="仿宋_GB2312"/>
          <w:b/>
          <w:sz w:val="32"/>
          <w:szCs w:val="32"/>
        </w:rPr>
        <w:t>食品加工产业。</w:t>
      </w:r>
      <w:r>
        <w:rPr>
          <w:rFonts w:hint="eastAsia" w:ascii="仿宋_GB2312" w:hAnsi="仿宋" w:eastAsia="仿宋_GB2312"/>
          <w:sz w:val="32"/>
          <w:szCs w:val="32"/>
          <w:shd w:val="clear" w:color="auto" w:fill="FFFFFF"/>
        </w:rPr>
        <w:t>以双汇等农产品加工龙头企业为引领，在环境容量允许范围内，选择性引进食品、肉制品、调味品、速冻食品、饮料、白酒等以食品深加工和绿色食品研发与制造的国内外知名企业，依托知名品牌，统筹推进农产品初加工、精深加工和综合利用加工，加快构建上下游协作紧密、产业链相对完整、辐射带动能力较强的“全链条、全循环、高质量、高效益”的绿色食品加工体系，打造知名食品加工企业汇集地。支持双汇肉鸡产业化项目加快发展，打造饲料、孵化、养殖、屠宰、深加工全产业链。</w:t>
      </w:r>
    </w:p>
    <w:p>
      <w:pPr>
        <w:spacing w:line="600" w:lineRule="exact"/>
        <w:ind w:firstLine="643" w:firstLineChars="200"/>
        <w:rPr>
          <w:rFonts w:ascii="仿宋_GB2312" w:hAnsi="仿宋" w:eastAsia="仿宋_GB2312" w:cs="仿宋"/>
          <w:b/>
          <w:sz w:val="32"/>
          <w:szCs w:val="32"/>
        </w:rPr>
      </w:pPr>
      <w:r>
        <w:rPr>
          <w:rFonts w:hint="eastAsia" w:ascii="仿宋_GB2312" w:hAnsi="Times New Roman" w:eastAsia="仿宋_GB2312"/>
          <w:b/>
          <w:sz w:val="32"/>
          <w:szCs w:val="32"/>
        </w:rPr>
        <w:t>深入开展“三大改造”。</w:t>
      </w:r>
      <w:r>
        <w:rPr>
          <w:rFonts w:hint="eastAsia" w:ascii="仿宋_GB2312" w:hAnsi="Times New Roman" w:eastAsia="仿宋_GB2312"/>
          <w:sz w:val="32"/>
          <w:szCs w:val="32"/>
        </w:rPr>
        <w:t>大力推进以智能制造为引领的“三大改造”，推动西华制造业提质增效。</w:t>
      </w:r>
      <w:r>
        <w:rPr>
          <w:rFonts w:hint="eastAsia" w:ascii="仿宋_GB2312" w:hAnsi="仿宋" w:eastAsia="仿宋_GB2312" w:cs="仿宋"/>
          <w:b/>
          <w:sz w:val="32"/>
          <w:szCs w:val="32"/>
        </w:rPr>
        <w:t>实施智能改造。</w:t>
      </w:r>
      <w:r>
        <w:rPr>
          <w:rFonts w:hint="eastAsia" w:ascii="仿宋_GB2312" w:eastAsia="仿宋_GB2312" w:cs="Calibri"/>
          <w:sz w:val="32"/>
          <w:szCs w:val="32"/>
        </w:rPr>
        <w:t>突出智能制造在“三大改造”中的引领作用，深入开展“设备换芯、生产换线、机器换人”和“企业上云”专项行动</w:t>
      </w:r>
      <w:r>
        <w:rPr>
          <w:rFonts w:hint="eastAsia" w:ascii="仿宋_GB2312" w:eastAsia="仿宋_GB2312"/>
          <w:sz w:val="32"/>
          <w:szCs w:val="32"/>
        </w:rPr>
        <w:t>，加快培育发展智能制造项目和智能车间、智能工厂建设，</w:t>
      </w:r>
      <w:r>
        <w:rPr>
          <w:rFonts w:hint="eastAsia" w:ascii="仿宋_GB2312" w:eastAsia="仿宋_GB2312" w:cs="Calibri"/>
          <w:sz w:val="32"/>
          <w:szCs w:val="32"/>
        </w:rPr>
        <w:t>加速制造业向智能经济形态转型，推动“西华制造”向“西华智造”转型。</w:t>
      </w:r>
      <w:r>
        <w:rPr>
          <w:rFonts w:hint="eastAsia" w:ascii="仿宋_GB2312" w:hAnsi="仿宋" w:eastAsia="仿宋_GB2312" w:cs="仿宋"/>
          <w:b/>
          <w:sz w:val="32"/>
          <w:szCs w:val="32"/>
        </w:rPr>
        <w:t>实施绿色改造。</w:t>
      </w:r>
      <w:r>
        <w:rPr>
          <w:rFonts w:hint="eastAsia" w:ascii="仿宋_GB2312" w:eastAsia="仿宋_GB2312" w:cs="Calibri"/>
          <w:sz w:val="32"/>
          <w:szCs w:val="32"/>
        </w:rPr>
        <w:t>深入开展绿色制造体系建设，</w:t>
      </w:r>
      <w:r>
        <w:rPr>
          <w:rFonts w:hint="eastAsia" w:ascii="仿宋_GB2312" w:hAnsi="楷体" w:eastAsia="仿宋_GB2312"/>
          <w:sz w:val="32"/>
          <w:szCs w:val="32"/>
        </w:rPr>
        <w:t>引导企业对照先进水平，实施节能、节水、</w:t>
      </w:r>
      <w:r>
        <w:rPr>
          <w:rFonts w:hint="eastAsia" w:ascii="仿宋_GB2312" w:eastAsia="仿宋_GB2312"/>
          <w:sz w:val="32"/>
          <w:szCs w:val="32"/>
        </w:rPr>
        <w:t>清洁生产和基础工艺绿色化改造</w:t>
      </w:r>
      <w:r>
        <w:rPr>
          <w:rFonts w:hint="eastAsia" w:ascii="仿宋_GB2312" w:hAnsi="楷体" w:eastAsia="仿宋_GB2312"/>
          <w:sz w:val="32"/>
          <w:szCs w:val="32"/>
        </w:rPr>
        <w:t>，积极创建绿色工厂，促进工业绿色发展</w:t>
      </w:r>
      <w:r>
        <w:rPr>
          <w:rFonts w:hint="eastAsia" w:ascii="仿宋_GB2312" w:eastAsia="仿宋_GB2312"/>
          <w:sz w:val="32"/>
          <w:szCs w:val="32"/>
        </w:rPr>
        <w:t>；</w:t>
      </w:r>
      <w:r>
        <w:rPr>
          <w:rFonts w:hint="eastAsia" w:ascii="仿宋_GB2312" w:hAnsi="仿宋" w:eastAsia="仿宋_GB2312" w:cs="仿宋"/>
          <w:sz w:val="32"/>
          <w:szCs w:val="32"/>
        </w:rPr>
        <w:t>高标准建设省级静脉产业园，打造“资源</w:t>
      </w:r>
      <w:r>
        <w:rPr>
          <w:rFonts w:ascii="仿宋_GB2312" w:hAnsi="仿宋" w:eastAsia="仿宋_GB2312" w:cs="仿宋"/>
          <w:sz w:val="32"/>
          <w:szCs w:val="32"/>
        </w:rPr>
        <w:t>—</w:t>
      </w:r>
      <w:r>
        <w:rPr>
          <w:rFonts w:hint="eastAsia" w:ascii="仿宋_GB2312" w:hAnsi="仿宋" w:eastAsia="仿宋_GB2312" w:cs="仿宋"/>
          <w:sz w:val="32"/>
          <w:szCs w:val="32"/>
        </w:rPr>
        <w:t>产品</w:t>
      </w:r>
      <w:r>
        <w:rPr>
          <w:rFonts w:ascii="仿宋_GB2312" w:hAnsi="仿宋" w:eastAsia="仿宋_GB2312" w:cs="仿宋"/>
          <w:sz w:val="32"/>
          <w:szCs w:val="32"/>
        </w:rPr>
        <w:t>—</w:t>
      </w:r>
      <w:r>
        <w:rPr>
          <w:rFonts w:hint="eastAsia" w:ascii="仿宋_GB2312" w:hAnsi="仿宋" w:eastAsia="仿宋_GB2312" w:cs="仿宋"/>
          <w:sz w:val="32"/>
          <w:szCs w:val="32"/>
        </w:rPr>
        <w:t>再生资源”循环经济模式，实现工业高效、清洁、绿色、循环和可持续发展。</w:t>
      </w:r>
      <w:r>
        <w:rPr>
          <w:rFonts w:hint="eastAsia" w:ascii="仿宋_GB2312" w:hAnsi="仿宋" w:eastAsia="仿宋_GB2312" w:cs="仿宋"/>
          <w:b/>
          <w:sz w:val="32"/>
          <w:szCs w:val="32"/>
        </w:rPr>
        <w:t>实施技术改造。</w:t>
      </w:r>
      <w:r>
        <w:rPr>
          <w:rFonts w:hint="eastAsia" w:ascii="仿宋_GB2312" w:hAnsi="仿宋" w:eastAsia="仿宋_GB2312" w:cs="仿宋"/>
          <w:kern w:val="32"/>
          <w:sz w:val="32"/>
          <w:szCs w:val="32"/>
        </w:rPr>
        <w:t>坚持以提质增效为中心，以新产品开发为重点，以“三对标四提高”为抓手，</w:t>
      </w:r>
      <w:r>
        <w:rPr>
          <w:rFonts w:hint="eastAsia" w:ascii="仿宋_GB2312" w:eastAsia="仿宋_GB2312"/>
          <w:sz w:val="32"/>
          <w:szCs w:val="32"/>
        </w:rPr>
        <w:t>引导和推动企业实施新一轮大规模技术改造</w:t>
      </w:r>
      <w:r>
        <w:rPr>
          <w:rFonts w:hint="eastAsia" w:ascii="仿宋_GB2312" w:hAnsi="仿宋" w:eastAsia="仿宋_GB2312" w:cs="仿宋"/>
          <w:kern w:val="32"/>
          <w:sz w:val="32"/>
          <w:szCs w:val="32"/>
        </w:rPr>
        <w:t>，</w:t>
      </w:r>
      <w:r>
        <w:rPr>
          <w:rFonts w:hint="eastAsia" w:ascii="仿宋_GB2312" w:eastAsia="仿宋_GB2312" w:cs="Calibri"/>
          <w:sz w:val="32"/>
          <w:szCs w:val="32"/>
        </w:rPr>
        <w:t>推动全县制造业技术、工艺、产品迭代升级</w:t>
      </w:r>
      <w:r>
        <w:rPr>
          <w:rFonts w:hint="eastAsia" w:ascii="仿宋_GB2312" w:hAnsi="仿宋" w:eastAsia="仿宋_GB2312" w:cs="仿宋"/>
          <w:kern w:val="32"/>
          <w:sz w:val="32"/>
          <w:szCs w:val="32"/>
        </w:rPr>
        <w:t>。</w:t>
      </w:r>
    </w:p>
    <w:p>
      <w:pPr>
        <w:spacing w:line="600" w:lineRule="exact"/>
        <w:ind w:firstLine="643" w:firstLineChars="200"/>
        <w:rPr>
          <w:rFonts w:ascii="Times New Roman" w:hAnsi="Times New Roman" w:eastAsia="仿宋_GB2312"/>
          <w:sz w:val="32"/>
          <w:szCs w:val="32"/>
        </w:rPr>
      </w:pPr>
      <w:bookmarkStart w:id="39" w:name="_Toc5900"/>
      <w:r>
        <w:rPr>
          <w:rFonts w:hint="eastAsia" w:ascii="仿宋_GB2312" w:eastAsia="仿宋_GB2312"/>
          <w:b/>
          <w:sz w:val="32"/>
          <w:szCs w:val="32"/>
        </w:rPr>
        <w:t>推动经开区“二次创业”</w:t>
      </w:r>
      <w:bookmarkEnd w:id="39"/>
      <w:r>
        <w:rPr>
          <w:rFonts w:hint="eastAsia" w:ascii="仿宋_GB2312" w:eastAsia="仿宋_GB2312"/>
          <w:b/>
          <w:sz w:val="32"/>
          <w:szCs w:val="32"/>
        </w:rPr>
        <w:t>。</w:t>
      </w:r>
      <w:r>
        <w:rPr>
          <w:rFonts w:hint="eastAsia" w:ascii="仿宋_GB2312" w:hAnsi="Times New Roman" w:eastAsia="仿宋_GB2312"/>
          <w:sz w:val="32"/>
          <w:szCs w:val="32"/>
        </w:rPr>
        <w:t>坚持以“特色论英雄、以亩产论英雄、以生态论英雄”的发展理念，以“三提”（亩均产出提高、集群培育提速、绿色发展提升）、“两改”（智能化改造、体制机制改革）为主要途径，着力优化内部空间布局，加快推进“一区六园”建设，促进形成布局合理、错位发展、功能协调的空间发展格局。深入推进高新区管理体制机制改革，创新开展“管委会</w:t>
      </w:r>
      <w:r>
        <w:rPr>
          <w:rFonts w:ascii="仿宋_GB2312" w:hAnsi="Times New Roman" w:eastAsia="仿宋_GB2312"/>
          <w:sz w:val="32"/>
          <w:szCs w:val="32"/>
        </w:rPr>
        <w:t>+</w:t>
      </w:r>
      <w:r>
        <w:rPr>
          <w:rFonts w:hint="eastAsia" w:ascii="仿宋_GB2312" w:hAnsi="Times New Roman" w:eastAsia="仿宋_GB2312"/>
          <w:sz w:val="32"/>
          <w:szCs w:val="32"/>
        </w:rPr>
        <w:t>公司”等形式的管理运营模式，提升经开区现代化治理水平，激发高新区“二次创业”动力活力。</w:t>
      </w:r>
      <w:r>
        <w:rPr>
          <w:rFonts w:hint="eastAsia" w:ascii="Times New Roman" w:hAnsi="Times New Roman" w:eastAsia="仿宋_GB2312"/>
          <w:sz w:val="32"/>
          <w:szCs w:val="32"/>
        </w:rPr>
        <w:t>到</w:t>
      </w:r>
      <w:r>
        <w:rPr>
          <w:rFonts w:ascii="Times New Roman" w:hAnsi="Times New Roman" w:eastAsia="仿宋_GB2312"/>
          <w:sz w:val="32"/>
          <w:szCs w:val="32"/>
        </w:rPr>
        <w:t>2025</w:t>
      </w:r>
      <w:r>
        <w:rPr>
          <w:rFonts w:hint="eastAsia" w:ascii="Times New Roman" w:hAnsi="Times New Roman" w:eastAsia="仿宋_GB2312"/>
          <w:sz w:val="32"/>
          <w:szCs w:val="32"/>
        </w:rPr>
        <w:t>年，经开区建成区面积达到</w:t>
      </w:r>
      <w:r>
        <w:rPr>
          <w:rFonts w:ascii="Times New Roman" w:hAnsi="Times New Roman" w:eastAsia="仿宋_GB2312"/>
          <w:sz w:val="32"/>
          <w:szCs w:val="32"/>
        </w:rPr>
        <w:t>70%</w:t>
      </w:r>
      <w:r>
        <w:rPr>
          <w:rFonts w:hint="eastAsia" w:ascii="Times New Roman" w:hAnsi="Times New Roman" w:eastAsia="仿宋_GB2312"/>
          <w:sz w:val="32"/>
          <w:szCs w:val="32"/>
        </w:rPr>
        <w:t>以上，主营业务收入年均增长率达到</w:t>
      </w:r>
      <w:r>
        <w:rPr>
          <w:rFonts w:ascii="Times New Roman" w:hAnsi="Times New Roman" w:eastAsia="仿宋_GB2312"/>
          <w:sz w:val="32"/>
          <w:szCs w:val="32"/>
        </w:rPr>
        <w:t>10%</w:t>
      </w:r>
      <w:r>
        <w:rPr>
          <w:rFonts w:hint="eastAsia" w:ascii="Times New Roman" w:hAnsi="Times New Roman" w:eastAsia="仿宋_GB2312"/>
          <w:sz w:val="32"/>
          <w:szCs w:val="32"/>
        </w:rPr>
        <w:t>以上，财政税收收入达到</w:t>
      </w:r>
      <w:r>
        <w:rPr>
          <w:rFonts w:ascii="Times New Roman" w:hAnsi="Times New Roman" w:eastAsia="仿宋_GB2312"/>
          <w:sz w:val="32"/>
          <w:szCs w:val="32"/>
        </w:rPr>
        <w:t>3</w:t>
      </w:r>
      <w:r>
        <w:rPr>
          <w:rFonts w:hint="eastAsia" w:ascii="Times New Roman" w:hAnsi="Times New Roman" w:eastAsia="仿宋_GB2312"/>
          <w:sz w:val="32"/>
          <w:szCs w:val="32"/>
        </w:rPr>
        <w:t>亿元，从业人员达到</w:t>
      </w:r>
      <w:r>
        <w:rPr>
          <w:rFonts w:ascii="Times New Roman" w:hAnsi="Times New Roman" w:eastAsia="仿宋_GB2312"/>
          <w:sz w:val="32"/>
          <w:szCs w:val="32"/>
        </w:rPr>
        <w:t>3.5</w:t>
      </w:r>
      <w:r>
        <w:rPr>
          <w:rFonts w:hint="eastAsia" w:ascii="Times New Roman" w:hAnsi="Times New Roman" w:eastAsia="仿宋_GB2312"/>
          <w:sz w:val="32"/>
          <w:szCs w:val="32"/>
        </w:rPr>
        <w:t>万人。</w:t>
      </w:r>
    </w:p>
    <w:tbl>
      <w:tblPr>
        <w:tblStyle w:val="11"/>
        <w:tblW w:w="5000" w:type="pct"/>
        <w:jc w:val="center"/>
        <w:tblLayout w:type="autofit"/>
        <w:tblCellMar>
          <w:top w:w="0" w:type="dxa"/>
          <w:left w:w="108" w:type="dxa"/>
          <w:bottom w:w="0" w:type="dxa"/>
          <w:right w:w="108" w:type="dxa"/>
        </w:tblCellMar>
      </w:tblPr>
      <w:tblGrid>
        <w:gridCol w:w="8946"/>
      </w:tblGrid>
      <w:tr>
        <w:tblPrEx>
          <w:tblCellMar>
            <w:top w:w="0" w:type="dxa"/>
            <w:left w:w="108" w:type="dxa"/>
            <w:bottom w:w="0" w:type="dxa"/>
            <w:right w:w="108" w:type="dxa"/>
          </w:tblCellMar>
        </w:tblPrEx>
        <w:trPr>
          <w:trHeight w:val="510" w:hRule="atLeast"/>
          <w:tblHeader/>
          <w:jc w:val="center"/>
        </w:trPr>
        <w:tc>
          <w:tcPr>
            <w:tcW w:w="5000" w:type="pct"/>
            <w:tcBorders>
              <w:top w:val="single" w:color="auto" w:sz="4" w:space="0"/>
              <w:left w:val="single" w:color="auto" w:sz="4" w:space="0"/>
              <w:bottom w:val="single" w:color="auto" w:sz="4" w:space="0"/>
              <w:right w:val="single" w:color="auto" w:sz="4" w:space="0"/>
            </w:tcBorders>
            <w:shd w:val="clear" w:color="auto" w:fill="339966"/>
            <w:vAlign w:val="center"/>
          </w:tcPr>
          <w:p>
            <w:pPr>
              <w:pStyle w:val="10"/>
              <w:spacing w:line="360" w:lineRule="auto"/>
              <w:rPr>
                <w:rFonts w:ascii="Times New Roman" w:hAnsi="Times New Roman" w:cs="Times New Roman"/>
                <w:sz w:val="26"/>
                <w:szCs w:val="26"/>
              </w:rPr>
            </w:pPr>
            <w:r>
              <w:rPr>
                <w:rFonts w:hint="eastAsia" w:ascii="Times New Roman" w:cs="Times New Roman"/>
                <w:b/>
                <w:bCs/>
                <w:color w:val="FFFFFF" w:themeColor="background1"/>
                <w:sz w:val="26"/>
                <w:szCs w:val="26"/>
                <w14:textFill>
                  <w14:solidFill>
                    <w14:schemeClr w14:val="bg1"/>
                  </w14:solidFill>
                </w14:textFill>
              </w:rPr>
              <w:t>专栏</w:t>
            </w:r>
            <w:r>
              <w:rPr>
                <w:rFonts w:hint="eastAsia" w:ascii="Times New Roman" w:hAnsi="Times New Roman" w:cs="Times New Roman"/>
                <w:b/>
                <w:bCs/>
                <w:color w:val="FFFFFF" w:themeColor="background1"/>
                <w:sz w:val="26"/>
                <w:szCs w:val="26"/>
                <w14:textFill>
                  <w14:solidFill>
                    <w14:schemeClr w14:val="bg1"/>
                  </w14:solidFill>
                </w14:textFill>
              </w:rPr>
              <w:t>1</w:t>
            </w:r>
            <w:r>
              <w:rPr>
                <w:rFonts w:hint="eastAsia" w:ascii="Times New Roman" w:cs="Times New Roman"/>
                <w:b/>
                <w:bCs/>
                <w:color w:val="FFFFFF" w:themeColor="background1"/>
                <w:sz w:val="26"/>
                <w:szCs w:val="26"/>
                <w14:textFill>
                  <w14:solidFill>
                    <w14:schemeClr w14:val="bg1"/>
                  </w14:solidFill>
                </w14:textFill>
              </w:rPr>
              <w:t>：“十四五”制造业高质量发展重点项目</w:t>
            </w:r>
          </w:p>
        </w:tc>
      </w:tr>
      <w:tr>
        <w:tblPrEx>
          <w:tblCellMar>
            <w:top w:w="0" w:type="dxa"/>
            <w:left w:w="108" w:type="dxa"/>
            <w:bottom w:w="0" w:type="dxa"/>
            <w:right w:w="108" w:type="dxa"/>
          </w:tblCellMar>
        </w:tblPrEx>
        <w:trPr>
          <w:trHeight w:val="529" w:hRule="atLeast"/>
          <w:jc w:val="center"/>
        </w:trPr>
        <w:tc>
          <w:tcPr>
            <w:tcW w:w="5000" w:type="pct"/>
            <w:tcBorders>
              <w:top w:val="single" w:color="auto" w:sz="4" w:space="0"/>
              <w:left w:val="single" w:color="auto" w:sz="4" w:space="0"/>
              <w:bottom w:val="single" w:color="auto" w:sz="4" w:space="0"/>
              <w:right w:val="single" w:color="auto" w:sz="4" w:space="0"/>
            </w:tcBorders>
            <w:vAlign w:val="center"/>
          </w:tcPr>
          <w:p>
            <w:pPr>
              <w:spacing w:line="324" w:lineRule="auto"/>
              <w:ind w:firstLine="482" w:firstLineChars="200"/>
              <w:rPr>
                <w:rFonts w:ascii="Times New Roman" w:hAnsi="宋体"/>
                <w:sz w:val="24"/>
              </w:rPr>
            </w:pPr>
            <w:r>
              <w:rPr>
                <w:rFonts w:hint="eastAsia" w:ascii="Times New Roman" w:hAnsi="宋体"/>
                <w:b/>
                <w:sz w:val="24"/>
              </w:rPr>
              <w:t>智能制造装备产业。</w:t>
            </w:r>
            <w:r>
              <w:rPr>
                <w:rFonts w:hint="eastAsia" w:ascii="Times New Roman" w:hAnsi="宋体"/>
                <w:sz w:val="24"/>
              </w:rPr>
              <w:t>重点推进耕德电子有限公司年加工4000万支手机配件一期建设项目、周口耕德电子有限公司年加工4000万支手机配件二期建设项目、周口耕德电子有限公司年加工4000万支手机配件三期建设项目、河南暖之郎石墨烯制品建设项目。</w:t>
            </w:r>
          </w:p>
          <w:p>
            <w:pPr>
              <w:spacing w:line="324" w:lineRule="auto"/>
              <w:ind w:firstLine="482" w:firstLineChars="200"/>
              <w:rPr>
                <w:rFonts w:ascii="Times New Roman" w:hAnsi="宋体"/>
                <w:sz w:val="24"/>
              </w:rPr>
            </w:pPr>
            <w:r>
              <w:rPr>
                <w:rFonts w:hint="eastAsia" w:ascii="Times New Roman" w:hAnsi="宋体"/>
                <w:b/>
                <w:sz w:val="24"/>
              </w:rPr>
              <w:t>食品加工产业。</w:t>
            </w:r>
            <w:r>
              <w:rPr>
                <w:rFonts w:hint="eastAsia" w:ascii="Times New Roman" w:hAnsi="宋体"/>
                <w:sz w:val="24"/>
              </w:rPr>
              <w:t>重点推进年屠宰1亿只肉鸡建设项目、西华双汇年产6万吨熟食加工项目、西华双汇饲料加工项目、西华双汇肉鸡孵化项目、西华双汇肉鸡养殖产业化项目、西华县胡辣汤工业化生产基地、西华县高油酸高档花生油加工项目及优质小麦面粉加工、枣花面粉加工示范园、华安食品工业园等项目建设。</w:t>
            </w:r>
          </w:p>
          <w:p>
            <w:pPr>
              <w:spacing w:line="324" w:lineRule="auto"/>
              <w:ind w:firstLine="482" w:firstLineChars="200"/>
              <w:rPr>
                <w:rFonts w:ascii="Times New Roman" w:hAnsi="宋体"/>
                <w:b/>
                <w:sz w:val="24"/>
              </w:rPr>
            </w:pPr>
            <w:r>
              <w:rPr>
                <w:rFonts w:hint="eastAsia" w:ascii="Times New Roman" w:hAnsi="宋体"/>
                <w:b/>
                <w:sz w:val="24"/>
              </w:rPr>
              <w:t>其他制造业项目。</w:t>
            </w:r>
            <w:r>
              <w:rPr>
                <w:rFonts w:hint="eastAsia" w:ascii="Times New Roman" w:hAnsi="宋体"/>
                <w:sz w:val="24"/>
              </w:rPr>
              <w:t>重点推进西华装配式建筑产业基地项目、西华县年产5000万平方瓦楞纸箱项目、西华县河南华兴益达新材科技有限公司年产3000万平方米高铁及汽车用装饰板项目、西华县未来汇通秸秆生态家居装饰材料生产基地项目、河南中爽铝业科技有限公司年生产10000吨铝型材深加工项目、西华县经开区国家增量配电网改革试点项目、年产1.3亿片布艺小彩巾和1500万件护理裤建设项目、河南中经再生资源有限公司年回收加工120万吨废旧物资建设项目、西华县宇升家具有限公司年产2.4万套软体家具生产项目、河南普瑞制药二期工程等项目建设。</w:t>
            </w:r>
          </w:p>
        </w:tc>
      </w:tr>
    </w:tbl>
    <w:p>
      <w:pPr>
        <w:pStyle w:val="3"/>
        <w:spacing w:before="120" w:after="120" w:line="600" w:lineRule="exact"/>
        <w:jc w:val="center"/>
        <w:rPr>
          <w:rFonts w:ascii="仿宋_GB2312" w:eastAsia="仿宋_GB2312"/>
        </w:rPr>
      </w:pPr>
      <w:bookmarkStart w:id="40" w:name="_Toc65514267"/>
      <w:r>
        <w:rPr>
          <w:rFonts w:hint="eastAsia" w:ascii="仿宋_GB2312" w:eastAsia="仿宋_GB2312"/>
        </w:rPr>
        <w:t>第三节 打造豫东现代服务业发展新高地</w:t>
      </w:r>
      <w:bookmarkEnd w:id="40"/>
    </w:p>
    <w:p>
      <w:pPr>
        <w:spacing w:line="60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坚持把发展现代服务业作为推动产业结构优化升级、提高经济质量效益的战略重点，着力发展壮大特色优势服务业，加快培育新兴服务业，改造提升传统服务业，</w:t>
      </w:r>
      <w:r>
        <w:rPr>
          <w:rFonts w:hint="eastAsia" w:ascii="Times New Roman" w:hAnsi="Times New Roman" w:eastAsia="仿宋_GB2312"/>
          <w:sz w:val="32"/>
          <w:szCs w:val="32"/>
        </w:rPr>
        <w:t>加快服务内容和业态模式创新，提升专业化、便利化、精细化服务水平</w:t>
      </w:r>
      <w:r>
        <w:rPr>
          <w:rFonts w:hint="eastAsia" w:ascii="仿宋_GB2312" w:hAnsi="Times New Roman" w:eastAsia="仿宋_GB2312"/>
          <w:sz w:val="32"/>
          <w:szCs w:val="32"/>
        </w:rPr>
        <w:t>，打造县域经济增长新引擎。</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sz w:val="32"/>
          <w:szCs w:val="32"/>
        </w:rPr>
        <w:t>提质发展三大特色服务业。</w:t>
      </w:r>
      <w:r>
        <w:rPr>
          <w:rFonts w:hint="eastAsia" w:ascii="仿宋_GB2312" w:hAnsi="Times New Roman" w:eastAsia="仿宋_GB2312"/>
          <w:sz w:val="32"/>
          <w:szCs w:val="32"/>
        </w:rPr>
        <w:t>立足西华县服务业发展基础和转型需求，聚合资源、提质发展现代物流、文化旅游、商贸服务等三大特色服务业，引领和支撑全县服务业转型发展。</w:t>
      </w:r>
      <w:r>
        <w:rPr>
          <w:rFonts w:hint="eastAsia" w:ascii="楷体_GB2312" w:hAnsi="Times New Roman" w:eastAsia="楷体_GB2312"/>
          <w:b/>
          <w:sz w:val="32"/>
          <w:szCs w:val="32"/>
        </w:rPr>
        <w:t>现代物流。</w:t>
      </w:r>
      <w:r>
        <w:rPr>
          <w:rFonts w:hint="eastAsia" w:ascii="仿宋_GB2312" w:eastAsia="仿宋_GB2312"/>
          <w:sz w:val="32"/>
          <w:szCs w:val="32"/>
        </w:rPr>
        <w:t>充分发挥西华地理区位和综合交通优势，围绕周口中原港城和高铁经济带、沙颍河生态经济带建设，</w:t>
      </w:r>
      <w:r>
        <w:rPr>
          <w:rFonts w:hint="eastAsia" w:ascii="仿宋_GB2312" w:hAnsi="Times New Roman" w:eastAsia="仿宋_GB2312"/>
          <w:sz w:val="32"/>
          <w:szCs w:val="32"/>
        </w:rPr>
        <w:t>加快推进物流基础设施建设，积极引进行业物流龙头企业，大力发展</w:t>
      </w:r>
      <w:r>
        <w:rPr>
          <w:rFonts w:hint="eastAsia" w:ascii="仿宋_GB2312" w:eastAsia="仿宋_GB2312"/>
          <w:sz w:val="32"/>
          <w:szCs w:val="32"/>
        </w:rPr>
        <w:t>“水、陆、空、铁”</w:t>
      </w:r>
      <w:r>
        <w:rPr>
          <w:rFonts w:hint="eastAsia" w:ascii="仿宋_GB2312" w:hAnsi="Times New Roman" w:eastAsia="仿宋_GB2312"/>
          <w:sz w:val="32"/>
          <w:szCs w:val="32"/>
        </w:rPr>
        <w:t>多式联运，</w:t>
      </w:r>
      <w:r>
        <w:rPr>
          <w:rFonts w:hint="eastAsia" w:ascii="仿宋_GB2312" w:eastAsia="仿宋_GB2312"/>
          <w:sz w:val="32"/>
          <w:szCs w:val="32"/>
        </w:rPr>
        <w:t>全面融入中原港城物流中心网络，</w:t>
      </w:r>
      <w:r>
        <w:rPr>
          <w:rFonts w:hint="eastAsia" w:ascii="仿宋_GB2312" w:hAnsi="Times New Roman" w:eastAsia="仿宋_GB2312"/>
          <w:sz w:val="32"/>
          <w:szCs w:val="32"/>
        </w:rPr>
        <w:t>持续提升全县物流行业能级</w:t>
      </w:r>
      <w:r>
        <w:rPr>
          <w:rFonts w:hint="eastAsia" w:ascii="仿宋_GB2312" w:hAnsi="Times New Roman" w:eastAsia="仿宋_GB2312"/>
          <w:sz w:val="31"/>
          <w:szCs w:val="31"/>
        </w:rPr>
        <w:t>。重点</w:t>
      </w:r>
      <w:r>
        <w:rPr>
          <w:rFonts w:hint="eastAsia" w:ascii="仿宋_GB2312" w:hAnsi="Times New Roman" w:eastAsia="仿宋_GB2312"/>
          <w:sz w:val="32"/>
          <w:szCs w:val="32"/>
        </w:rPr>
        <w:t>加快逍遥港建设进程，全面推进逍遥港与周口港、上海港的无缝对接，深化与省物资集团、郑州国际陆港公司等战略合作，吸引更多大宗商品向西华集聚，借助“黄金水道”独特优势，全面推进口岸功能区、装备制造园区、保税园区、物流园区等临港产业园区建设；发挥</w:t>
      </w:r>
      <w:r>
        <w:rPr>
          <w:rFonts w:hint="eastAsia" w:ascii="仿宋_GB2312" w:hAnsi="仿宋" w:eastAsia="仿宋_GB2312" w:cs="仿宋"/>
          <w:sz w:val="32"/>
          <w:szCs w:val="32"/>
        </w:rPr>
        <w:t>西华机场基础设施齐全、功能先进、行业领先的优势，提质发展航空物流产业；大力发展多式联运，发挥高铁通车、高速密集的优势，把周口港、逍遥港、西华机场与郑阜高铁及境内多条高速贯通起来，加快推进中心城区中州大道北延线建设，促进“周西”道路连接、生态对接、产业承接，全面提升“航空、水运、高铁、高速”多位一体多式联运交通区位优势，使西华成为名符其实的中部地区水陆空铁多式联运重要节点城市。</w:t>
      </w:r>
      <w:r>
        <w:rPr>
          <w:rFonts w:hint="eastAsia" w:ascii="仿宋_GB2312" w:hAnsi="Times New Roman" w:eastAsia="仿宋_GB2312"/>
          <w:b/>
          <w:bCs/>
          <w:sz w:val="32"/>
          <w:szCs w:val="32"/>
        </w:rPr>
        <w:t>文化旅游</w:t>
      </w:r>
      <w:r>
        <w:rPr>
          <w:rFonts w:hint="eastAsia" w:ascii="仿宋_GB2312" w:hAnsi="Times New Roman" w:eastAsia="仿宋_GB2312"/>
          <w:b/>
          <w:sz w:val="32"/>
          <w:szCs w:val="32"/>
        </w:rPr>
        <w:t>。</w:t>
      </w:r>
      <w:r>
        <w:rPr>
          <w:rFonts w:hint="eastAsia" w:ascii="仿宋_GB2312" w:hAnsi="Times New Roman" w:eastAsia="仿宋_GB2312"/>
          <w:sz w:val="32"/>
          <w:szCs w:val="32"/>
        </w:rPr>
        <w:t>坚持全域旅游发展理念，围绕全国有影响力的文化新高地建设目标，深入挖掘“盘古女娲创世文化”“红色文化”“鸿沟文化”“大曲艺文化”“观光农业文化”“美食文化”等特色文化资源，规划建设若干处独具西华特色的文化集群，打造国际知名、全国一流的文化旅游目的地。重点</w:t>
      </w:r>
      <w:r>
        <w:rPr>
          <w:rFonts w:hint="eastAsia" w:ascii="Times New Roman" w:hAnsi="Times New Roman" w:eastAsia="仿宋_GB2312"/>
          <w:sz w:val="32"/>
          <w:szCs w:val="32"/>
        </w:rPr>
        <w:t>加快沙颍河生态文化旅游带建设，做优盘古文化创世文化园，提质升级两湖历史文化街区、豫东特委旧址建设及周边村落红色旅游景观改造项目建设；以打造胡辣汤观光产业园为重点，加快推进逍遥古镇和文旅小镇等项目建设，拓展胡辣汤产业发展路径，全面加快胡辣汤产业规范化、品牌化、标准化进程，推动胡辣汤产业向特色种植养殖、高端汤料和方便食品加工、非物质文化遗产展示展演、个性化定制餐饮服务、饮食文化和特色旅游多方位融合发展，实现胡辣汤产业全产业链发展、跨界转型升级，让胡辣汤这块金字招牌叫响全国、走向世界、造福百姓。</w:t>
      </w:r>
      <w:r>
        <w:rPr>
          <w:rFonts w:hint="eastAsia" w:ascii="楷体_GB2312" w:eastAsia="楷体_GB2312" w:cs="Calibri"/>
          <w:b/>
          <w:sz w:val="32"/>
          <w:szCs w:val="32"/>
        </w:rPr>
        <w:t>现代商贸。</w:t>
      </w:r>
      <w:r>
        <w:rPr>
          <w:rFonts w:ascii="Times New Roman" w:hAnsi="Times New Roman" w:eastAsia="仿宋_GB2312"/>
          <w:sz w:val="32"/>
          <w:szCs w:val="32"/>
        </w:rPr>
        <w:t>完善县域商贸网点布局规划，加快推进城区、镇区、景区商贸服务业发展，着力打造核心商圈、爆点级商业综合体、特色商业街区、社区便民商业网点等，不断改善和增强</w:t>
      </w:r>
      <w:r>
        <w:rPr>
          <w:rFonts w:hint="eastAsia" w:ascii="Times New Roman" w:hAnsi="Times New Roman" w:eastAsia="仿宋_GB2312"/>
          <w:sz w:val="32"/>
          <w:szCs w:val="32"/>
        </w:rPr>
        <w:t>西华</w:t>
      </w:r>
      <w:r>
        <w:rPr>
          <w:rFonts w:ascii="Times New Roman" w:hAnsi="Times New Roman" w:eastAsia="仿宋_GB2312"/>
          <w:sz w:val="32"/>
          <w:szCs w:val="32"/>
        </w:rPr>
        <w:t>本地消费供给能力，吸引商业消费向本地回流。重点强化新型商业载体建设，以特色商业区、临空经济实验区、电商物流产业园等，大力发展进出口贸易，鼓励外贸企业转型升级，大力发展跨境电商、网上交易等外贸工作新业态新模式，构建具有现代气息的商贸服务业格局；培育壮大县城核心商圈，</w:t>
      </w:r>
      <w:r>
        <w:rPr>
          <w:rFonts w:hint="eastAsia" w:ascii="Times New Roman" w:hAnsi="Times New Roman" w:eastAsia="仿宋_GB2312"/>
          <w:sz w:val="32"/>
          <w:szCs w:val="32"/>
        </w:rPr>
        <w:t>加快推进红星美凯龙家居商城、润商新中心商城等商业综合体建设，积极引进咏泰集团城市会客厅、新壹城集团国际商业广场等项目，</w:t>
      </w:r>
      <w:r>
        <w:rPr>
          <w:rFonts w:ascii="Times New Roman" w:hAnsi="Times New Roman" w:eastAsia="仿宋_GB2312"/>
          <w:sz w:val="32"/>
          <w:szCs w:val="32"/>
        </w:rPr>
        <w:t>引导名品、名店集聚发展，打造爆点级商业综合体，提升西华商贸服务业发展能级，增强西华商业活力和吸引力；加快建设特色街区，改造提升文化街、商业街、美食街等特色街区，着力打造3-5个示范特色商业街区；提质发展社区商业，优化便利店网点布局，以社区商超、精品便利店、老字号等为重点，在全县各街道办、农村社区打造100个以上品牌连锁社区商业服务点，推动社区商业提质升级。</w:t>
      </w:r>
    </w:p>
    <w:p>
      <w:pPr>
        <w:spacing w:line="600" w:lineRule="exact"/>
        <w:ind w:firstLine="643" w:firstLineChars="200"/>
        <w:rPr>
          <w:rFonts w:ascii="仿宋_GB2312" w:hAnsi="Times New Roman" w:eastAsia="仿宋_GB2312"/>
          <w:sz w:val="32"/>
          <w:szCs w:val="32"/>
        </w:rPr>
      </w:pPr>
      <w:r>
        <w:rPr>
          <w:rFonts w:hint="eastAsia" w:ascii="Times New Roman" w:hAnsi="Times New Roman" w:eastAsia="仿宋_GB2312"/>
          <w:b/>
          <w:sz w:val="32"/>
          <w:szCs w:val="32"/>
        </w:rPr>
        <w:t>培育壮大四大新兴服务业。</w:t>
      </w:r>
      <w:r>
        <w:rPr>
          <w:rFonts w:hint="eastAsia" w:ascii="仿宋_GB2312" w:eastAsia="仿宋_GB2312" w:cs="Calibri"/>
          <w:sz w:val="32"/>
          <w:szCs w:val="32"/>
        </w:rPr>
        <w:t>统筹推进电子商务、商务金融、科技服务、健康养老等新兴服务业发展，不断拓展现代服务业发展新空间。</w:t>
      </w:r>
      <w:r>
        <w:rPr>
          <w:rFonts w:hint="eastAsia" w:ascii="楷体_GB2312" w:eastAsia="楷体_GB2312" w:cs="Calibri"/>
          <w:b/>
          <w:sz w:val="32"/>
          <w:szCs w:val="32"/>
        </w:rPr>
        <w:t>电子商务。</w:t>
      </w:r>
      <w:r>
        <w:rPr>
          <w:rFonts w:hint="eastAsia" w:ascii="仿宋_GB2312" w:hAnsi="Times New Roman" w:eastAsia="仿宋_GB2312"/>
          <w:sz w:val="32"/>
          <w:szCs w:val="32"/>
        </w:rPr>
        <w:t>围绕国家电子商务进农村示范县和国家级电子商务示范园区创建，着力构</w:t>
      </w:r>
      <w:r>
        <w:rPr>
          <w:rFonts w:hint="eastAsia" w:ascii="仿宋_GB2312" w:eastAsia="仿宋_GB2312" w:cs="Calibri"/>
          <w:sz w:val="32"/>
          <w:szCs w:val="32"/>
        </w:rPr>
        <w:t>建豫东最具竞争力的电商产业集群，打造县域经济发展新引擎、新动能。重点加快培育引进电商经营主体，加强与阿里巴巴、京东、苏宁等国内知名电商企业战略合作，鼓励设立电商总部、运营中心、技术中心、结算中心，建设西华电商产业带；依托电子商务产业园和村级电商服务站，大力发展电商物流、快递物流、冷链物流等产业，积极培育第三方电子商务平台和公共服务平台，打造集信息展示、电子交易、电子结算、贸易融资、现代物流等功能的亿元级大型电子商务平台。</w:t>
      </w:r>
      <w:r>
        <w:rPr>
          <w:rFonts w:hint="eastAsia" w:ascii="楷体_GB2312" w:eastAsia="楷体_GB2312" w:cs="Calibri"/>
          <w:b/>
          <w:sz w:val="32"/>
          <w:szCs w:val="32"/>
        </w:rPr>
        <w:t>商务金融。</w:t>
      </w:r>
      <w:r>
        <w:rPr>
          <w:rFonts w:hint="eastAsia" w:ascii="仿宋_GB2312" w:hAnsi="Times New Roman" w:eastAsia="仿宋_GB2312"/>
          <w:sz w:val="32"/>
          <w:szCs w:val="32"/>
        </w:rPr>
        <w:t>依托特色商业区平台载体，加快商务、金融、会展等现代服务业集聚发展</w:t>
      </w:r>
      <w:r>
        <w:rPr>
          <w:rFonts w:hint="eastAsia" w:ascii="仿宋_GB2312" w:eastAsia="仿宋_GB2312" w:cs="Calibri"/>
          <w:sz w:val="32"/>
          <w:szCs w:val="32"/>
        </w:rPr>
        <w:t>，重点加快发展总部经济，高标准建设一批功能齐全的综合楼宇，着力引进区域性总部、功能性总部等多元化总部企业，打造税收超千万的特色商务楼宇；大力发展现代金融业，着力引进地方股份制银行、金融租赁公司、融资租赁公司等新型金融市场主体，创新发展科技金融、供应链金融等新型金融产品和服务，深入推进普惠金融改革，培育服务小微企业的中小金融机构，建设基于大数据的金融信用和风险防控体系，推进实施“互联网</w:t>
      </w:r>
      <w:r>
        <w:rPr>
          <w:rFonts w:ascii="仿宋_GB2312" w:eastAsia="仿宋_GB2312" w:cs="Calibri"/>
          <w:sz w:val="32"/>
          <w:szCs w:val="32"/>
        </w:rPr>
        <w:t>+</w:t>
      </w:r>
      <w:r>
        <w:rPr>
          <w:rFonts w:hint="eastAsia" w:ascii="仿宋_GB2312" w:eastAsia="仿宋_GB2312" w:cs="Calibri"/>
          <w:sz w:val="32"/>
          <w:szCs w:val="32"/>
        </w:rPr>
        <w:t>”普惠金融行动，谋划建设西华金融云服务平台</w:t>
      </w:r>
      <w:r>
        <w:rPr>
          <w:rFonts w:hint="eastAsia" w:ascii="仿宋_GB2312" w:hAnsi="Times New Roman" w:eastAsia="仿宋_GB2312"/>
          <w:sz w:val="32"/>
          <w:szCs w:val="32"/>
        </w:rPr>
        <w:t>。</w:t>
      </w:r>
      <w:r>
        <w:rPr>
          <w:rFonts w:hint="eastAsia" w:ascii="楷体_GB2312" w:eastAsia="楷体_GB2312" w:cs="Calibri"/>
          <w:b/>
          <w:sz w:val="32"/>
          <w:szCs w:val="32"/>
        </w:rPr>
        <w:t>科技服务。</w:t>
      </w:r>
      <w:r>
        <w:rPr>
          <w:rFonts w:hint="eastAsia" w:ascii="仿宋_GB2312" w:eastAsia="仿宋_GB2312" w:cs="Calibri"/>
          <w:sz w:val="32"/>
          <w:szCs w:val="32"/>
        </w:rPr>
        <w:t>围绕黄淮平原高质高效农业发展需要，以现代科技为基础，形成以科技</w:t>
      </w:r>
      <w:r>
        <w:rPr>
          <w:rFonts w:hint="eastAsia" w:ascii="仿宋_GB2312" w:hAnsi="Times New Roman" w:eastAsia="仿宋_GB2312"/>
          <w:sz w:val="32"/>
          <w:szCs w:val="32"/>
        </w:rPr>
        <w:t>研发服务、检验检测认证服务、知识产权服务、技术转移服务、科普综合服务等为主，覆盖科技创新全链条的现代农业科技服务体系；聚焦通用航空、智能制造、食品加工等产业转型升级需求，鼓励龙头骨干企业与相关科研院所建立市场化新型研发机构，加强产品外观、结构、功能研发设计，提升产品附加值</w:t>
      </w:r>
      <w:r>
        <w:rPr>
          <w:rFonts w:hint="eastAsia" w:ascii="仿宋_GB2312" w:hAnsi="Times New Roman" w:eastAsia="仿宋_GB2312"/>
          <w:bCs/>
          <w:sz w:val="32"/>
          <w:szCs w:val="32"/>
          <w:shd w:val="clear" w:color="auto" w:fill="FFFFFF"/>
        </w:rPr>
        <w:t>；</w:t>
      </w:r>
      <w:r>
        <w:rPr>
          <w:rFonts w:hint="eastAsia" w:ascii="仿宋_GB2312" w:hAnsi="Times New Roman" w:eastAsia="仿宋_GB2312"/>
          <w:sz w:val="32"/>
          <w:szCs w:val="32"/>
        </w:rPr>
        <w:t>围绕工业互联网、智慧城市、数字医疗等领域，做优智慧科技服务业，积极培育工业互联网，探索导入工业互联网技术供应商，吸引信息化科技服务商集聚发展。</w:t>
      </w:r>
      <w:r>
        <w:rPr>
          <w:rFonts w:hint="eastAsia" w:ascii="楷体_GB2312" w:eastAsia="楷体_GB2312" w:cs="Calibri"/>
          <w:b/>
          <w:sz w:val="32"/>
          <w:szCs w:val="32"/>
        </w:rPr>
        <w:t>健康养老。</w:t>
      </w:r>
      <w:r>
        <w:rPr>
          <w:rFonts w:hint="eastAsia" w:ascii="Times New Roman" w:hAnsi="Times New Roman" w:eastAsia="仿宋_GB2312"/>
          <w:sz w:val="32"/>
          <w:szCs w:val="32"/>
        </w:rPr>
        <w:t>充分发挥西华滨水自然生态、特色优质农产品</w:t>
      </w:r>
      <w:r>
        <w:rPr>
          <w:rFonts w:hint="eastAsia" w:ascii="仿宋_GB2312" w:eastAsia="仿宋_GB2312"/>
          <w:sz w:val="32"/>
          <w:szCs w:val="32"/>
        </w:rPr>
        <w:t>、</w:t>
      </w:r>
      <w:r>
        <w:rPr>
          <w:rFonts w:hint="eastAsia" w:ascii="Times New Roman" w:hAnsi="Times New Roman" w:eastAsia="仿宋_GB2312"/>
          <w:sz w:val="32"/>
          <w:szCs w:val="32"/>
        </w:rPr>
        <w:t>特色</w:t>
      </w:r>
      <w:r>
        <w:rPr>
          <w:rFonts w:hint="eastAsia" w:ascii="仿宋_GB2312" w:eastAsia="仿宋_GB2312"/>
          <w:sz w:val="32"/>
          <w:szCs w:val="32"/>
        </w:rPr>
        <w:t>美食文化</w:t>
      </w:r>
      <w:r>
        <w:rPr>
          <w:rFonts w:hint="eastAsia" w:ascii="Times New Roman" w:hAnsi="Times New Roman" w:eastAsia="仿宋_GB2312"/>
          <w:sz w:val="32"/>
          <w:szCs w:val="32"/>
        </w:rPr>
        <w:t>等优势，</w:t>
      </w:r>
      <w:r>
        <w:rPr>
          <w:rFonts w:hint="eastAsia" w:ascii="仿宋_GB2312" w:eastAsia="仿宋_GB2312"/>
          <w:sz w:val="32"/>
          <w:szCs w:val="32"/>
        </w:rPr>
        <w:t>整合县域健康、医疗等资源，</w:t>
      </w:r>
      <w:r>
        <w:rPr>
          <w:rFonts w:hint="eastAsia" w:ascii="Times New Roman" w:hAnsi="Times New Roman" w:eastAsia="仿宋_GB2312"/>
          <w:sz w:val="32"/>
          <w:szCs w:val="32"/>
        </w:rPr>
        <w:t>面向老年人、城市亚健康人群以及特殊职业人群等群体，</w:t>
      </w:r>
      <w:r>
        <w:rPr>
          <w:rFonts w:hint="eastAsia" w:ascii="仿宋_GB2312" w:hAnsi="仿宋" w:eastAsia="仿宋_GB2312" w:cs="仿宋"/>
          <w:sz w:val="32"/>
          <w:szCs w:val="32"/>
        </w:rPr>
        <w:t>创新发展“康养</w:t>
      </w:r>
      <w:r>
        <w:rPr>
          <w:rFonts w:ascii="仿宋_GB2312" w:hAnsi="仿宋" w:eastAsia="仿宋_GB2312" w:cs="仿宋"/>
          <w:sz w:val="32"/>
          <w:szCs w:val="32"/>
        </w:rPr>
        <w:t>+</w:t>
      </w:r>
      <w:r>
        <w:rPr>
          <w:rFonts w:hint="eastAsia" w:ascii="仿宋_GB2312" w:hAnsi="仿宋" w:eastAsia="仿宋_GB2312" w:cs="仿宋"/>
          <w:sz w:val="32"/>
          <w:szCs w:val="32"/>
        </w:rPr>
        <w:t>农业”、“康养</w:t>
      </w:r>
      <w:r>
        <w:rPr>
          <w:rFonts w:ascii="仿宋_GB2312" w:hAnsi="仿宋" w:eastAsia="仿宋_GB2312" w:cs="仿宋"/>
          <w:sz w:val="32"/>
          <w:szCs w:val="32"/>
        </w:rPr>
        <w:t>+</w:t>
      </w:r>
      <w:r>
        <w:rPr>
          <w:rFonts w:hint="eastAsia" w:ascii="仿宋_GB2312" w:hAnsi="仿宋" w:eastAsia="仿宋_GB2312" w:cs="仿宋"/>
          <w:sz w:val="32"/>
          <w:szCs w:val="32"/>
        </w:rPr>
        <w:t>旅游”、“康养</w:t>
      </w:r>
      <w:r>
        <w:rPr>
          <w:rFonts w:ascii="仿宋_GB2312" w:hAnsi="仿宋" w:eastAsia="仿宋_GB2312" w:cs="仿宋"/>
          <w:sz w:val="32"/>
          <w:szCs w:val="32"/>
        </w:rPr>
        <w:t>+</w:t>
      </w:r>
      <w:r>
        <w:rPr>
          <w:rFonts w:hint="eastAsia" w:ascii="仿宋_GB2312" w:hAnsi="仿宋" w:eastAsia="仿宋_GB2312" w:cs="仿宋"/>
          <w:sz w:val="32"/>
          <w:szCs w:val="32"/>
        </w:rPr>
        <w:t>体育”等产业融合发展模式，</w:t>
      </w:r>
      <w:r>
        <w:rPr>
          <w:rFonts w:hint="eastAsia" w:ascii="仿宋_GB2312" w:eastAsia="仿宋_GB2312"/>
          <w:sz w:val="32"/>
          <w:szCs w:val="32"/>
        </w:rPr>
        <w:t>大力发展</w:t>
      </w:r>
      <w:r>
        <w:rPr>
          <w:rFonts w:hint="eastAsia" w:ascii="Times New Roman" w:hAnsi="Times New Roman" w:eastAsia="仿宋_GB2312"/>
          <w:sz w:val="32"/>
          <w:szCs w:val="32"/>
        </w:rPr>
        <w:t>田园养老</w:t>
      </w:r>
      <w:r>
        <w:rPr>
          <w:rFonts w:hint="eastAsia" w:ascii="仿宋_GB2312" w:hAnsi="Times New Roman" w:eastAsia="仿宋_GB2312"/>
          <w:sz w:val="32"/>
          <w:szCs w:val="32"/>
        </w:rPr>
        <w:t>、生态旅居、</w:t>
      </w:r>
      <w:r>
        <w:rPr>
          <w:rFonts w:hint="eastAsia" w:ascii="仿宋_GB2312" w:eastAsia="仿宋_GB2312"/>
          <w:sz w:val="32"/>
          <w:szCs w:val="32"/>
        </w:rPr>
        <w:t>康复疗养、食药</w:t>
      </w:r>
      <w:r>
        <w:rPr>
          <w:rFonts w:hint="eastAsia" w:ascii="仿宋_GB2312" w:hAnsi="Times New Roman" w:eastAsia="仿宋_GB2312"/>
          <w:sz w:val="32"/>
          <w:szCs w:val="32"/>
        </w:rPr>
        <w:t>保健</w:t>
      </w:r>
      <w:r>
        <w:rPr>
          <w:rFonts w:hint="eastAsia" w:ascii="仿宋_GB2312" w:eastAsia="仿宋_GB2312"/>
          <w:sz w:val="32"/>
          <w:szCs w:val="32"/>
        </w:rPr>
        <w:t>等康养业态，</w:t>
      </w:r>
      <w:r>
        <w:rPr>
          <w:rFonts w:hint="eastAsia" w:ascii="Times New Roman" w:hAnsi="Times New Roman" w:eastAsia="仿宋_GB2312"/>
          <w:sz w:val="32"/>
          <w:szCs w:val="32"/>
        </w:rPr>
        <w:t>高品质建设养老度假村</w:t>
      </w:r>
      <w:r>
        <w:rPr>
          <w:rFonts w:hint="eastAsia" w:ascii="仿宋_GB2312" w:hAnsi="Times New Roman" w:eastAsia="仿宋_GB2312"/>
          <w:sz w:val="32"/>
          <w:szCs w:val="32"/>
        </w:rPr>
        <w:t>、婚育保健基地、康复疗养中心等康养项目，着力打造豫东地区重要的健康养老基地</w:t>
      </w:r>
      <w:r>
        <w:rPr>
          <w:rFonts w:hint="eastAsia" w:ascii="仿宋_GB2312" w:eastAsia="仿宋_GB2312"/>
          <w:sz w:val="32"/>
          <w:szCs w:val="32"/>
        </w:rPr>
        <w:t>。</w:t>
      </w:r>
    </w:p>
    <w:p>
      <w:pPr>
        <w:spacing w:line="600" w:lineRule="exact"/>
        <w:ind w:firstLine="643" w:firstLineChars="200"/>
        <w:rPr>
          <w:rFonts w:ascii="仿宋_GB2312" w:eastAsia="仿宋_GB2312"/>
          <w:sz w:val="32"/>
          <w:szCs w:val="32"/>
        </w:rPr>
      </w:pPr>
      <w:bookmarkStart w:id="41" w:name="_Toc7256"/>
      <w:r>
        <w:rPr>
          <w:rFonts w:hint="eastAsia" w:ascii="仿宋_GB2312" w:hAnsi="Times New Roman" w:eastAsia="仿宋_GB2312"/>
          <w:b/>
          <w:sz w:val="32"/>
          <w:szCs w:val="32"/>
        </w:rPr>
        <w:t>改造提升传统服务业</w:t>
      </w:r>
      <w:bookmarkEnd w:id="41"/>
      <w:r>
        <w:rPr>
          <w:rFonts w:hint="eastAsia" w:ascii="仿宋_GB2312" w:hAnsi="Times New Roman" w:eastAsia="仿宋_GB2312"/>
          <w:b/>
          <w:sz w:val="32"/>
          <w:szCs w:val="32"/>
        </w:rPr>
        <w:t>。</w:t>
      </w:r>
      <w:r>
        <w:rPr>
          <w:rFonts w:hint="eastAsia" w:ascii="仿宋_GB2312" w:hAnsi="Times New Roman" w:eastAsia="仿宋_GB2312"/>
          <w:bCs/>
          <w:sz w:val="32"/>
          <w:szCs w:val="32"/>
        </w:rPr>
        <w:t>适应消费升级趋势，</w:t>
      </w:r>
      <w:r>
        <w:rPr>
          <w:rFonts w:hint="eastAsia" w:ascii="Times New Roman" w:hAnsi="Times New Roman" w:eastAsia="仿宋_GB2312"/>
          <w:spacing w:val="-10"/>
          <w:kern w:val="0"/>
          <w:sz w:val="32"/>
          <w:szCs w:val="32"/>
        </w:rPr>
        <w:t>应用现代管理理念、信息技术和新型业态模式，加快房地产、住宿餐饮等传统</w:t>
      </w:r>
      <w:r>
        <w:rPr>
          <w:rFonts w:hint="eastAsia" w:ascii="仿宋_GB2312" w:hAnsi="Times New Roman" w:eastAsia="仿宋_GB2312"/>
          <w:spacing w:val="-10"/>
          <w:kern w:val="0"/>
          <w:sz w:val="32"/>
          <w:szCs w:val="32"/>
        </w:rPr>
        <w:t>服</w:t>
      </w:r>
      <w:r>
        <w:rPr>
          <w:rFonts w:hint="eastAsia" w:ascii="仿宋_GB2312" w:eastAsia="仿宋_GB2312"/>
          <w:sz w:val="32"/>
          <w:szCs w:val="32"/>
        </w:rPr>
        <w:t>务业改造提升，</w:t>
      </w:r>
      <w:r>
        <w:rPr>
          <w:rFonts w:hint="eastAsia" w:ascii="仿宋_GB2312" w:hAnsi="Times New Roman" w:eastAsia="仿宋_GB2312"/>
          <w:sz w:val="32"/>
          <w:szCs w:val="32"/>
        </w:rPr>
        <w:t>培育服务业竞争新优势</w:t>
      </w:r>
      <w:r>
        <w:rPr>
          <w:rFonts w:hint="eastAsia" w:ascii="仿宋_GB2312" w:eastAsia="仿宋_GB2312"/>
          <w:sz w:val="32"/>
          <w:szCs w:val="32"/>
        </w:rPr>
        <w:t>。</w:t>
      </w:r>
      <w:r>
        <w:rPr>
          <w:rFonts w:hint="eastAsia" w:ascii="楷体_GB2312" w:eastAsia="楷体_GB2312"/>
          <w:b/>
          <w:sz w:val="32"/>
          <w:szCs w:val="32"/>
        </w:rPr>
        <w:t>房地产。</w:t>
      </w:r>
      <w:r>
        <w:rPr>
          <w:rFonts w:hint="eastAsia" w:ascii="仿宋_GB2312" w:eastAsia="仿宋_GB2312" w:cs="Calibri"/>
          <w:sz w:val="32"/>
          <w:szCs w:val="32"/>
        </w:rPr>
        <w:t>落实“房住不炒”要求，加强商品住房建设销售管理，扎实推进老旧小区改造，有序发展商业地产、工业地产、康养地产等房地产业，推动房地产业结构优化调整；</w:t>
      </w:r>
      <w:r>
        <w:rPr>
          <w:rFonts w:hint="eastAsia" w:ascii="仿宋_GB2312" w:eastAsia="仿宋_GB2312"/>
          <w:sz w:val="32"/>
          <w:szCs w:val="32"/>
        </w:rPr>
        <w:t>扩大评估代理、装修装潢、资产保值增值管理等服务业规模，发展壮大一批规模化、专业化的房地产中介服务机构和企业。</w:t>
      </w:r>
      <w:r>
        <w:rPr>
          <w:rFonts w:hint="eastAsia" w:ascii="楷体_GB2312" w:eastAsia="楷体_GB2312"/>
          <w:b/>
          <w:sz w:val="32"/>
          <w:szCs w:val="32"/>
        </w:rPr>
        <w:t>餐饮住宿。</w:t>
      </w:r>
      <w:r>
        <w:rPr>
          <w:rFonts w:hint="eastAsia" w:ascii="仿宋_GB2312" w:eastAsia="仿宋_GB2312"/>
          <w:sz w:val="32"/>
          <w:szCs w:val="32"/>
        </w:rPr>
        <w:t>充分发挥西华特色农产品、</w:t>
      </w:r>
      <w:r>
        <w:rPr>
          <w:rFonts w:hint="eastAsia" w:ascii="仿宋_GB2312" w:hAnsi="仿宋_GB2312" w:eastAsia="仿宋_GB2312" w:cs="仿宋_GB2312"/>
          <w:sz w:val="32"/>
          <w:szCs w:val="32"/>
        </w:rPr>
        <w:t>逍遥胡辣汤制作技艺文化等特色优势</w:t>
      </w:r>
      <w:r>
        <w:rPr>
          <w:rFonts w:hint="eastAsia" w:ascii="仿宋_GB2312" w:eastAsia="仿宋_GB2312"/>
          <w:sz w:val="32"/>
          <w:szCs w:val="32"/>
        </w:rPr>
        <w:t>，着力培育发展独具西华特色的餐饮品牌和“老字号”企业，</w:t>
      </w:r>
      <w:r>
        <w:rPr>
          <w:rFonts w:hint="eastAsia" w:ascii="Times New Roman" w:hAnsi="Times New Roman" w:eastAsia="仿宋_GB2312" w:cs="仿宋_GB2312"/>
          <w:sz w:val="32"/>
          <w:szCs w:val="32"/>
        </w:rPr>
        <w:t>推出彰显西华地方特色的精品菜肴和特色小吃</w:t>
      </w:r>
      <w:r>
        <w:rPr>
          <w:rFonts w:hint="eastAsia" w:ascii="仿宋_GB2312" w:eastAsia="仿宋_GB2312"/>
          <w:sz w:val="32"/>
          <w:szCs w:val="32"/>
        </w:rPr>
        <w:t>，建设一批上规模、上档次的标志性餐饮饭店</w:t>
      </w:r>
      <w:r>
        <w:rPr>
          <w:rFonts w:hint="eastAsia" w:ascii="Times New Roman" w:hAnsi="Times New Roman" w:eastAsia="仿宋_GB2312" w:cs="仿宋_GB2312"/>
          <w:sz w:val="32"/>
          <w:szCs w:val="32"/>
        </w:rPr>
        <w:t>和网红门店</w:t>
      </w:r>
      <w:r>
        <w:rPr>
          <w:rFonts w:hint="eastAsia" w:ascii="仿宋_GB2312" w:eastAsia="仿宋_GB2312"/>
          <w:sz w:val="32"/>
          <w:szCs w:val="32"/>
        </w:rPr>
        <w:t>。支持住宿餐饮企业利用微信、</w:t>
      </w:r>
      <w:r>
        <w:rPr>
          <w:rFonts w:hint="eastAsia" w:ascii="仿宋_GB2312" w:hAnsi="Times New Roman" w:eastAsia="仿宋_GB2312"/>
          <w:sz w:val="32"/>
          <w:szCs w:val="32"/>
        </w:rPr>
        <w:t>微博、短视频以及网络团购等新型营销方式开拓市场</w:t>
      </w:r>
      <w:r>
        <w:rPr>
          <w:rFonts w:hint="eastAsia" w:ascii="仿宋_GB2312" w:eastAsia="仿宋_GB2312"/>
          <w:sz w:val="32"/>
          <w:szCs w:val="32"/>
        </w:rPr>
        <w:t>，丰富面向大众消费群体、年轻消费群体的产品和服务项目。</w:t>
      </w:r>
      <w:r>
        <w:rPr>
          <w:rFonts w:hint="eastAsia" w:ascii="楷体_GB2312" w:eastAsia="楷体_GB2312"/>
          <w:b/>
          <w:sz w:val="32"/>
          <w:szCs w:val="32"/>
        </w:rPr>
        <w:t>社区服务。</w:t>
      </w:r>
      <w:r>
        <w:rPr>
          <w:rFonts w:hint="eastAsia" w:ascii="仿宋_GB2312" w:eastAsia="仿宋_GB2312"/>
          <w:sz w:val="32"/>
          <w:szCs w:val="32"/>
        </w:rPr>
        <w:t>加强社区服务基础设施建设，完善社区商业、文化休闲、医疗健身等服务功能，构建社区公共服务、社区志愿者服务、社区中介服务三大体系。</w:t>
      </w:r>
      <w:r>
        <w:rPr>
          <w:rFonts w:hint="eastAsia" w:ascii="Times New Roman" w:hAnsi="Times New Roman" w:eastAsia="仿宋_GB2312"/>
          <w:sz w:val="32"/>
          <w:szCs w:val="32"/>
        </w:rPr>
        <w:t>重点发展社区卫生服务</w:t>
      </w:r>
      <w:r>
        <w:rPr>
          <w:rFonts w:hint="eastAsia" w:ascii="仿宋_GB2312" w:eastAsia="仿宋_GB2312"/>
          <w:sz w:val="32"/>
          <w:szCs w:val="32"/>
        </w:rPr>
        <w:t>、养老托幼、家政服务、社区保安、食品配送、家政服务等；加快农村社区服务中心建设，在有条件的行政村建设集行政、医疗、购物、阅览、娱乐、信息等于一体的社区服务中心。</w:t>
      </w:r>
    </w:p>
    <w:tbl>
      <w:tblPr>
        <w:tblStyle w:val="11"/>
        <w:tblW w:w="5000" w:type="pct"/>
        <w:jc w:val="center"/>
        <w:tblLayout w:type="autofit"/>
        <w:tblCellMar>
          <w:top w:w="0" w:type="dxa"/>
          <w:left w:w="108" w:type="dxa"/>
          <w:bottom w:w="0" w:type="dxa"/>
          <w:right w:w="108" w:type="dxa"/>
        </w:tblCellMar>
      </w:tblPr>
      <w:tblGrid>
        <w:gridCol w:w="8946"/>
      </w:tblGrid>
      <w:tr>
        <w:tblPrEx>
          <w:tblCellMar>
            <w:top w:w="0" w:type="dxa"/>
            <w:left w:w="108" w:type="dxa"/>
            <w:bottom w:w="0" w:type="dxa"/>
            <w:right w:w="108" w:type="dxa"/>
          </w:tblCellMar>
        </w:tblPrEx>
        <w:trPr>
          <w:trHeight w:val="510" w:hRule="atLeast"/>
          <w:tblHeader/>
          <w:jc w:val="center"/>
        </w:trPr>
        <w:tc>
          <w:tcPr>
            <w:tcW w:w="5000" w:type="pct"/>
            <w:tcBorders>
              <w:top w:val="single" w:color="auto" w:sz="4" w:space="0"/>
              <w:left w:val="single" w:color="auto" w:sz="4" w:space="0"/>
              <w:bottom w:val="single" w:color="auto" w:sz="4" w:space="0"/>
              <w:right w:val="single" w:color="auto" w:sz="4" w:space="0"/>
            </w:tcBorders>
            <w:shd w:val="clear" w:color="auto" w:fill="339966"/>
            <w:vAlign w:val="center"/>
          </w:tcPr>
          <w:p>
            <w:pPr>
              <w:pStyle w:val="10"/>
              <w:spacing w:line="360" w:lineRule="auto"/>
              <w:rPr>
                <w:rFonts w:ascii="Times New Roman" w:hAnsi="Times New Roman" w:cs="Times New Roman"/>
                <w:sz w:val="26"/>
                <w:szCs w:val="26"/>
              </w:rPr>
            </w:pPr>
            <w:r>
              <w:rPr>
                <w:rFonts w:hint="eastAsia" w:ascii="Times New Roman" w:cs="Times New Roman"/>
                <w:b/>
                <w:bCs/>
                <w:color w:val="FFFFFF" w:themeColor="background1"/>
                <w:sz w:val="26"/>
                <w:szCs w:val="26"/>
                <w14:textFill>
                  <w14:solidFill>
                    <w14:schemeClr w14:val="bg1"/>
                  </w14:solidFill>
                </w14:textFill>
              </w:rPr>
              <w:t>专栏</w:t>
            </w:r>
            <w:r>
              <w:rPr>
                <w:rFonts w:hint="eastAsia" w:ascii="Times New Roman" w:hAnsi="Times New Roman" w:cs="Times New Roman"/>
                <w:b/>
                <w:bCs/>
                <w:color w:val="FFFFFF" w:themeColor="background1"/>
                <w:sz w:val="26"/>
                <w:szCs w:val="26"/>
                <w14:textFill>
                  <w14:solidFill>
                    <w14:schemeClr w14:val="bg1"/>
                  </w14:solidFill>
                </w14:textFill>
              </w:rPr>
              <w:t>2</w:t>
            </w:r>
            <w:r>
              <w:rPr>
                <w:rFonts w:hint="eastAsia" w:ascii="Times New Roman" w:cs="Times New Roman"/>
                <w:b/>
                <w:bCs/>
                <w:color w:val="FFFFFF" w:themeColor="background1"/>
                <w:sz w:val="26"/>
                <w:szCs w:val="26"/>
                <w14:textFill>
                  <w14:solidFill>
                    <w14:schemeClr w14:val="bg1"/>
                  </w14:solidFill>
                </w14:textFill>
              </w:rPr>
              <w:t>：“十四五”现代服务业高质量发展重点项目</w:t>
            </w:r>
          </w:p>
        </w:tc>
      </w:tr>
      <w:tr>
        <w:tblPrEx>
          <w:tblCellMar>
            <w:top w:w="0" w:type="dxa"/>
            <w:left w:w="108" w:type="dxa"/>
            <w:bottom w:w="0" w:type="dxa"/>
            <w:right w:w="108" w:type="dxa"/>
          </w:tblCellMar>
        </w:tblPrEx>
        <w:trPr>
          <w:trHeight w:val="529" w:hRule="atLeast"/>
          <w:jc w:val="center"/>
        </w:trPr>
        <w:tc>
          <w:tcPr>
            <w:tcW w:w="5000" w:type="pct"/>
            <w:tcBorders>
              <w:top w:val="single" w:color="auto" w:sz="4" w:space="0"/>
              <w:left w:val="single" w:color="auto" w:sz="4" w:space="0"/>
              <w:bottom w:val="single" w:color="auto" w:sz="4" w:space="0"/>
              <w:right w:val="single" w:color="auto" w:sz="4" w:space="0"/>
            </w:tcBorders>
            <w:vAlign w:val="center"/>
          </w:tcPr>
          <w:p>
            <w:pPr>
              <w:spacing w:line="300" w:lineRule="auto"/>
              <w:ind w:firstLine="482" w:firstLineChars="200"/>
              <w:rPr>
                <w:rFonts w:ascii="Times New Roman" w:hAnsi="宋体"/>
                <w:sz w:val="24"/>
              </w:rPr>
            </w:pPr>
            <w:r>
              <w:rPr>
                <w:rFonts w:hint="eastAsia" w:ascii="Times New Roman" w:hAnsi="宋体"/>
                <w:b/>
                <w:sz w:val="24"/>
              </w:rPr>
              <w:t>现代物流。</w:t>
            </w:r>
            <w:r>
              <w:rPr>
                <w:rFonts w:hint="eastAsia" w:ascii="Times New Roman" w:hAnsi="宋体"/>
                <w:sz w:val="24"/>
              </w:rPr>
              <w:t>重点推进西华县粮食物流园区、西华县粮食仓房改造项目、西华县达康医药物流项目、中通快递物流西华经开区分拨中心项目、西华黑豹物流有限公司（西华联盛物流）二期项目、中合农发冷链物流等项目建设。</w:t>
            </w:r>
          </w:p>
          <w:p>
            <w:pPr>
              <w:spacing w:line="300" w:lineRule="auto"/>
              <w:ind w:firstLine="482" w:firstLineChars="200"/>
              <w:rPr>
                <w:rFonts w:ascii="Times New Roman" w:hAnsi="宋体"/>
                <w:sz w:val="24"/>
              </w:rPr>
            </w:pPr>
            <w:r>
              <w:rPr>
                <w:rFonts w:hint="eastAsia" w:ascii="Times New Roman" w:hAnsi="宋体"/>
                <w:b/>
                <w:sz w:val="24"/>
              </w:rPr>
              <w:t>文化旅游。</w:t>
            </w:r>
            <w:r>
              <w:rPr>
                <w:rFonts w:hint="eastAsia" w:ascii="Times New Roman" w:hAnsi="宋体"/>
                <w:sz w:val="24"/>
              </w:rPr>
              <w:t>重点推进盘古女娲创世文化园区、西华县沙颍河水上休闲旅游项目、西华县两湖历史文化街区项目、豫东特委旧址建设及周边村落红色旅游景观改造项目、西华县娲城樱花观赏园文化旅游建设项目、西华县奉母镇粮食主产区生态旅游观光园、逍遥古镇和文旅小镇等项目建设。</w:t>
            </w:r>
          </w:p>
          <w:p>
            <w:pPr>
              <w:spacing w:line="300" w:lineRule="auto"/>
              <w:ind w:firstLine="482" w:firstLineChars="200"/>
              <w:rPr>
                <w:rFonts w:ascii="Times New Roman" w:hAnsi="宋体"/>
                <w:sz w:val="24"/>
              </w:rPr>
            </w:pPr>
            <w:r>
              <w:rPr>
                <w:rFonts w:hint="eastAsia" w:ascii="Times New Roman" w:hAnsi="宋体"/>
                <w:b/>
                <w:sz w:val="24"/>
              </w:rPr>
              <w:t>现代商贸。</w:t>
            </w:r>
            <w:r>
              <w:rPr>
                <w:rFonts w:hint="eastAsia" w:ascii="Times New Roman" w:hAnsi="宋体"/>
                <w:sz w:val="24"/>
              </w:rPr>
              <w:t>西华红星美凯龙国际家居广场、西华县农商智慧城综合体建设项目、西华县奥特莱斯品牌折扣街建设项目、润商西华商业新中心建设项目、上亿民国风情街项目等项目建设。</w:t>
            </w:r>
          </w:p>
          <w:p>
            <w:pPr>
              <w:spacing w:line="300" w:lineRule="auto"/>
              <w:ind w:firstLine="482" w:firstLineChars="200"/>
              <w:rPr>
                <w:rFonts w:ascii="Times New Roman" w:hAnsi="宋体"/>
                <w:sz w:val="24"/>
              </w:rPr>
            </w:pPr>
            <w:r>
              <w:rPr>
                <w:rFonts w:hint="eastAsia" w:ascii="Times New Roman" w:hAnsi="宋体"/>
                <w:b/>
                <w:sz w:val="24"/>
              </w:rPr>
              <w:t>健康养老。</w:t>
            </w:r>
            <w:r>
              <w:rPr>
                <w:rFonts w:hint="eastAsia" w:ascii="Times New Roman" w:hAnsi="宋体"/>
                <w:sz w:val="24"/>
              </w:rPr>
              <w:t>重点加快推进西华经开区康复养老中心项目、西华县农村居家养老建设项目、西华县嵩坤颐养养老项目、西华县老年人托养及康复理疗项目、西华县“尚善云居”康养小镇建设项目、西华县敬老院升级改造建设项目、西华县公益性公墓建设项目、西华县社区服务站建设项目、西华县老年失能人员养护中心建设项目、西华县中医院医养结合中心、西华县东夏岳庄养老院、西华县迟营颐养康复养老院、西华县叶埠口乡沙河湾颐养中心、西华县址坊康寿苑公寓、西华县大王庄乡养老院等项目建设。</w:t>
            </w:r>
          </w:p>
        </w:tc>
      </w:tr>
    </w:tbl>
    <w:p>
      <w:pPr>
        <w:pStyle w:val="3"/>
        <w:spacing w:before="120" w:after="120" w:line="600" w:lineRule="exact"/>
        <w:jc w:val="center"/>
        <w:rPr>
          <w:rFonts w:ascii="仿宋_GB2312" w:eastAsia="仿宋_GB2312"/>
        </w:rPr>
      </w:pPr>
      <w:bookmarkStart w:id="42" w:name="_Toc65514268"/>
      <w:r>
        <w:rPr>
          <w:rFonts w:hint="eastAsia" w:ascii="仿宋_GB2312" w:eastAsia="仿宋_GB2312"/>
        </w:rPr>
        <w:t>第四节 拓展数字经济新优势</w:t>
      </w:r>
      <w:bookmarkEnd w:id="42"/>
    </w:p>
    <w:p>
      <w:pPr>
        <w:spacing w:line="600" w:lineRule="exact"/>
        <w:ind w:firstLine="640" w:firstLineChars="200"/>
        <w:rPr>
          <w:rFonts w:ascii="Times New Roman" w:hAnsi="Times New Roman" w:eastAsia="仿宋_GB2312"/>
          <w:sz w:val="32"/>
          <w:szCs w:val="32"/>
        </w:rPr>
      </w:pPr>
      <w:r>
        <w:rPr>
          <w:rFonts w:hint="eastAsia" w:ascii="Times New Roman" w:hAnsi="Times New Roman" w:eastAsia="仿宋_GB2312"/>
          <w:sz w:val="32"/>
          <w:szCs w:val="32"/>
        </w:rPr>
        <w:t>全面推进数字产业化、产业数字化和城市数字化“三化融合”，推动信息化和</w:t>
      </w:r>
      <w:r>
        <w:rPr>
          <w:rFonts w:hint="eastAsia" w:ascii="仿宋_GB2312" w:hAnsi="Times New Roman" w:eastAsia="仿宋_GB2312"/>
          <w:sz w:val="32"/>
          <w:szCs w:val="32"/>
        </w:rPr>
        <w:t>工业化</w:t>
      </w:r>
      <w:r>
        <w:rPr>
          <w:rFonts w:hint="eastAsia" w:ascii="Times New Roman" w:hAnsi="Times New Roman" w:eastAsia="仿宋_GB2312"/>
          <w:sz w:val="32"/>
          <w:szCs w:val="32"/>
        </w:rPr>
        <w:t>深度融合，推动实体经济和数字经济融合发展，推动数字产业同临空产业融合发展，努力打造高质量发展“数字引擎”。</w:t>
      </w:r>
    </w:p>
    <w:p>
      <w:pPr>
        <w:spacing w:line="600" w:lineRule="exact"/>
        <w:ind w:firstLine="643" w:firstLineChars="200"/>
        <w:rPr>
          <w:rFonts w:ascii="仿宋_GB2312" w:hAnsi="Times New Roman" w:eastAsia="仿宋_GB2312"/>
          <w:sz w:val="32"/>
          <w:szCs w:val="32"/>
        </w:rPr>
      </w:pPr>
      <w:r>
        <w:rPr>
          <w:rFonts w:hint="eastAsia" w:ascii="仿宋_GB2312" w:hAnsi="Times New Roman" w:eastAsia="仿宋_GB2312"/>
          <w:b/>
          <w:bCs/>
          <w:sz w:val="32"/>
          <w:szCs w:val="32"/>
          <w:shd w:val="clear" w:color="auto" w:fill="FFFFFF"/>
        </w:rPr>
        <w:t>培育壮大数字经济核心产业。</w:t>
      </w:r>
      <w:r>
        <w:rPr>
          <w:rFonts w:hint="eastAsia" w:ascii="仿宋_GB2312" w:hAnsi="Times New Roman" w:eastAsia="仿宋_GB2312"/>
          <w:sz w:val="32"/>
          <w:szCs w:val="32"/>
        </w:rPr>
        <w:t>依托临空经济示范区和智能装备终端制造基地建设，以无人机、智能终端、5G终端设备等为突破口，加快部署物联网和工业互联网基础设施，推进重点领域泛在感知设施规模化建设应用，认定一批绿色数据中心，培育一批通用型、行业级、企业级工业互联网平台，培育发展数字经济核心产业。</w:t>
      </w:r>
    </w:p>
    <w:p>
      <w:pPr>
        <w:spacing w:line="600" w:lineRule="exact"/>
        <w:ind w:firstLine="643" w:firstLineChars="200"/>
        <w:rPr>
          <w:rFonts w:ascii="Times New Roman" w:hAnsi="Times New Roman" w:eastAsia="仿宋_GB2312"/>
          <w:spacing w:val="6"/>
          <w:sz w:val="32"/>
          <w:szCs w:val="32"/>
        </w:rPr>
      </w:pPr>
      <w:r>
        <w:rPr>
          <w:rFonts w:hint="eastAsia" w:ascii="仿宋_GB2312" w:hAnsi="Times New Roman" w:eastAsia="仿宋_GB2312"/>
          <w:b/>
          <w:bCs/>
          <w:sz w:val="32"/>
          <w:szCs w:val="32"/>
          <w:shd w:val="clear" w:color="auto" w:fill="FFFFFF"/>
        </w:rPr>
        <w:t>加快推进产业数字化转型。</w:t>
      </w:r>
      <w:r>
        <w:rPr>
          <w:rFonts w:hint="eastAsia" w:ascii="Times New Roman" w:hAnsi="Times New Roman" w:eastAsia="仿宋_GB2312"/>
          <w:sz w:val="32"/>
          <w:szCs w:val="32"/>
        </w:rPr>
        <w:t>以国家农村产业融合发展示范园获批为切入点，大力实施“互联网</w:t>
      </w:r>
      <w:r>
        <w:rPr>
          <w:rFonts w:ascii="Times New Roman" w:hAnsi="Times New Roman" w:eastAsia="仿宋_GB2312"/>
          <w:sz w:val="32"/>
          <w:szCs w:val="32"/>
        </w:rPr>
        <w:t>+</w:t>
      </w:r>
      <w:r>
        <w:rPr>
          <w:rFonts w:hint="eastAsia" w:ascii="Times New Roman" w:hAnsi="Times New Roman" w:eastAsia="仿宋_GB2312"/>
          <w:sz w:val="32"/>
          <w:szCs w:val="32"/>
        </w:rPr>
        <w:t>”智慧农业工程，推广农业物联网应用，提高农业生产智能化、精准化水平。围绕“数字西华”建设，全面部署</w:t>
      </w:r>
      <w:r>
        <w:rPr>
          <w:rFonts w:ascii="Times New Roman" w:hAnsi="Times New Roman" w:eastAsia="仿宋_GB2312"/>
          <w:sz w:val="32"/>
          <w:szCs w:val="32"/>
        </w:rPr>
        <w:t>5G网</w:t>
      </w:r>
      <w:r>
        <w:rPr>
          <w:rFonts w:hint="eastAsia" w:ascii="Times New Roman" w:hAnsi="Times New Roman" w:eastAsia="仿宋_GB2312"/>
          <w:sz w:val="32"/>
          <w:szCs w:val="32"/>
        </w:rPr>
        <w:t>络，</w:t>
      </w:r>
      <w:r>
        <w:rPr>
          <w:rFonts w:hint="eastAsia" w:ascii="仿宋_GB2312" w:hAnsi="Times New Roman" w:eastAsia="仿宋_GB2312"/>
          <w:sz w:val="32"/>
          <w:szCs w:val="32"/>
        </w:rPr>
        <w:t>加快</w:t>
      </w:r>
      <w:r>
        <w:rPr>
          <w:rFonts w:hint="eastAsia" w:ascii="Times New Roman" w:hAnsi="Times New Roman" w:eastAsia="仿宋_GB2312"/>
          <w:sz w:val="32"/>
          <w:szCs w:val="32"/>
        </w:rPr>
        <w:t>实现城乡和行业应用全覆盖，加快智慧城市建设，推动数字政府、数字社会、数字乡村建设，提升社会治理和公共服务等数字化智能化水平，积极争取区域性大型数据中心、人工智能计算平台、区块链网络布局。</w:t>
      </w:r>
    </w:p>
    <w:p>
      <w:pPr>
        <w:pStyle w:val="3"/>
        <w:spacing w:before="120" w:after="120" w:line="600" w:lineRule="exact"/>
        <w:jc w:val="center"/>
        <w:rPr>
          <w:rFonts w:ascii="仿宋_GB2312" w:eastAsia="仿宋_GB2312"/>
        </w:rPr>
      </w:pPr>
      <w:bookmarkStart w:id="43" w:name="_Toc65514269"/>
      <w:r>
        <w:rPr>
          <w:rFonts w:hint="eastAsia" w:ascii="仿宋_GB2312" w:eastAsia="仿宋_GB2312"/>
        </w:rPr>
        <w:t>第五节 培育发展新兴产业</w:t>
      </w:r>
      <w:bookmarkEnd w:id="43"/>
    </w:p>
    <w:p>
      <w:pPr>
        <w:spacing w:line="600" w:lineRule="exact"/>
        <w:ind w:firstLine="640" w:firstLineChars="200"/>
        <w:rPr>
          <w:rFonts w:ascii="Times New Roman" w:hAnsi="Times New Roman" w:eastAsia="仿宋_GB2312"/>
          <w:sz w:val="32"/>
          <w:szCs w:val="32"/>
        </w:rPr>
      </w:pPr>
      <w:r>
        <w:rPr>
          <w:rFonts w:hint="eastAsia" w:ascii="仿宋_GB2312" w:hAnsi="Times New Roman" w:eastAsia="仿宋_GB2312"/>
          <w:sz w:val="32"/>
          <w:szCs w:val="32"/>
        </w:rPr>
        <w:t>抢抓新一轮科技革命和产业变革机遇，</w:t>
      </w:r>
      <w:r>
        <w:rPr>
          <w:rFonts w:hint="eastAsia" w:ascii="Times New Roman" w:hAnsi="Times New Roman" w:eastAsia="仿宋_GB2312"/>
          <w:sz w:val="32"/>
          <w:szCs w:val="32"/>
        </w:rPr>
        <w:t>围绕“六新”经济，</w:t>
      </w:r>
      <w:r>
        <w:rPr>
          <w:rFonts w:hint="eastAsia" w:ascii="仿宋_GB2312" w:hAnsi="Times New Roman" w:eastAsia="仿宋_GB2312"/>
          <w:sz w:val="32"/>
          <w:szCs w:val="32"/>
        </w:rPr>
        <w:t>聚焦具有战略性前瞻性和爆发式增长潜力的领域，开展新兴产业建链引链育链行动，</w:t>
      </w:r>
      <w:r>
        <w:rPr>
          <w:rFonts w:hint="eastAsia" w:ascii="Times New Roman" w:hAnsi="Times New Roman" w:eastAsia="仿宋_GB2312"/>
          <w:sz w:val="32"/>
          <w:szCs w:val="32"/>
        </w:rPr>
        <w:t>加强骨干企业培育、重大项目引进、重点平台建设，加快形成一批新兴产业集群，塑造县域经济竞争新优势，着力打造周口创新产业高地和核心增长极。重点聚焦新材料和新能源领域，以先进结构与复合材料、新型功能与智能材料为重点，提升企业自身技术创新能力，加快推进新材料领域科技成果转化，提升科技成果产业化程度，推动新材料产业创新发展，支持河南墨特科技、华兴益达等申报高新技术企业，着力打造石墨烯行业、特种复合材料行业的领军企业；完善落实军民融合发展三年行动计划，加快全县军民融合深度发展步伐，推进军民融合发展质量体系和治理能力现代化。促进静脉产业园提质发展，建设循环经济产业发展高地。</w:t>
      </w:r>
    </w:p>
    <w:p>
      <w:pPr>
        <w:pStyle w:val="3"/>
        <w:spacing w:before="120" w:after="120" w:line="600" w:lineRule="exact"/>
        <w:jc w:val="center"/>
        <w:rPr>
          <w:rFonts w:ascii="仿宋_GB2312" w:eastAsia="仿宋_GB2312"/>
        </w:rPr>
      </w:pPr>
      <w:bookmarkStart w:id="44" w:name="_Toc65514270"/>
      <w:r>
        <w:rPr>
          <w:rFonts w:hint="eastAsia" w:ascii="仿宋_GB2312" w:eastAsia="仿宋_GB2312"/>
        </w:rPr>
        <w:t>第六节 完善优化产业链条</w:t>
      </w:r>
      <w:bookmarkEnd w:id="44"/>
    </w:p>
    <w:p>
      <w:pPr>
        <w:spacing w:line="600" w:lineRule="exact"/>
        <w:ind w:firstLine="640" w:firstLineChars="200"/>
        <w:rPr>
          <w:rFonts w:ascii="Times New Roman" w:hAnsi="Times New Roman" w:eastAsia="仿宋_GB2312"/>
          <w:sz w:val="32"/>
          <w:szCs w:val="32"/>
        </w:rPr>
      </w:pPr>
      <w:r>
        <w:rPr>
          <w:rFonts w:hint="eastAsia" w:ascii="仿宋_GB2312" w:hAnsi="仿宋" w:eastAsia="仿宋_GB2312" w:cs="仿宋"/>
          <w:sz w:val="32"/>
          <w:szCs w:val="32"/>
        </w:rPr>
        <w:t>坚决打好产业基础高级化和产业链现代化攻坚战，</w:t>
      </w:r>
      <w:r>
        <w:rPr>
          <w:rFonts w:hint="eastAsia" w:ascii="Times New Roman" w:hAnsi="Times New Roman" w:eastAsia="仿宋_GB2312"/>
          <w:sz w:val="32"/>
          <w:szCs w:val="32"/>
        </w:rPr>
        <w:t>坚持把“需求侧管理”与供给侧结构性改革结合起来，</w:t>
      </w:r>
      <w:r>
        <w:rPr>
          <w:rFonts w:hint="eastAsia" w:ascii="仿宋_GB2312" w:hAnsi="仿宋" w:eastAsia="仿宋_GB2312" w:cs="仿宋"/>
          <w:sz w:val="32"/>
          <w:szCs w:val="32"/>
        </w:rPr>
        <w:t>按照“横向成群、纵向成链”的发展思路，围绕智能制造装备、食品加工两大主导产业，编制产业链图谱和集群培育方案，组织开展“补链、延链、强链”行动，着力培育引进具有“链主”地位的引领型企业，带动产业集聚式发展</w:t>
      </w:r>
      <w:r>
        <w:rPr>
          <w:rFonts w:hint="eastAsia" w:ascii="Times New Roman" w:hAnsi="Times New Roman" w:eastAsia="仿宋_GB2312"/>
          <w:sz w:val="32"/>
          <w:szCs w:val="32"/>
        </w:rPr>
        <w:t>，全面提升西华县在高端智能装备制造、食品加工领域的核心竞争力和顶端优势</w:t>
      </w:r>
      <w:r>
        <w:rPr>
          <w:rFonts w:hint="eastAsia" w:ascii="仿宋_GB2312" w:hAnsi="仿宋" w:eastAsia="仿宋_GB2312" w:cs="仿宋"/>
          <w:sz w:val="32"/>
          <w:szCs w:val="32"/>
        </w:rPr>
        <w:t>。实施“产业链链长制”工程，</w:t>
      </w:r>
      <w:r>
        <w:rPr>
          <w:rFonts w:hint="eastAsia" w:ascii="Times New Roman" w:hAnsi="Times New Roman" w:eastAsia="仿宋_GB2312"/>
          <w:sz w:val="32"/>
          <w:szCs w:val="32"/>
        </w:rPr>
        <w:t>建立健全“链主制”“链长制”，</w:t>
      </w:r>
      <w:r>
        <w:rPr>
          <w:rFonts w:hint="eastAsia" w:ascii="仿宋_GB2312" w:hAnsi="仿宋" w:eastAsia="仿宋_GB2312" w:cs="仿宋"/>
          <w:sz w:val="32"/>
          <w:szCs w:val="32"/>
        </w:rPr>
        <w:t>建立完善“一条产业链、一位县领导、一个工作专班、一位专班负责人”的产业链长工作推进机制</w:t>
      </w:r>
      <w:r>
        <w:rPr>
          <w:rFonts w:hint="eastAsia" w:ascii="仿宋_GB2312" w:hAnsi="Times New Roman" w:eastAsia="仿宋_GB2312"/>
          <w:sz w:val="32"/>
          <w:szCs w:val="32"/>
        </w:rPr>
        <w:t>，对产业链发展情况进行专题研究和调度，协调解决产业链发展中的重大事项</w:t>
      </w:r>
      <w:r>
        <w:rPr>
          <w:rFonts w:hint="eastAsia" w:ascii="仿宋_GB2312" w:hAnsi="仿宋" w:eastAsia="仿宋_GB2312" w:cs="仿宋"/>
          <w:sz w:val="32"/>
          <w:szCs w:val="32"/>
        </w:rPr>
        <w:t>。</w:t>
      </w:r>
      <w:r>
        <w:rPr>
          <w:rFonts w:hint="eastAsia" w:ascii="Times New Roman" w:hAnsi="Times New Roman" w:eastAsia="仿宋_GB2312"/>
          <w:sz w:val="32"/>
          <w:szCs w:val="32"/>
        </w:rPr>
        <w:t>以现有企业为“链主”吸引上下游企业落户，增强供给适配性，推动产业上下游、产供销有效衔接，加快提升耕德电子、双汇食品等“链主”企业的市场优势、技术优势，进而</w:t>
      </w:r>
      <w:r>
        <w:rPr>
          <w:rFonts w:hint="eastAsia" w:ascii="仿宋_GB2312" w:hAnsi="Times New Roman" w:eastAsia="仿宋_GB2312"/>
          <w:sz w:val="32"/>
          <w:szCs w:val="32"/>
        </w:rPr>
        <w:t>吸引</w:t>
      </w:r>
      <w:r>
        <w:rPr>
          <w:rFonts w:hint="eastAsia" w:ascii="Times New Roman" w:hAnsi="Times New Roman" w:eastAsia="仿宋_GB2312"/>
          <w:sz w:val="32"/>
          <w:szCs w:val="32"/>
        </w:rPr>
        <w:t>设计、研发、技术标准等上下游企业落户西华，加快形成以“链主”企业为龙头、上下游产业配套、成链条集群式发展的主导产业格局。</w:t>
      </w:r>
    </w:p>
    <w:p>
      <w:pPr>
        <w:pStyle w:val="2"/>
        <w:spacing w:before="240" w:after="240" w:line="600" w:lineRule="exact"/>
        <w:jc w:val="center"/>
        <w:rPr>
          <w:rFonts w:ascii="黑体" w:hAnsi="黑体" w:eastAsia="黑体"/>
          <w:b w:val="0"/>
          <w:sz w:val="32"/>
          <w:szCs w:val="32"/>
        </w:rPr>
      </w:pPr>
      <w:bookmarkStart w:id="45" w:name="_Toc65514271"/>
      <w:r>
        <w:rPr>
          <w:rFonts w:hint="eastAsia" w:ascii="黑体" w:hAnsi="黑体" w:eastAsia="黑体"/>
          <w:b w:val="0"/>
          <w:sz w:val="32"/>
          <w:szCs w:val="32"/>
        </w:rPr>
        <w:t>第五章  抢抓“双循环”战略机遇，融入新发展格局</w:t>
      </w:r>
      <w:bookmarkEnd w:id="45"/>
    </w:p>
    <w:p>
      <w:pPr>
        <w:spacing w:line="600" w:lineRule="exact"/>
        <w:ind w:firstLine="640" w:firstLineChars="200"/>
        <w:rPr>
          <w:rFonts w:ascii="仿宋_GB2312" w:eastAsia="仿宋_GB2312"/>
          <w:sz w:val="32"/>
          <w:szCs w:val="32"/>
        </w:rPr>
      </w:pPr>
      <w:r>
        <w:rPr>
          <w:rFonts w:hint="eastAsia" w:ascii="仿宋_GB2312" w:eastAsia="仿宋_GB2312"/>
          <w:sz w:val="32"/>
          <w:szCs w:val="32"/>
        </w:rPr>
        <w:t>围绕扩大内需战略基点，坚持供给侧结构性改革和需求侧改革并重，打通融入国内大循环、国内国际双循环的链接通道，提升融入新发展格局的能力和水平。</w:t>
      </w:r>
    </w:p>
    <w:p>
      <w:pPr>
        <w:pStyle w:val="3"/>
        <w:spacing w:before="120" w:after="120" w:line="600" w:lineRule="exact"/>
        <w:jc w:val="center"/>
        <w:rPr>
          <w:rFonts w:ascii="仿宋_GB2312" w:eastAsia="仿宋_GB2312"/>
        </w:rPr>
      </w:pPr>
      <w:bookmarkStart w:id="46" w:name="_Toc65514272"/>
      <w:r>
        <w:rPr>
          <w:rFonts w:hint="eastAsia" w:ascii="仿宋_GB2312" w:eastAsia="仿宋_GB2312"/>
        </w:rPr>
        <w:t>第一节 完善现代流通网络</w:t>
      </w:r>
      <w:bookmarkEnd w:id="46"/>
    </w:p>
    <w:p>
      <w:pPr>
        <w:spacing w:line="600" w:lineRule="exact"/>
        <w:ind w:firstLine="640" w:firstLineChars="200"/>
        <w:rPr>
          <w:rFonts w:ascii="仿宋_GB2312" w:eastAsia="仿宋_GB2312"/>
          <w:sz w:val="32"/>
          <w:szCs w:val="32"/>
        </w:rPr>
      </w:pPr>
      <w:r>
        <w:rPr>
          <w:rFonts w:hint="eastAsia" w:ascii="仿宋_GB2312" w:eastAsia="仿宋_GB2312"/>
          <w:sz w:val="32"/>
          <w:szCs w:val="32"/>
        </w:rPr>
        <w:t>统筹推进现代流通体系硬件和软件、渠道和平台建设，打通经济循环堵点，破除生产要素和商品服务流通障碍，构建内外联动、高效便捷的现代流通网络体系，打造中部地区水陆空铁多式联运枢纽基地。</w:t>
      </w:r>
    </w:p>
    <w:p>
      <w:pPr>
        <w:spacing w:line="600" w:lineRule="exact"/>
        <w:ind w:firstLine="643" w:firstLineChars="200"/>
        <w:rPr>
          <w:rFonts w:ascii="仿宋_GB2312" w:eastAsia="仿宋_GB2312"/>
          <w:sz w:val="32"/>
          <w:szCs w:val="32"/>
        </w:rPr>
      </w:pPr>
      <w:r>
        <w:rPr>
          <w:rFonts w:hint="eastAsia" w:ascii="仿宋_GB2312" w:eastAsia="仿宋_GB2312"/>
          <w:b/>
          <w:sz w:val="32"/>
          <w:szCs w:val="32"/>
        </w:rPr>
        <w:t>优化综合运输通道布局。</w:t>
      </w:r>
      <w:r>
        <w:rPr>
          <w:rFonts w:ascii="Times New Roman" w:hAnsi="Times New Roman" w:eastAsia="仿宋_GB2312"/>
          <w:spacing w:val="6"/>
          <w:sz w:val="32"/>
          <w:szCs w:val="32"/>
        </w:rPr>
        <w:t>深度融入国家</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一带一路</w:t>
      </w:r>
      <w:r>
        <w:rPr>
          <w:rFonts w:hint="eastAsia" w:ascii="Times New Roman" w:hAnsi="Times New Roman" w:eastAsia="仿宋_GB2312"/>
          <w:spacing w:val="6"/>
          <w:sz w:val="32"/>
          <w:szCs w:val="32"/>
        </w:rPr>
        <w:t>”建设</w:t>
      </w:r>
      <w:r>
        <w:rPr>
          <w:rFonts w:ascii="Times New Roman" w:hAnsi="Times New Roman" w:eastAsia="仿宋_GB2312"/>
          <w:spacing w:val="6"/>
          <w:sz w:val="32"/>
          <w:szCs w:val="32"/>
        </w:rPr>
        <w:t>，</w:t>
      </w:r>
      <w:r>
        <w:rPr>
          <w:rFonts w:hint="eastAsia" w:ascii="Times New Roman" w:hAnsi="Times New Roman" w:eastAsia="仿宋_GB2312"/>
          <w:spacing w:val="6"/>
          <w:kern w:val="0"/>
          <w:sz w:val="32"/>
          <w:szCs w:val="32"/>
        </w:rPr>
        <w:t>牢牢抓住</w:t>
      </w:r>
      <w:r>
        <w:rPr>
          <w:rFonts w:ascii="Times New Roman" w:hAnsi="Times New Roman" w:eastAsia="仿宋_GB2312"/>
          <w:spacing w:val="6"/>
          <w:kern w:val="0"/>
          <w:sz w:val="32"/>
          <w:szCs w:val="32"/>
        </w:rPr>
        <w:t>黄河流域生态保护和高质量发展、中部地区崛起、淮河生态经济带</w:t>
      </w:r>
      <w:r>
        <w:rPr>
          <w:rFonts w:hint="eastAsia" w:ascii="Times New Roman" w:hAnsi="Times New Roman" w:eastAsia="仿宋_GB2312"/>
          <w:spacing w:val="6"/>
          <w:kern w:val="0"/>
          <w:sz w:val="32"/>
          <w:szCs w:val="32"/>
        </w:rPr>
        <w:t>三大</w:t>
      </w:r>
      <w:r>
        <w:rPr>
          <w:rFonts w:ascii="Times New Roman" w:hAnsi="Times New Roman" w:eastAsia="仿宋_GB2312"/>
          <w:spacing w:val="6"/>
          <w:kern w:val="0"/>
          <w:sz w:val="32"/>
          <w:szCs w:val="32"/>
        </w:rPr>
        <w:t>国家战略</w:t>
      </w:r>
      <w:r>
        <w:rPr>
          <w:rFonts w:hint="eastAsia" w:ascii="Times New Roman" w:hAnsi="Times New Roman" w:eastAsia="仿宋_GB2312"/>
          <w:spacing w:val="6"/>
          <w:kern w:val="0"/>
          <w:sz w:val="32"/>
          <w:szCs w:val="32"/>
        </w:rPr>
        <w:t>同步实施的机遇</w:t>
      </w:r>
      <w:r>
        <w:rPr>
          <w:rFonts w:ascii="Times New Roman" w:hAnsi="Times New Roman" w:eastAsia="仿宋_GB2312"/>
          <w:spacing w:val="6"/>
          <w:kern w:val="0"/>
          <w:sz w:val="32"/>
          <w:szCs w:val="32"/>
        </w:rPr>
        <w:t>，</w:t>
      </w:r>
      <w:r>
        <w:rPr>
          <w:rFonts w:hint="eastAsia" w:ascii="Times New Roman" w:hAnsi="Times New Roman" w:eastAsia="仿宋_GB2312"/>
          <w:spacing w:val="6"/>
          <w:kern w:val="0"/>
          <w:sz w:val="32"/>
          <w:szCs w:val="32"/>
        </w:rPr>
        <w:t>持续</w:t>
      </w:r>
      <w:r>
        <w:rPr>
          <w:rFonts w:ascii="Times New Roman" w:hAnsi="Times New Roman" w:eastAsia="仿宋_GB2312"/>
          <w:spacing w:val="6"/>
          <w:sz w:val="32"/>
          <w:szCs w:val="32"/>
        </w:rPr>
        <w:t>拓宽对外开放通道</w:t>
      </w:r>
      <w:r>
        <w:rPr>
          <w:rFonts w:hint="eastAsia" w:ascii="Times New Roman" w:hAnsi="Times New Roman" w:eastAsia="仿宋_GB2312"/>
          <w:spacing w:val="6"/>
          <w:sz w:val="32"/>
          <w:szCs w:val="32"/>
        </w:rPr>
        <w:t>建设。围绕着</w:t>
      </w:r>
      <w:r>
        <w:rPr>
          <w:rFonts w:hint="eastAsia" w:ascii="仿宋_GB2312" w:hAnsi="仿宋_GB2312" w:eastAsia="仿宋_GB2312" w:cs="仿宋_GB2312"/>
          <w:sz w:val="32"/>
          <w:szCs w:val="32"/>
        </w:rPr>
        <w:t>黄淮四市地位提升、周口港城全面发力、沙颍河贾鲁河通航在即的机遇，强力推进逍遥港建设，着力打造中原对接“海上丝绸之路”的重要节点城市。</w:t>
      </w:r>
      <w:r>
        <w:rPr>
          <w:rFonts w:ascii="Times New Roman" w:hAnsi="Times New Roman" w:eastAsia="仿宋_GB2312"/>
          <w:spacing w:val="6"/>
          <w:sz w:val="32"/>
          <w:szCs w:val="32"/>
        </w:rPr>
        <w:t>用足用好西华机场基础设施齐全、功能先进、行业领先的优势和高铁通车、高速密集的优势，把周口港、逍遥港、西华机场与郑阜高铁及境内多条高速贯通起来</w:t>
      </w:r>
      <w:r>
        <w:rPr>
          <w:rFonts w:hint="eastAsia" w:ascii="Times New Roman" w:hAnsi="Times New Roman" w:eastAsia="仿宋_GB2312"/>
          <w:spacing w:val="6"/>
          <w:sz w:val="32"/>
          <w:szCs w:val="32"/>
        </w:rPr>
        <w:t>。</w:t>
      </w:r>
      <w:r>
        <w:rPr>
          <w:rFonts w:hint="eastAsia" w:ascii="仿宋_GB2312" w:hAnsi="仿宋_GB2312" w:eastAsia="仿宋_GB2312" w:cs="仿宋_GB2312"/>
          <w:sz w:val="32"/>
          <w:szCs w:val="32"/>
        </w:rPr>
        <w:t>积极对接全省轨道交通专项规划，推动洛平漯周城际铁路与西华无缝衔接，为企业发展创造更加便利的区位交通优势。</w:t>
      </w:r>
      <w:r>
        <w:rPr>
          <w:rFonts w:hint="eastAsia" w:ascii="仿宋_GB2312" w:hAnsi="Times New Roman" w:eastAsia="仿宋_GB2312"/>
          <w:sz w:val="32"/>
          <w:szCs w:val="32"/>
        </w:rPr>
        <w:t>加快</w:t>
      </w:r>
      <w:r>
        <w:rPr>
          <w:rFonts w:ascii="Times New Roman" w:hAnsi="Times New Roman" w:eastAsia="仿宋_GB2312"/>
          <w:spacing w:val="6"/>
          <w:sz w:val="32"/>
          <w:szCs w:val="32"/>
        </w:rPr>
        <w:t>推进中心城区中州大道北延线建设，促进</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周西</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道路连接、生态对接、产业承接，项目嫁接、服务对接</w:t>
      </w:r>
      <w:r>
        <w:rPr>
          <w:rFonts w:hint="eastAsia" w:ascii="仿宋_GB2312" w:eastAsia="仿宋_GB2312"/>
          <w:sz w:val="32"/>
          <w:szCs w:val="32"/>
        </w:rPr>
        <w:t>。</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建设区域物流枢纽。</w:t>
      </w:r>
      <w:r>
        <w:rPr>
          <w:rFonts w:hint="eastAsia" w:ascii="仿宋_GB2312" w:eastAsia="仿宋_GB2312"/>
          <w:sz w:val="32"/>
          <w:szCs w:val="32"/>
        </w:rPr>
        <w:t>充分发挥西华“高铁、通航、水运、高速”四位一体综合交通优势，按照</w:t>
      </w:r>
      <w:r>
        <w:rPr>
          <w:rFonts w:hint="eastAsia" w:ascii="仿宋_GB2312" w:hAnsi="Times New Roman" w:eastAsia="仿宋_GB2312"/>
          <w:sz w:val="32"/>
          <w:szCs w:val="32"/>
        </w:rPr>
        <w:t>构建</w:t>
      </w:r>
      <w:r>
        <w:rPr>
          <w:rFonts w:hint="eastAsia" w:ascii="仿宋_GB2312" w:eastAsia="仿宋_GB2312"/>
          <w:sz w:val="32"/>
          <w:szCs w:val="32"/>
        </w:rPr>
        <w:t>“通道+枢纽+网络”现代物流运行体系的要求，着力加强物流枢纽设施建设，加快发展多式联运，不断完善集疏运体系建设，努力打造中部地区水路空铁多式联运重要节点城市、周口迎客厅。紧抓周口港和沙颍</w:t>
      </w:r>
      <w:r>
        <w:rPr>
          <w:rFonts w:hint="eastAsia" w:ascii="仿宋_GB2312" w:hAnsi="仿宋" w:eastAsia="仿宋_GB2312" w:cs="仿宋"/>
          <w:sz w:val="32"/>
          <w:szCs w:val="32"/>
        </w:rPr>
        <w:t>被纳入国家“十四五”规划的战略机遇，推进逍遥港与周口港、上海港的无缝对接，与省物资集团、郑州国际陆港公司全面对接，吸引更多大宗商品向西华集聚，借助“黄金水道”的独特优势，全面推进口岸功能区、装备制造园区、保税园区、物流园区等临港产业园区建设。以西华机场为载体，做实临空经济产业，全面推进航空物流园区建设。</w:t>
      </w:r>
      <w:r>
        <w:rPr>
          <w:rFonts w:hint="eastAsia" w:ascii="仿宋_GB2312" w:eastAsia="仿宋_GB2312"/>
          <w:sz w:val="32"/>
          <w:szCs w:val="32"/>
        </w:rPr>
        <w:t>依托县物流中心、乡村服务站建设，推动综合性物流园建设，整合邮政、物流、快递、供销、电商资源，谋划打造双向流通大平台，努力在优杂果、苗木花卉、无公害蔬菜、优质食用菌等特色农业领域，以及食品加工、高端智能</w:t>
      </w:r>
      <w:r>
        <w:rPr>
          <w:rFonts w:hint="eastAsia" w:ascii="仿宋_GB2312" w:hAnsi="Times New Roman" w:eastAsia="仿宋_GB2312"/>
          <w:sz w:val="32"/>
          <w:szCs w:val="32"/>
        </w:rPr>
        <w:t>装备</w:t>
      </w:r>
      <w:r>
        <w:rPr>
          <w:rFonts w:hint="eastAsia" w:ascii="仿宋_GB2312" w:eastAsia="仿宋_GB2312"/>
          <w:sz w:val="32"/>
          <w:szCs w:val="32"/>
        </w:rPr>
        <w:t>制造等工业品领域建设一批带动能力强的全国性、区域性专业市场和物流集散中心。</w:t>
      </w:r>
    </w:p>
    <w:p>
      <w:pPr>
        <w:spacing w:line="600" w:lineRule="exact"/>
        <w:ind w:firstLine="643" w:firstLineChars="200"/>
        <w:rPr>
          <w:rFonts w:ascii="仿宋_GB2312" w:eastAsia="仿宋_GB2312"/>
          <w:sz w:val="32"/>
          <w:szCs w:val="32"/>
        </w:rPr>
      </w:pPr>
      <w:r>
        <w:rPr>
          <w:rFonts w:hint="eastAsia" w:ascii="仿宋_GB2312" w:hAnsi="Times New Roman" w:eastAsia="仿宋_GB2312"/>
          <w:b/>
          <w:bCs/>
          <w:kern w:val="0"/>
          <w:sz w:val="32"/>
          <w:szCs w:val="32"/>
        </w:rPr>
        <w:t>健全流通体制机制。</w:t>
      </w:r>
      <w:r>
        <w:rPr>
          <w:rFonts w:hint="eastAsia" w:ascii="仿宋_GB2312" w:eastAsia="仿宋_GB2312"/>
          <w:sz w:val="32"/>
          <w:szCs w:val="32"/>
        </w:rPr>
        <w:t>破除妨碍生产要素市场化配置和商品流通的体制机制障碍，降低全社会交易成本。推进流通统一标准体系建设，推广标准化、减量化、可循环的货物包装和物流器具，推动商贸流通网络与废物回收、再制造加工报废处理等逆向物流体系衔接配套。推动商贸流通体系数字化、智能化改造和跨界融合，依托中通快递物流豫南分拨中心、黑豹物流园等流通企业，推动流通企业向全渠道平台商、集成服务商、供应链服务商、定制化服务商</w:t>
      </w:r>
      <w:r>
        <w:rPr>
          <w:rFonts w:hint="eastAsia" w:ascii="仿宋_GB2312" w:hAnsi="Times New Roman" w:eastAsia="仿宋_GB2312"/>
          <w:sz w:val="32"/>
          <w:szCs w:val="32"/>
        </w:rPr>
        <w:t>转型</w:t>
      </w:r>
      <w:r>
        <w:rPr>
          <w:rFonts w:hint="eastAsia" w:ascii="仿宋_GB2312" w:eastAsia="仿宋_GB2312"/>
          <w:sz w:val="32"/>
          <w:szCs w:val="32"/>
        </w:rPr>
        <w:t>，培育具有竞争力的现代流通企业。推进支付结算等金融基础设施建设，加强非现金支付服务创新和推广应用，提供更多直达各流通环节经营主体的金融产品。</w:t>
      </w:r>
    </w:p>
    <w:p>
      <w:pPr>
        <w:pStyle w:val="3"/>
        <w:spacing w:before="120" w:after="120" w:line="600" w:lineRule="exact"/>
        <w:jc w:val="center"/>
        <w:rPr>
          <w:rFonts w:ascii="仿宋_GB2312" w:eastAsia="仿宋_GB2312"/>
        </w:rPr>
      </w:pPr>
      <w:bookmarkStart w:id="47" w:name="_Toc65514273"/>
      <w:r>
        <w:rPr>
          <w:rFonts w:hint="eastAsia" w:ascii="仿宋_GB2312" w:eastAsia="仿宋_GB2312"/>
        </w:rPr>
        <w:t>第二节 精准扩大有效投资</w:t>
      </w:r>
      <w:bookmarkEnd w:id="47"/>
    </w:p>
    <w:p>
      <w:pPr>
        <w:spacing w:line="600" w:lineRule="exact"/>
        <w:ind w:firstLine="640" w:firstLineChars="200"/>
        <w:rPr>
          <w:rFonts w:ascii="Times New Roman" w:hAnsi="Times New Roman" w:eastAsia="仿宋_GB2312"/>
          <w:kern w:val="0"/>
          <w:sz w:val="32"/>
          <w:szCs w:val="32"/>
        </w:rPr>
      </w:pPr>
      <w:r>
        <w:rPr>
          <w:rFonts w:hint="eastAsia" w:ascii="仿宋_GB2312" w:hAnsi="Times New Roman" w:eastAsia="仿宋_GB2312"/>
          <w:kern w:val="0"/>
          <w:sz w:val="32"/>
          <w:szCs w:val="32"/>
        </w:rPr>
        <w:t>把扩大有效投资和推进补短板、强弱项、调结构有机结合起来，加大</w:t>
      </w:r>
      <w:r>
        <w:rPr>
          <w:rFonts w:hint="eastAsia" w:ascii="Times New Roman" w:hAnsi="Times New Roman" w:eastAsia="仿宋_GB2312"/>
          <w:kern w:val="0"/>
          <w:sz w:val="32"/>
          <w:szCs w:val="32"/>
        </w:rPr>
        <w:t>“两新一重”投资力度，加快补齐基础设施、公共服务、卫生健康、生态环保、</w:t>
      </w:r>
      <w:r>
        <w:rPr>
          <w:rFonts w:hint="eastAsia" w:ascii="仿宋_GB2312" w:hAnsi="Times New Roman" w:eastAsia="仿宋_GB2312"/>
          <w:sz w:val="32"/>
          <w:szCs w:val="32"/>
        </w:rPr>
        <w:t>产业</w:t>
      </w:r>
      <w:r>
        <w:rPr>
          <w:rFonts w:hint="eastAsia" w:ascii="Times New Roman" w:hAnsi="Times New Roman" w:eastAsia="仿宋_GB2312"/>
          <w:kern w:val="0"/>
          <w:sz w:val="32"/>
          <w:szCs w:val="32"/>
        </w:rPr>
        <w:t>升级、农业农村和防灾减灾等领域短板。</w:t>
      </w:r>
    </w:p>
    <w:p>
      <w:pPr>
        <w:spacing w:line="600" w:lineRule="exact"/>
        <w:ind w:firstLine="643" w:firstLineChars="200"/>
        <w:rPr>
          <w:rFonts w:ascii="仿宋_GB2312" w:hAnsi="Times New Roman" w:eastAsia="仿宋_GB2312"/>
          <w:kern w:val="0"/>
          <w:sz w:val="32"/>
          <w:szCs w:val="32"/>
        </w:rPr>
      </w:pPr>
      <w:r>
        <w:rPr>
          <w:rFonts w:hint="eastAsia" w:ascii="楷体_GB2312" w:hAnsi="Times New Roman" w:eastAsia="楷体_GB2312" w:cs="仿宋"/>
          <w:b/>
          <w:bCs/>
          <w:sz w:val="32"/>
          <w:szCs w:val="32"/>
        </w:rPr>
        <w:t>加大重点领域有效投资</w:t>
      </w:r>
      <w:r>
        <w:rPr>
          <w:rFonts w:hint="eastAsia" w:ascii="Times New Roman" w:hAnsi="Times New Roman" w:eastAsia="仿宋_GB2312"/>
          <w:kern w:val="0"/>
          <w:sz w:val="32"/>
          <w:szCs w:val="32"/>
        </w:rPr>
        <w:t>。牢牢抓住中部地区崛起、黄河流域生态保护和高质量发展、淮河生态经济带三大国家战略同步实施的机遇，积极争取更多重大工程、重大项目落地西华。</w:t>
      </w:r>
      <w:r>
        <w:rPr>
          <w:rFonts w:hint="eastAsia" w:ascii="仿宋_GB2312" w:hAnsi="Times New Roman" w:eastAsia="仿宋_GB2312"/>
          <w:kern w:val="0"/>
          <w:sz w:val="32"/>
          <w:szCs w:val="32"/>
        </w:rPr>
        <w:t>提高重大项目谋划储备，紧盯国家、省、市重点投资领域和方向，重点</w:t>
      </w:r>
      <w:r>
        <w:rPr>
          <w:rFonts w:hint="eastAsia" w:ascii="Times New Roman" w:hAnsi="Times New Roman" w:eastAsia="仿宋_GB2312"/>
          <w:kern w:val="0"/>
          <w:sz w:val="32"/>
          <w:szCs w:val="32"/>
        </w:rPr>
        <w:t>围绕5G</w:t>
      </w:r>
      <w:r>
        <w:rPr>
          <w:rFonts w:hint="eastAsia" w:ascii="仿宋_GB2312" w:hAnsi="Times New Roman" w:eastAsia="仿宋_GB2312"/>
          <w:kern w:val="0"/>
          <w:sz w:val="32"/>
          <w:szCs w:val="32"/>
        </w:rPr>
        <w:t>、人工智能、大数据、互联网等科技创新领域，教育、医疗、社保等民生消费升级领域，航空产业、智能装备制造、军民融合、新材料、新能源等产业转型领域，高标准高质量谋划实施一批项目，形成储备一批、开工一批、在建一批、竣工一批的良性循环，抓早抓优抓实一批符合西华经济社会发展实际、后发优势强、具有引领性的大项目和好项目，提高投资效率，保持合理有效投资稳定增长。</w:t>
      </w:r>
      <w:r>
        <w:rPr>
          <w:rFonts w:hint="eastAsia" w:ascii="Times New Roman" w:hAnsi="Times New Roman" w:eastAsia="仿宋_GB2312"/>
          <w:kern w:val="0"/>
          <w:sz w:val="32"/>
          <w:szCs w:val="32"/>
        </w:rPr>
        <w:t>“十四五期间”</w:t>
      </w:r>
      <w:r>
        <w:rPr>
          <w:rFonts w:hint="eastAsia" w:ascii="仿宋_GB2312" w:hAnsi="Times New Roman" w:eastAsia="仿宋_GB2312"/>
          <w:kern w:val="0"/>
          <w:sz w:val="32"/>
          <w:szCs w:val="32"/>
        </w:rPr>
        <w:t>，力争每年实施投资额超亿元的项目15个以上。</w:t>
      </w:r>
    </w:p>
    <w:p>
      <w:pPr>
        <w:spacing w:line="600" w:lineRule="exact"/>
        <w:ind w:firstLine="643" w:firstLineChars="200"/>
        <w:rPr>
          <w:rFonts w:ascii="Times New Roman" w:hAnsi="Times New Roman" w:eastAsia="仿宋_GB2312"/>
          <w:kern w:val="0"/>
          <w:sz w:val="32"/>
          <w:szCs w:val="32"/>
        </w:rPr>
      </w:pPr>
      <w:r>
        <w:rPr>
          <w:rFonts w:hint="eastAsia" w:ascii="楷体_GB2312" w:hAnsi="Times New Roman" w:eastAsia="楷体_GB2312"/>
          <w:b/>
          <w:bCs/>
          <w:kern w:val="0"/>
          <w:sz w:val="32"/>
          <w:szCs w:val="32"/>
        </w:rPr>
        <w:t>加强投资政策引导。</w:t>
      </w:r>
      <w:r>
        <w:rPr>
          <w:rFonts w:hint="eastAsia" w:ascii="仿宋_GB2312" w:hAnsi="Times New Roman" w:eastAsia="仿宋_GB2312"/>
          <w:kern w:val="0"/>
          <w:sz w:val="32"/>
          <w:szCs w:val="32"/>
        </w:rPr>
        <w:t>用足用好国家和省、市投资促进政策，充分发挥国家、省、市出台的发展规划、产业政策和政策性资金的引导作用。优化投资结构，对标国家、省、市鼓励和支持的相关领域，创新西华重点行业、重点领域固定资产投资支持政策，引导资金向补短板和锻长板领域投资。优化政府投资方向和安排方式，建立政府投资范围定期评估调整机制，科学合理界定政府投资的范围，重点投向市场不能有效配置资源的公共领域项目，提高政府投资效益。</w:t>
      </w:r>
    </w:p>
    <w:p>
      <w:pPr>
        <w:spacing w:line="600" w:lineRule="exact"/>
        <w:ind w:firstLine="643" w:firstLineChars="200"/>
        <w:rPr>
          <w:rFonts w:ascii="Times New Roman" w:hAnsi="Times New Roman" w:eastAsia="仿宋_GB2312"/>
          <w:kern w:val="0"/>
          <w:sz w:val="32"/>
          <w:szCs w:val="32"/>
        </w:rPr>
      </w:pPr>
      <w:r>
        <w:rPr>
          <w:rFonts w:hint="eastAsia" w:ascii="楷体_GB2312" w:hAnsi="Times New Roman" w:eastAsia="楷体_GB2312"/>
          <w:b/>
          <w:bCs/>
          <w:kern w:val="0"/>
          <w:sz w:val="32"/>
          <w:szCs w:val="32"/>
        </w:rPr>
        <w:t>强化要素保障。</w:t>
      </w:r>
      <w:r>
        <w:rPr>
          <w:rFonts w:hint="eastAsia" w:ascii="仿宋_GB2312" w:hAnsi="Times New Roman" w:eastAsia="仿宋_GB2312"/>
          <w:kern w:val="0"/>
          <w:sz w:val="32"/>
          <w:szCs w:val="32"/>
        </w:rPr>
        <w:t>优化政府投资方向和安排方式，规范政府和社会资本合作模式，推动政府投融资公司市场化转型，形成投资良性循环。对省、市重点项目，按照</w:t>
      </w:r>
      <w:r>
        <w:rPr>
          <w:rFonts w:hint="eastAsia" w:ascii="Times New Roman" w:hAnsi="Times New Roman" w:eastAsia="仿宋_GB2312"/>
          <w:kern w:val="0"/>
          <w:sz w:val="32"/>
          <w:szCs w:val="32"/>
        </w:rPr>
        <w:t>“要素资源跟着项目走”的原则，优先保障土地、资金、环保等要素资源；创新融资方式，建立多元化投资机制，完善覆盖全生命周期的资金保障制度，健全与项目资金需求和期限匹配的长期资金筹措渠道；制定优惠政策，吸引各类产业投资基金加大对全县项目的支持力度，全链条提高投资项目落地实施效率。</w:t>
      </w:r>
    </w:p>
    <w:p>
      <w:pPr>
        <w:spacing w:line="600" w:lineRule="exact"/>
        <w:ind w:firstLine="643" w:firstLineChars="200"/>
        <w:rPr>
          <w:rFonts w:ascii="Times New Roman" w:hAnsi="Times New Roman" w:eastAsia="仿宋_GB2312"/>
          <w:kern w:val="0"/>
          <w:sz w:val="32"/>
          <w:szCs w:val="32"/>
        </w:rPr>
      </w:pPr>
      <w:r>
        <w:rPr>
          <w:rFonts w:hint="eastAsia" w:ascii="楷体_GB2312" w:hAnsi="Times New Roman" w:eastAsia="楷体_GB2312"/>
          <w:b/>
          <w:bCs/>
          <w:kern w:val="0"/>
          <w:sz w:val="32"/>
          <w:szCs w:val="32"/>
        </w:rPr>
        <w:t>深化投融资体制机制改革。</w:t>
      </w:r>
      <w:r>
        <w:rPr>
          <w:rFonts w:hint="eastAsia" w:ascii="仿宋_GB2312" w:hAnsi="Times New Roman" w:eastAsia="仿宋_GB2312"/>
          <w:kern w:val="0"/>
          <w:sz w:val="32"/>
          <w:szCs w:val="32"/>
        </w:rPr>
        <w:t>持续优化民间投资持续健康发展环境，全面落实民间投资平等市场主体待遇。积极放宽市场准入，推动</w:t>
      </w:r>
      <w:r>
        <w:rPr>
          <w:rFonts w:hint="eastAsia" w:ascii="Times New Roman" w:hAnsi="Times New Roman" w:eastAsia="仿宋_GB2312"/>
          <w:kern w:val="0"/>
          <w:sz w:val="32"/>
          <w:szCs w:val="32"/>
        </w:rPr>
        <w:t>“非禁即入”，破除隐性壁垒，营造一视同仁的政策环境，对市场准入负面清单之外的行业、领域、业务等，各类市场主体皆可依法平等进入，不得额外对民间资本设置准入条件。建立合理利润分享、风险共担机制，引导民间资本进入基础设施和公共服务等重点领域项目建设，支持社会资本采取多种方式规范参与</w:t>
      </w:r>
      <w:r>
        <w:rPr>
          <w:rFonts w:hint="eastAsia" w:ascii="Times New Roman" w:hAnsi="Times New Roman" w:eastAsia="仿宋_GB2312"/>
          <w:sz w:val="32"/>
          <w:szCs w:val="32"/>
        </w:rPr>
        <w:t>PPP</w:t>
      </w:r>
      <w:r>
        <w:rPr>
          <w:rFonts w:hint="eastAsia" w:ascii="仿宋_GB2312" w:hAnsi="Times New Roman" w:eastAsia="仿宋_GB2312"/>
          <w:kern w:val="0"/>
          <w:sz w:val="32"/>
          <w:szCs w:val="32"/>
        </w:rPr>
        <w:t>项目。</w:t>
      </w:r>
    </w:p>
    <w:p>
      <w:pPr>
        <w:pStyle w:val="3"/>
        <w:spacing w:before="120" w:after="120" w:line="600" w:lineRule="exact"/>
        <w:jc w:val="center"/>
        <w:rPr>
          <w:rFonts w:ascii="仿宋_GB2312" w:eastAsia="仿宋_GB2312"/>
        </w:rPr>
      </w:pPr>
      <w:bookmarkStart w:id="48" w:name="_Toc65514274"/>
      <w:r>
        <w:rPr>
          <w:rFonts w:hint="eastAsia" w:ascii="仿宋_GB2312" w:eastAsia="仿宋_GB2312"/>
        </w:rPr>
        <w:t>第三节 促进消费扩容提质</w:t>
      </w:r>
      <w:bookmarkEnd w:id="48"/>
    </w:p>
    <w:p>
      <w:pPr>
        <w:spacing w:line="600" w:lineRule="exact"/>
        <w:ind w:firstLine="640" w:firstLineChars="200"/>
        <w:rPr>
          <w:rFonts w:ascii="仿宋_GB2312" w:eastAsia="仿宋_GB2312"/>
          <w:kern w:val="0"/>
          <w:sz w:val="32"/>
          <w:szCs w:val="32"/>
        </w:rPr>
      </w:pPr>
      <w:r>
        <w:rPr>
          <w:rFonts w:hint="eastAsia" w:ascii="仿宋_GB2312" w:eastAsia="仿宋_GB2312"/>
          <w:kern w:val="0"/>
          <w:sz w:val="32"/>
          <w:szCs w:val="32"/>
        </w:rPr>
        <w:t>坚持需求侧、供给侧双向发力，以需求侧牵引供给，以供给创造需求，推动</w:t>
      </w:r>
      <w:r>
        <w:rPr>
          <w:rFonts w:hint="eastAsia" w:ascii="仿宋_GB2312" w:hAnsi="Times New Roman" w:eastAsia="仿宋_GB2312"/>
          <w:sz w:val="32"/>
          <w:szCs w:val="32"/>
        </w:rPr>
        <w:t>消费</w:t>
      </w:r>
      <w:r>
        <w:rPr>
          <w:rFonts w:hint="eastAsia" w:ascii="仿宋_GB2312" w:eastAsia="仿宋_GB2312"/>
          <w:kern w:val="0"/>
          <w:sz w:val="32"/>
          <w:szCs w:val="32"/>
        </w:rPr>
        <w:t>供给升级，培育新型消费增长点，优化消费环境，促进经济良性循环。</w:t>
      </w:r>
    </w:p>
    <w:p>
      <w:pPr>
        <w:spacing w:line="600" w:lineRule="exact"/>
        <w:ind w:firstLine="643" w:firstLineChars="200"/>
        <w:rPr>
          <w:rFonts w:ascii="仿宋_GB2312" w:eastAsia="仿宋_GB2312"/>
          <w:kern w:val="0"/>
          <w:sz w:val="32"/>
          <w:szCs w:val="32"/>
        </w:rPr>
      </w:pPr>
      <w:r>
        <w:rPr>
          <w:rFonts w:hint="eastAsia" w:ascii="楷体_GB2312" w:eastAsia="楷体_GB2312"/>
          <w:b/>
          <w:bCs/>
          <w:kern w:val="0"/>
          <w:sz w:val="32"/>
          <w:szCs w:val="32"/>
        </w:rPr>
        <w:t>开展消费平台升级行动</w:t>
      </w:r>
      <w:r>
        <w:rPr>
          <w:rFonts w:hint="eastAsia" w:ascii="楷体_GB2312" w:eastAsia="楷体_GB2312"/>
          <w:kern w:val="0"/>
          <w:sz w:val="32"/>
          <w:szCs w:val="32"/>
        </w:rPr>
        <w:t>。</w:t>
      </w:r>
      <w:r>
        <w:rPr>
          <w:rFonts w:hint="eastAsia" w:ascii="仿宋_GB2312" w:eastAsia="仿宋_GB2312"/>
          <w:kern w:val="0"/>
          <w:sz w:val="32"/>
          <w:szCs w:val="32"/>
        </w:rPr>
        <w:t>牢牢抓住“国际国内双循环”“扩大内需”的重大市场机遇，充分释放100万人口的消费势能，深入挖掘消费潜力，打造更高更好更优的消费体验。聚焦特色、重塑地标、打造品牌，规划多中心、广集聚、网络状的消费新格局。加大现代化、时尚化商业消费载体平台建设，加快推进红星美凯龙家居商城、润商新中心商城、中合农发农商智慧城等商业综合体建设，培育太平洋西华城、咏泰机遇城市会客厅等高端商务中心，提升奥特莱斯品牌折扣街、上亿民国风情街等特色商业街，布局多元化、高品质社区生活服务商圈。大力培育消费产业、领军企业、本土品牌和优质产品，保护传统“老字号”品牌，推动商品交易市场功能提升，优化大众消费、品质消费、高端消费供给，满足不同层次消费需求。促进汽车、建材、家电等重点领域消费，落实新能源汽车购置相关财税支持政策，鼓励实行新能源车停车费减免等政策，推动由购买管理向使用管理转变。激发电子电器、旅游消费活力，合理增加教育、医疗、养老、幼育等公共消费，推进住房消费健康发展。</w:t>
      </w:r>
    </w:p>
    <w:p>
      <w:pPr>
        <w:spacing w:line="600" w:lineRule="exact"/>
        <w:ind w:firstLine="643" w:firstLineChars="200"/>
        <w:rPr>
          <w:rFonts w:ascii="仿宋_GB2312" w:eastAsia="仿宋_GB2312"/>
          <w:kern w:val="0"/>
          <w:sz w:val="32"/>
          <w:szCs w:val="32"/>
        </w:rPr>
      </w:pPr>
      <w:r>
        <w:rPr>
          <w:rFonts w:hint="eastAsia" w:ascii="楷体_GB2312" w:eastAsia="楷体_GB2312" w:cs="仿宋_GB2312"/>
          <w:b/>
          <w:bCs/>
          <w:kern w:val="0"/>
          <w:sz w:val="32"/>
          <w:szCs w:val="32"/>
        </w:rPr>
        <w:t>开展消费业态升级行动。</w:t>
      </w:r>
      <w:r>
        <w:rPr>
          <w:rFonts w:hint="eastAsia" w:ascii="仿宋_GB2312" w:eastAsia="仿宋_GB2312" w:cs="仿宋_GB2312"/>
          <w:bCs/>
          <w:kern w:val="0"/>
          <w:sz w:val="32"/>
          <w:szCs w:val="32"/>
        </w:rPr>
        <w:t>坚持以供给侧结构性改革引领和创造新需求，顺应消费多元化、个性化、品质化、数字化趋势，推动消费供给升级，培育新型消费增长点，优化消费环境，不断增强消费对经济增长的基础性作用。</w:t>
      </w:r>
      <w:r>
        <w:rPr>
          <w:rFonts w:hint="eastAsia" w:ascii="仿宋_GB2312" w:hAnsi="Times New Roman" w:eastAsia="仿宋_GB2312"/>
          <w:sz w:val="32"/>
          <w:szCs w:val="32"/>
        </w:rPr>
        <w:t>强化移动互联网、</w:t>
      </w:r>
      <w:r>
        <w:rPr>
          <w:rFonts w:ascii="Times New Roman" w:hAnsi="Times New Roman" w:eastAsia="仿宋_GB2312"/>
          <w:sz w:val="32"/>
          <w:szCs w:val="32"/>
        </w:rPr>
        <w:t>5G</w:t>
      </w:r>
      <w:r>
        <w:rPr>
          <w:rFonts w:hint="eastAsia" w:ascii="仿宋_GB2312" w:hAnsi="Times New Roman" w:eastAsia="仿宋_GB2312"/>
          <w:sz w:val="32"/>
          <w:szCs w:val="32"/>
        </w:rPr>
        <w:t>、</w:t>
      </w:r>
      <w:r>
        <w:rPr>
          <w:rFonts w:ascii="Times New Roman" w:hAnsi="Times New Roman" w:eastAsia="仿宋_GB2312"/>
          <w:sz w:val="32"/>
          <w:szCs w:val="32"/>
        </w:rPr>
        <w:t>VR</w:t>
      </w:r>
      <w:r>
        <w:rPr>
          <w:rFonts w:hint="eastAsia" w:ascii="仿宋_GB2312" w:hAnsi="Times New Roman" w:eastAsia="仿宋_GB2312"/>
          <w:sz w:val="32"/>
          <w:szCs w:val="32"/>
        </w:rPr>
        <w:t>等新一代信息技术应用，培育发展新型消费场景，积极发展无人零售、无接触配送、电商网红经济、数字化直播销售等消费新模式，推动线上线下消费有机融合、双向提速。</w:t>
      </w:r>
      <w:r>
        <w:rPr>
          <w:rFonts w:hint="eastAsia" w:ascii="仿宋_GB2312" w:eastAsia="仿宋_GB2312"/>
          <w:sz w:val="32"/>
          <w:szCs w:val="32"/>
        </w:rPr>
        <w:t>大力发展夜间经济、假日经济、首店经济、小店经济、“</w:t>
      </w:r>
      <w:r>
        <w:rPr>
          <w:rFonts w:hint="eastAsia" w:ascii="仿宋_GB2312" w:hAnsi="Times New Roman" w:eastAsia="仿宋_GB2312"/>
          <w:sz w:val="32"/>
          <w:szCs w:val="32"/>
        </w:rPr>
        <w:t>宅经济”“网红经济”“直播带货”等新型消费业态，不断繁荣活跃消费市场、挖掘释放消费活力，重点支持核心商圈、特色街区、旅游景区等开设深夜营业专区、夜间游览区、</w:t>
      </w:r>
      <w:r>
        <w:rPr>
          <w:rFonts w:ascii="Times New Roman" w:hAnsi="Times New Roman" w:eastAsia="仿宋_GB2312"/>
          <w:sz w:val="32"/>
          <w:szCs w:val="32"/>
        </w:rPr>
        <w:t>24</w:t>
      </w:r>
      <w:r>
        <w:rPr>
          <w:rFonts w:hint="eastAsia" w:ascii="仿宋_GB2312" w:hAnsi="Times New Roman" w:eastAsia="仿宋_GB2312"/>
          <w:sz w:val="32"/>
          <w:szCs w:val="32"/>
        </w:rPr>
        <w:t>小时便利店和“深夜食堂”等夜间消费业态，创新发展夜游、夜购、夜宵等夜间项目，打造</w:t>
      </w:r>
      <w:r>
        <w:rPr>
          <w:rFonts w:ascii="Times New Roman" w:hAnsi="Times New Roman" w:eastAsia="仿宋_GB2312"/>
          <w:sz w:val="32"/>
          <w:szCs w:val="32"/>
        </w:rPr>
        <w:t>3-5</w:t>
      </w:r>
      <w:r>
        <w:rPr>
          <w:rFonts w:hint="eastAsia" w:ascii="仿宋_GB2312" w:hAnsi="Times New Roman" w:eastAsia="仿宋_GB2312"/>
          <w:sz w:val="32"/>
          <w:szCs w:val="32"/>
        </w:rPr>
        <w:t>个在全市乃至全省具有较强知名度和影响力的夜市街区和夜间文旅消费集聚区。</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开展乡村消费升级行动。</w:t>
      </w:r>
      <w:r>
        <w:rPr>
          <w:rFonts w:hint="eastAsia" w:ascii="仿宋_GB2312" w:hAnsi="Times New Roman" w:eastAsia="仿宋_GB2312"/>
          <w:sz w:val="32"/>
          <w:szCs w:val="32"/>
        </w:rPr>
        <w:t>优化乡村商业网点布局，引导品牌零售企业在乡村开展连锁网点建设，打通农村消费“最后一公里”。提升农副产品电子商务交易平台建设水平，实提升农产品进城和工业品下乡双向流通效率，打造西华电商产业“升级版”。开展汽车下乡专项活动，鼓励购买新能源汽车，推动乡镇及有条件的中心村建设充电桩、加气站等新能源汽车配套设施。大力推进消费扶贫行动，持续办好“‘中国农民丰收节’庆祝活动暨农产品展销会”活动，构建互联网企业与贫困地区合作平台，助推农村地区特色优势农产品销售。</w:t>
      </w:r>
    </w:p>
    <w:p>
      <w:pPr>
        <w:spacing w:line="600" w:lineRule="exact"/>
        <w:ind w:firstLine="643" w:firstLineChars="200"/>
        <w:rPr>
          <w:rFonts w:ascii="仿宋_GB2312" w:hAnsi="Times New Roman" w:eastAsia="仿宋_GB2312"/>
          <w:sz w:val="32"/>
          <w:szCs w:val="32"/>
        </w:rPr>
      </w:pPr>
      <w:r>
        <w:rPr>
          <w:rFonts w:hint="eastAsia" w:ascii="仿宋_GB2312" w:hAnsi="Times New Roman" w:eastAsia="仿宋_GB2312"/>
          <w:b/>
          <w:bCs/>
          <w:sz w:val="32"/>
          <w:szCs w:val="32"/>
        </w:rPr>
        <w:t>开展消费环境升级行动。</w:t>
      </w:r>
      <w:r>
        <w:rPr>
          <w:rFonts w:hint="eastAsia" w:ascii="仿宋_GB2312" w:hAnsi="Times New Roman" w:eastAsia="仿宋_GB2312"/>
          <w:sz w:val="32"/>
          <w:szCs w:val="32"/>
        </w:rPr>
        <w:t>优化细化市场政策，鼓励商家应用新技术、新产品、新模式，大力举办消费类展会，提升消费竞争力。发展消费金融，强化金融科技运用和产品创新。推进健康医疗、教育文化、休闲娱乐等消费领域和相关服务业提质扩容，大力发展“美丽经济”“幸福产业”，促进消费向绿色、健康、发展。积极搭建数字化商业网点公共服务系统，健全消费诚信、消费者保护和维权制度，加大培养消费服务人才力度，加强知识产权、商品质量、食品安全、市场秩序综合监管和治理，营造安全放心的消费市场环境。</w:t>
      </w:r>
    </w:p>
    <w:p>
      <w:pPr>
        <w:pStyle w:val="3"/>
        <w:spacing w:before="120" w:after="120" w:line="600" w:lineRule="exact"/>
        <w:jc w:val="center"/>
        <w:rPr>
          <w:rFonts w:ascii="仿宋_GB2312" w:eastAsia="仿宋_GB2312"/>
        </w:rPr>
      </w:pPr>
      <w:bookmarkStart w:id="49" w:name="_Toc65514275"/>
      <w:r>
        <w:rPr>
          <w:rFonts w:hint="eastAsia" w:ascii="仿宋_GB2312" w:eastAsia="仿宋_GB2312"/>
        </w:rPr>
        <w:t>第四节 提高对外开放合作能级</w:t>
      </w:r>
      <w:bookmarkEnd w:id="49"/>
    </w:p>
    <w:p>
      <w:pPr>
        <w:spacing w:line="60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树立开放思维，坚持把西华发展放在全市、全省乃至全国的大棋盘中谋划推动，积极对接“四路协同”“五区联动”“新兴临港经济城市”等省市战略，主动融入“一带一路”“中部地区崛起”“黄河流域生态保护和高质量发展”等国家战略。</w:t>
      </w:r>
    </w:p>
    <w:p>
      <w:pPr>
        <w:spacing w:line="600" w:lineRule="exact"/>
        <w:ind w:firstLine="630" w:firstLineChars="196"/>
        <w:rPr>
          <w:rFonts w:ascii="仿宋_GB2312" w:hAnsi="Times New Roman" w:eastAsia="仿宋_GB2312"/>
          <w:kern w:val="0"/>
          <w:sz w:val="32"/>
          <w:szCs w:val="32"/>
        </w:rPr>
      </w:pPr>
      <w:r>
        <w:rPr>
          <w:rFonts w:hint="eastAsia" w:ascii="仿宋_GB2312" w:hAnsi="Times New Roman" w:eastAsia="仿宋_GB2312"/>
          <w:b/>
          <w:bCs/>
          <w:kern w:val="0"/>
          <w:sz w:val="32"/>
          <w:szCs w:val="32"/>
        </w:rPr>
        <w:t>深化区域联动发展。</w:t>
      </w:r>
      <w:r>
        <w:rPr>
          <w:rFonts w:hint="eastAsia" w:ascii="仿宋_GB2312" w:eastAsia="仿宋_GB2312"/>
          <w:sz w:val="32"/>
          <w:szCs w:val="32"/>
        </w:rPr>
        <w:t>牢牢抓住“一带一路”全面推进、区域全面经济伙伴关系协定（RCEP）和中欧投资协定陆续签定的机遇，进一步扩大对外开放，推进由原有的市场开放、消费开放、投资开放、技术引进、工程外包向更加注重制度性开放、规则性开放转变，形成与“双循环”新发展格局相适应的体制机制，努力在开放上实现更大突破。</w:t>
      </w:r>
      <w:r>
        <w:rPr>
          <w:rFonts w:hint="eastAsia" w:ascii="仿宋_GB2312" w:hAnsi="Times New Roman" w:eastAsia="仿宋_GB2312"/>
          <w:kern w:val="0"/>
          <w:sz w:val="32"/>
          <w:szCs w:val="32"/>
        </w:rPr>
        <w:t>以全面融入周口高铁经济带和沙颍河经济带建设为重点，积极对接郑州都市圈、周西一体化，以市场化手段探索开展创新、产业、民生资源共享合作，构建信息收集发布机制和共享对话机制，共建研发机构、技术服务平台、成果转移转化平台、分析测试平台。加强与长三角地区、黄淮平原省份的交流合作，推进跨区域产业合作</w:t>
      </w:r>
      <w:r>
        <w:rPr>
          <w:rFonts w:hint="eastAsia" w:ascii="仿宋_GB2312" w:eastAsia="仿宋_GB2312"/>
          <w:sz w:val="32"/>
          <w:szCs w:val="32"/>
        </w:rPr>
        <w:t>，探索开展异地孵化、飞地经济、伙伴园区等多元化合作模式，加快形成区域联动、资源共享、政策通用、市场共建的协同发展大格局。</w:t>
      </w:r>
    </w:p>
    <w:p>
      <w:pPr>
        <w:spacing w:line="600" w:lineRule="exact"/>
        <w:ind w:firstLine="643" w:firstLineChars="200"/>
        <w:rPr>
          <w:rFonts w:ascii="仿宋_GB2312" w:hAnsi="Times New Roman" w:eastAsia="仿宋_GB2312"/>
          <w:sz w:val="32"/>
          <w:szCs w:val="32"/>
        </w:rPr>
      </w:pPr>
      <w:r>
        <w:rPr>
          <w:rFonts w:hint="eastAsia" w:ascii="仿宋_GB2312" w:eastAsia="仿宋_GB2312"/>
          <w:b/>
          <w:bCs/>
          <w:sz w:val="32"/>
          <w:szCs w:val="32"/>
        </w:rPr>
        <w:t>打造高能级对外开放平台。</w:t>
      </w:r>
      <w:r>
        <w:rPr>
          <w:rFonts w:hint="eastAsia" w:ascii="仿宋_GB2312" w:hAnsi="Times New Roman" w:eastAsia="仿宋_GB2312"/>
          <w:sz w:val="32"/>
          <w:szCs w:val="32"/>
        </w:rPr>
        <w:t>提升开放载体平台功能，大力推进开放平台提质和布局优化，深度融入全省、全市开放体系，全面提升对外开放水平。</w:t>
      </w:r>
      <w:r>
        <w:rPr>
          <w:rFonts w:ascii="Times New Roman" w:hAnsi="Times New Roman" w:eastAsia="仿宋_GB2312"/>
          <w:spacing w:val="6"/>
          <w:sz w:val="32"/>
          <w:szCs w:val="32"/>
        </w:rPr>
        <w:t>以临空经济、临港经济为突破点，打造全面开放新高地。围绕沙颍河生态经济带建设，对全流域的港口、高铁站、机场统一规划，错位发展，把沙颍河及沿岸打造成经济通道、黄金水道、产业大道和生态廊道，形成西华崛起的黄金轴带。积极承接优质产业产能转移，</w:t>
      </w:r>
      <w:r>
        <w:rPr>
          <w:rFonts w:ascii="Times New Roman" w:hAnsi="Times New Roman" w:eastAsia="仿宋_GB2312"/>
          <w:spacing w:val="6"/>
          <w:kern w:val="0"/>
          <w:sz w:val="32"/>
          <w:szCs w:val="32"/>
        </w:rPr>
        <w:t>加强与京津冀、长三角、粤港澳大湾区、郑州航空港区等地区战略合作</w:t>
      </w:r>
      <w:r>
        <w:rPr>
          <w:rFonts w:ascii="Times New Roman" w:hAnsi="Times New Roman" w:eastAsia="仿宋_GB2312"/>
          <w:spacing w:val="6"/>
          <w:sz w:val="32"/>
          <w:szCs w:val="32"/>
        </w:rPr>
        <w:t>，围绕畅通外贸产业链、供应链、稳定国际市场份额，继续引进、培育在全国范围内有影响、有品牌的外贸综合服务平台龙头企业。</w:t>
      </w:r>
      <w:r>
        <w:rPr>
          <w:rFonts w:hint="eastAsia" w:ascii="Times New Roman" w:hAnsi="Times New Roman" w:eastAsia="仿宋_GB2312"/>
          <w:spacing w:val="6"/>
          <w:sz w:val="32"/>
          <w:szCs w:val="32"/>
        </w:rPr>
        <w:t>依托电子商务园建设，</w:t>
      </w:r>
      <w:r>
        <w:rPr>
          <w:rFonts w:ascii="Times New Roman" w:hAnsi="Times New Roman" w:eastAsia="仿宋_GB2312"/>
          <w:spacing w:val="6"/>
          <w:sz w:val="32"/>
          <w:szCs w:val="32"/>
        </w:rPr>
        <w:t>大力发展跨境电子商务，支持中小微企业应用跨境电商平台，积极融入中部（郑州）跨境电子商务综合试验区战略发展</w:t>
      </w:r>
      <w:r>
        <w:rPr>
          <w:rFonts w:hint="eastAsia" w:ascii="Times New Roman" w:hAnsi="Times New Roman" w:eastAsia="仿宋_GB2312"/>
          <w:spacing w:val="6"/>
          <w:sz w:val="32"/>
          <w:szCs w:val="32"/>
        </w:rPr>
        <w:t>，探索开展</w:t>
      </w:r>
      <w:r>
        <w:rPr>
          <w:rFonts w:hint="eastAsia" w:ascii="Times New Roman" w:hAnsi="Times New Roman" w:eastAsia="仿宋_GB2312"/>
          <w:sz w:val="32"/>
          <w:szCs w:val="32"/>
        </w:rPr>
        <w:t>保税物流（B</w:t>
      </w:r>
      <w:r>
        <w:rPr>
          <w:rFonts w:hint="eastAsia" w:ascii="仿宋_GB2312" w:hAnsi="Times New Roman" w:eastAsia="仿宋_GB2312"/>
          <w:sz w:val="32"/>
          <w:szCs w:val="32"/>
        </w:rPr>
        <w:t>型）申报创建。积极参与国际国内交流活动</w:t>
      </w:r>
      <w:r>
        <w:rPr>
          <w:rFonts w:hint="eastAsia" w:ascii="仿宋_GB2312" w:eastAsia="仿宋_GB2312"/>
          <w:sz w:val="32"/>
          <w:szCs w:val="32"/>
        </w:rPr>
        <w:t>，充分利用“中国河南投洽会”“中博会”“郑交会”等有影响的展销会、投资洽谈会，精心组织、注重实效，全方位、多视角展现西华形象、宣传西华投资环境，打造全省全国全世界的投资福地。</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加大针对性招商引资力度。</w:t>
      </w:r>
      <w:r>
        <w:rPr>
          <w:rFonts w:hint="eastAsia" w:ascii="仿宋_GB2312" w:eastAsia="仿宋_GB2312"/>
          <w:bCs/>
          <w:sz w:val="32"/>
          <w:szCs w:val="32"/>
        </w:rPr>
        <w:t>深化招商引资“四个转变”，坚持“双招双引”，继续将投资强度、投资额度、亩均税收、装备水平、单位能耗作为衡量招商项目优劣的主要标准，将落地项目在约定时间内投产达效作为招商成果的考核重点，将企业对县域经济发展的贡献程度与企业享受优惠政策的幅度相挂钩，持续提升招商引资水平和招商项目质量。重点</w:t>
      </w:r>
      <w:r>
        <w:rPr>
          <w:rFonts w:hint="eastAsia" w:ascii="仿宋_GB2312" w:hAnsi="Times New Roman" w:eastAsia="仿宋_GB2312"/>
          <w:sz w:val="32"/>
          <w:szCs w:val="32"/>
        </w:rPr>
        <w:t>围绕临空经济、高端智能装备制造、食品加工等主导产业，围绕“四大经济”，围绕打造沙颍河生态经济带和高铁经济带等，积极谋划招商项目，紧盯全球500强、国内500强、行业30强的投资重点和产业布局新动向，认真落实重大招商项目线索落地专班机制，紧盯重大项目线索抓对接，紧盯签约项目抓跟进，不断开辟招商引资新局面。</w:t>
      </w:r>
    </w:p>
    <w:p>
      <w:pPr>
        <w:pStyle w:val="2"/>
        <w:spacing w:before="240" w:after="240" w:line="600" w:lineRule="exact"/>
        <w:ind w:right="-340" w:rightChars="-162"/>
        <w:jc w:val="center"/>
        <w:rPr>
          <w:rFonts w:ascii="黑体" w:hAnsi="黑体" w:eastAsia="黑体"/>
          <w:b w:val="0"/>
          <w:sz w:val="32"/>
          <w:szCs w:val="32"/>
        </w:rPr>
      </w:pPr>
      <w:bookmarkStart w:id="50" w:name="_Toc65514276"/>
      <w:r>
        <w:rPr>
          <w:rFonts w:hint="eastAsia" w:ascii="黑体" w:hAnsi="黑体" w:eastAsia="黑体"/>
          <w:b w:val="0"/>
          <w:sz w:val="32"/>
          <w:szCs w:val="32"/>
        </w:rPr>
        <w:t>第六章 持续深化改革，构建充满活力的市场经济新机制</w:t>
      </w:r>
      <w:bookmarkEnd w:id="50"/>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充分发挥市场在资源配置中的决定性作用，更好发挥政府作用，深化重点领域和关键环节改革，加强营商环境建设，推动有效市场和有为政府更好结合，激发高质量发展活力动力。</w:t>
      </w:r>
    </w:p>
    <w:p>
      <w:pPr>
        <w:pStyle w:val="3"/>
        <w:spacing w:before="120" w:after="120" w:line="600" w:lineRule="exact"/>
        <w:jc w:val="center"/>
        <w:rPr>
          <w:rFonts w:ascii="仿宋_GB2312" w:hAnsi="Times New Roman" w:eastAsia="仿宋_GB2312"/>
        </w:rPr>
      </w:pPr>
      <w:bookmarkStart w:id="51" w:name="_Toc65514277"/>
      <w:r>
        <w:rPr>
          <w:rFonts w:hint="eastAsia" w:ascii="仿宋_GB2312" w:hAnsi="Times New Roman" w:eastAsia="仿宋_GB2312"/>
        </w:rPr>
        <w:t>第一节 持续强市场主体活力</w:t>
      </w:r>
      <w:bookmarkEnd w:id="51"/>
    </w:p>
    <w:p>
      <w:pPr>
        <w:autoSpaceDE w:val="0"/>
        <w:autoSpaceDN w:val="0"/>
        <w:adjustRightInd w:val="0"/>
        <w:spacing w:line="600" w:lineRule="exact"/>
        <w:ind w:firstLine="640" w:firstLineChars="200"/>
        <w:jc w:val="left"/>
        <w:rPr>
          <w:rFonts w:ascii="仿宋_GB2312" w:hAnsi="Times New Roman" w:eastAsia="仿宋_GB2312"/>
          <w:sz w:val="32"/>
          <w:szCs w:val="32"/>
        </w:rPr>
      </w:pPr>
      <w:r>
        <w:rPr>
          <w:rFonts w:hint="eastAsia" w:ascii="仿宋_GB2312" w:hAnsi="Times New Roman" w:eastAsia="仿宋_GB2312"/>
          <w:sz w:val="32"/>
          <w:szCs w:val="32"/>
        </w:rPr>
        <w:t>坚持两个“毫不动摇”，推进“两个健康”，壮做大国有企业，推动民营企业提档升级，培育更多充满活力的市场主体，筑牢社会主义市场经济运行的体制基础。</w:t>
      </w:r>
    </w:p>
    <w:p>
      <w:pPr>
        <w:autoSpaceDE w:val="0"/>
        <w:autoSpaceDN w:val="0"/>
        <w:adjustRightInd w:val="0"/>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sz w:val="32"/>
          <w:szCs w:val="32"/>
        </w:rPr>
        <w:t>深化产权制度改革。</w:t>
      </w:r>
      <w:r>
        <w:rPr>
          <w:rFonts w:hint="eastAsia" w:ascii="仿宋_GB2312" w:hAnsi="Times New Roman" w:eastAsia="仿宋_GB2312"/>
          <w:sz w:val="32"/>
          <w:szCs w:val="32"/>
        </w:rPr>
        <w:t>完善落实现代产权制度，加强产权激励，完善以管资本为主的经营性国有资产产权管理制度，健全自然资源资产产权制度，切实防止国有资产流失。实施好民法典和相关法律法规，切实维护企业合法利益，建立健全企业诉求处理机制，积极推进涉企执法监管“负面清单”和行政裁量权基准制度，构建企业维权“绿色通道”。深化农村集体产权制度改革，严格落实农村第二轮土地承包到期后再延长30年政策和农村承包地“三权分置”制度，健全农村产权流转交易市场，扶持壮大农村集体经济。</w:t>
      </w:r>
    </w:p>
    <w:p>
      <w:pPr>
        <w:spacing w:line="600" w:lineRule="exact"/>
        <w:ind w:firstLine="643" w:firstLineChars="200"/>
        <w:rPr>
          <w:rFonts w:ascii="Times New Roman" w:hAnsi="Times New Roman" w:eastAsia="仿宋_GB2312" w:cs="仿宋"/>
          <w:sz w:val="32"/>
          <w:szCs w:val="32"/>
        </w:rPr>
      </w:pPr>
      <w:r>
        <w:rPr>
          <w:rFonts w:hint="eastAsia" w:ascii="楷体_GB2312" w:eastAsia="楷体_GB2312" w:cs="仿宋_GB2312"/>
          <w:b/>
          <w:bCs/>
          <w:kern w:val="0"/>
          <w:sz w:val="32"/>
          <w:szCs w:val="32"/>
        </w:rPr>
        <w:t>优化民营企业发展环境</w:t>
      </w:r>
      <w:r>
        <w:rPr>
          <w:rFonts w:hint="eastAsia" w:ascii="楷体_GB2312" w:hAnsi="Times New Roman" w:eastAsia="楷体_GB2312" w:cs="仿宋"/>
          <w:b/>
          <w:bCs/>
          <w:sz w:val="32"/>
          <w:szCs w:val="32"/>
        </w:rPr>
        <w:t>。</w:t>
      </w:r>
      <w:r>
        <w:rPr>
          <w:rFonts w:hint="eastAsia" w:ascii="仿宋_GB2312" w:eastAsia="仿宋_GB2312"/>
          <w:kern w:val="0"/>
          <w:sz w:val="32"/>
          <w:szCs w:val="32"/>
        </w:rPr>
        <w:t>优化民营经济发展环境，消除隐性壁垒，鼓励民营企业、外商投资企业依法进入更多领域，在要素获取、准入许可、经营运行、政府采购和招投标等方面平等对待，支持民企参与特许经营，探索对新产业、新业态实行包容审慎监管。加快破解中小企业融资难问题，引导金融部门更新服务模式，努力降低成本，加大对民营经济和中小微企业的支持力度。激发企业家精神，依法保护民营企业家财产和合法权益。支持民营企业规范化股份制改造、挂牌上市、并购重组和科技创新，打造一批具有自主品牌和竞争力的骨干企业。</w:t>
      </w:r>
    </w:p>
    <w:p>
      <w:pPr>
        <w:pStyle w:val="3"/>
        <w:spacing w:before="120" w:after="120" w:line="600" w:lineRule="exact"/>
        <w:jc w:val="center"/>
        <w:rPr>
          <w:rFonts w:ascii="Times New Roman" w:hAnsi="Times New Roman" w:eastAsia="仿宋_GB2312"/>
        </w:rPr>
      </w:pPr>
      <w:bookmarkStart w:id="52" w:name="_Toc65514278"/>
      <w:r>
        <w:rPr>
          <w:rFonts w:hint="eastAsia" w:ascii="仿宋_GB2312" w:hAnsi="Times New Roman" w:eastAsia="仿宋_GB2312"/>
        </w:rPr>
        <w:t>第二节 强化要素配置市场化改革</w:t>
      </w:r>
      <w:bookmarkEnd w:id="52"/>
    </w:p>
    <w:p>
      <w:pPr>
        <w:autoSpaceDE w:val="0"/>
        <w:autoSpaceDN w:val="0"/>
        <w:adjustRightInd w:val="0"/>
        <w:spacing w:line="600" w:lineRule="exact"/>
        <w:ind w:firstLine="640" w:firstLineChars="200"/>
        <w:jc w:val="left"/>
        <w:rPr>
          <w:rFonts w:ascii="仿宋_GB2312" w:eastAsia="仿宋_GB2312"/>
          <w:kern w:val="0"/>
          <w:sz w:val="32"/>
          <w:szCs w:val="32"/>
        </w:rPr>
      </w:pPr>
      <w:r>
        <w:rPr>
          <w:rFonts w:hint="eastAsia" w:ascii="仿宋_GB2312" w:eastAsia="仿宋_GB2312"/>
          <w:kern w:val="0"/>
          <w:sz w:val="32"/>
          <w:szCs w:val="32"/>
        </w:rPr>
        <w:t>统筹推进要素市场化配置改革，扩大要素市场化配置范围，健全要素市场体系，推进要素市场制度建设，形成要素价格市场决定、流动自主有序、配置高效公平的市场化配置体制机制。</w:t>
      </w:r>
    </w:p>
    <w:p>
      <w:pPr>
        <w:autoSpaceDE w:val="0"/>
        <w:autoSpaceDN w:val="0"/>
        <w:adjustRightInd w:val="0"/>
        <w:spacing w:line="600" w:lineRule="exact"/>
        <w:ind w:firstLine="643" w:firstLineChars="200"/>
        <w:jc w:val="left"/>
        <w:rPr>
          <w:rFonts w:ascii="仿宋_GB2312" w:eastAsia="仿宋_GB2312"/>
          <w:kern w:val="0"/>
          <w:sz w:val="32"/>
          <w:szCs w:val="32"/>
        </w:rPr>
      </w:pPr>
      <w:r>
        <w:rPr>
          <w:rFonts w:hint="eastAsia" w:ascii="楷体_GB2312" w:eastAsia="楷体_GB2312" w:cs="仿宋_GB2312"/>
          <w:b/>
          <w:bCs/>
          <w:kern w:val="0"/>
          <w:sz w:val="32"/>
          <w:szCs w:val="32"/>
        </w:rPr>
        <w:t>提高土地要素供给质量。</w:t>
      </w:r>
      <w:r>
        <w:rPr>
          <w:rFonts w:hint="eastAsia" w:ascii="仿宋_GB2312" w:eastAsia="仿宋_GB2312"/>
          <w:kern w:val="0"/>
          <w:sz w:val="32"/>
          <w:szCs w:val="32"/>
        </w:rPr>
        <w:t>在切实做到耕地保护的基础上，构建土地市场化利用新机制，合理保障城市发展用地，强化土地资源向重点地区、重大项目倾斜，推进农村集体土地入市改革，提高土地管理规范性、调控灵活性、保障及时性。坚持土地资源优先保障产业用地，完善</w:t>
      </w:r>
      <w:r>
        <w:rPr>
          <w:rFonts w:hint="eastAsia" w:ascii="仿宋_GB2312" w:eastAsia="仿宋_GB2312" w:cs="TimesNewRomanPSMT"/>
          <w:kern w:val="0"/>
          <w:sz w:val="32"/>
          <w:szCs w:val="32"/>
        </w:rPr>
        <w:t>“</w:t>
      </w:r>
      <w:r>
        <w:rPr>
          <w:rFonts w:hint="eastAsia" w:ascii="仿宋_GB2312" w:eastAsia="仿宋_GB2312"/>
          <w:kern w:val="0"/>
          <w:sz w:val="32"/>
          <w:szCs w:val="32"/>
        </w:rPr>
        <w:t>标准地</w:t>
      </w:r>
      <w:r>
        <w:rPr>
          <w:rFonts w:hint="eastAsia" w:ascii="仿宋_GB2312" w:eastAsia="仿宋_GB2312" w:cs="TimesNewRomanPSMT"/>
          <w:kern w:val="0"/>
          <w:sz w:val="32"/>
          <w:szCs w:val="32"/>
        </w:rPr>
        <w:t>”</w:t>
      </w:r>
      <w:r>
        <w:rPr>
          <w:rFonts w:hint="eastAsia" w:ascii="仿宋_GB2312" w:eastAsia="仿宋_GB2312"/>
          <w:kern w:val="0"/>
          <w:sz w:val="32"/>
          <w:szCs w:val="32"/>
        </w:rPr>
        <w:t>控制性指标体系，强化项目用地全生命周期管理。坚持</w:t>
      </w:r>
      <w:r>
        <w:rPr>
          <w:rFonts w:hint="eastAsia" w:ascii="仿宋_GB2312" w:eastAsia="仿宋_GB2312" w:cs="TimesNewRomanPSMT"/>
          <w:kern w:val="0"/>
          <w:sz w:val="32"/>
          <w:szCs w:val="32"/>
        </w:rPr>
        <w:t>“</w:t>
      </w:r>
      <w:r>
        <w:rPr>
          <w:rFonts w:hint="eastAsia" w:ascii="仿宋_GB2312" w:eastAsia="仿宋_GB2312"/>
          <w:kern w:val="0"/>
          <w:sz w:val="32"/>
          <w:szCs w:val="32"/>
        </w:rPr>
        <w:t>亩均论英雄</w:t>
      </w:r>
      <w:r>
        <w:rPr>
          <w:rFonts w:hint="eastAsia" w:ascii="仿宋_GB2312" w:eastAsia="仿宋_GB2312" w:cs="TimesNewRomanPSMT"/>
          <w:kern w:val="0"/>
          <w:sz w:val="32"/>
          <w:szCs w:val="32"/>
        </w:rPr>
        <w:t>”</w:t>
      </w:r>
      <w:r>
        <w:rPr>
          <w:rFonts w:hint="eastAsia" w:ascii="仿宋_GB2312" w:eastAsia="仿宋_GB2312"/>
          <w:kern w:val="0"/>
          <w:sz w:val="32"/>
          <w:szCs w:val="32"/>
        </w:rPr>
        <w:t>，开展工业企业分类综合评价，鼓励复合利用，支持用途合理转换，正向激励、反向倒逼，提高土地资源利用效率。提高农村土地流转水平，适度规模经营，盘活闲置宅基地、农房，探索整包流转、股改合作、信托经营等新模式。</w:t>
      </w:r>
    </w:p>
    <w:p>
      <w:pPr>
        <w:autoSpaceDE w:val="0"/>
        <w:autoSpaceDN w:val="0"/>
        <w:adjustRightInd w:val="0"/>
        <w:spacing w:line="600" w:lineRule="exact"/>
        <w:ind w:firstLine="643" w:firstLineChars="200"/>
        <w:jc w:val="left"/>
        <w:rPr>
          <w:rFonts w:ascii="仿宋_GB2312" w:eastAsia="仿宋_GB2312"/>
          <w:kern w:val="0"/>
          <w:sz w:val="32"/>
          <w:szCs w:val="32"/>
        </w:rPr>
      </w:pPr>
      <w:r>
        <w:rPr>
          <w:rFonts w:hint="eastAsia" w:ascii="楷体_GB2312" w:eastAsia="楷体_GB2312" w:cs="仿宋_GB2312"/>
          <w:b/>
          <w:bCs/>
          <w:kern w:val="0"/>
          <w:sz w:val="32"/>
          <w:szCs w:val="32"/>
        </w:rPr>
        <w:t>加强其它要素市场化配置。</w:t>
      </w:r>
      <w:r>
        <w:rPr>
          <w:rFonts w:hint="eastAsia" w:ascii="仿宋_GB2312" w:eastAsia="仿宋_GB2312"/>
          <w:kern w:val="0"/>
          <w:sz w:val="32"/>
          <w:szCs w:val="32"/>
        </w:rPr>
        <w:t>系统推进“人力、资本、技术、数据”等关键领域改革，坚决破除阻碍要素自由流动的体制机制障碍。深化户籍制度改革，推动公共资源按常住人口规模配置。规范人力资源市场，构建协调衔接的劳动力、人才流动政策体系和交流合作机制，加快人力资源优势高效转换增值。优化金融资源配置，围绕资本债券市场和科技金融、供应链金融，丰富金融产品市场供给。改革科研项目立项和组织实施方式，加强科技成果转换，提高技术转移专业服务能力。稳妥有序做好政府数据开放，提升社会数据资源价值，建立数据隐私保护和利用安全审查制度。</w:t>
      </w:r>
    </w:p>
    <w:p>
      <w:pPr>
        <w:autoSpaceDE w:val="0"/>
        <w:autoSpaceDN w:val="0"/>
        <w:adjustRightInd w:val="0"/>
        <w:spacing w:line="600" w:lineRule="exact"/>
        <w:ind w:firstLine="643" w:firstLineChars="200"/>
        <w:jc w:val="left"/>
        <w:rPr>
          <w:rFonts w:ascii="仿宋_GB2312" w:eastAsia="仿宋_GB2312"/>
          <w:kern w:val="0"/>
          <w:sz w:val="32"/>
          <w:szCs w:val="32"/>
        </w:rPr>
      </w:pPr>
      <w:r>
        <w:rPr>
          <w:rFonts w:hint="eastAsia" w:ascii="仿宋_GB2312" w:eastAsia="仿宋_GB2312"/>
          <w:b/>
          <w:bCs/>
          <w:kern w:val="0"/>
          <w:sz w:val="32"/>
          <w:szCs w:val="32"/>
        </w:rPr>
        <w:t>深化要素价格市场化改革。</w:t>
      </w:r>
      <w:r>
        <w:rPr>
          <w:rFonts w:hint="eastAsia" w:ascii="仿宋_GB2312" w:eastAsia="仿宋_GB2312"/>
          <w:kern w:val="0"/>
          <w:sz w:val="32"/>
          <w:szCs w:val="32"/>
        </w:rPr>
        <w:t>完善市场决定要素价格机制，加强放开类商品和服务价格监管和监测，做好价格异常波动监测预警调节。积极推动土地使用权、排污权、能权、水权等交易。深化科技成果使用权、处置权和收益权改革，加快科技成果资本化。积极稳妥推进资源性产品和公共服务价格改革，运用价格杠杆促进资源节约和经济转型升级，落实清费降价政策，适时降低企业成本。落实工资正常调整机制，增加劳动者特别是一线劳动者报酬。</w:t>
      </w:r>
    </w:p>
    <w:p>
      <w:pPr>
        <w:autoSpaceDE w:val="0"/>
        <w:autoSpaceDN w:val="0"/>
        <w:adjustRightInd w:val="0"/>
        <w:spacing w:line="600" w:lineRule="exact"/>
        <w:ind w:firstLine="643" w:firstLineChars="200"/>
        <w:jc w:val="left"/>
        <w:rPr>
          <w:rFonts w:ascii="仿宋_GB2312" w:eastAsia="仿宋_GB2312"/>
          <w:kern w:val="0"/>
          <w:sz w:val="32"/>
          <w:szCs w:val="32"/>
        </w:rPr>
      </w:pPr>
      <w:r>
        <w:rPr>
          <w:rFonts w:hint="eastAsia" w:ascii="楷体_GB2312" w:eastAsia="楷体_GB2312" w:cs="仿宋_GB2312"/>
          <w:b/>
          <w:bCs/>
          <w:kern w:val="0"/>
          <w:sz w:val="32"/>
          <w:szCs w:val="32"/>
        </w:rPr>
        <w:t>健全要素市场运行机制。</w:t>
      </w:r>
      <w:r>
        <w:rPr>
          <w:rFonts w:hint="eastAsia" w:ascii="仿宋_GB2312" w:eastAsia="仿宋_GB2312"/>
          <w:kern w:val="0"/>
          <w:sz w:val="32"/>
          <w:szCs w:val="32"/>
        </w:rPr>
        <w:t>按照“高效规范、公平竞争”的要求，完善要素交易规则和服务体系，支持各类所有制企业参与要素交易平台建设，有序提升县级交易平台功能。研究制定土地、技术、数据市场交易管理制度，探索完善数据有效收集、有偿使用、产权清晰、规范管理、公平交易的运行机制，推进全流程电子化交易。提升交易风险防范处置能力，加强反不正当竞争执法，严格落实投诉举报查处机制，提高应急状态下的要素高效协同配置能力。</w:t>
      </w:r>
    </w:p>
    <w:p>
      <w:pPr>
        <w:pStyle w:val="3"/>
        <w:spacing w:before="120" w:after="120" w:line="600" w:lineRule="exact"/>
        <w:jc w:val="center"/>
        <w:rPr>
          <w:rFonts w:ascii="仿宋_GB2312" w:eastAsia="仿宋_GB2312"/>
        </w:rPr>
      </w:pPr>
      <w:bookmarkStart w:id="53" w:name="_Toc65514279"/>
      <w:r>
        <w:rPr>
          <w:rFonts w:hint="eastAsia" w:ascii="仿宋_GB2312" w:hAnsi="Times New Roman" w:eastAsia="仿宋_GB2312"/>
        </w:rPr>
        <w:t>第三节 加快推进政府职能转变</w:t>
      </w:r>
      <w:bookmarkEnd w:id="53"/>
    </w:p>
    <w:p>
      <w:pPr>
        <w:autoSpaceDE w:val="0"/>
        <w:autoSpaceDN w:val="0"/>
        <w:adjustRightInd w:val="0"/>
        <w:spacing w:line="600" w:lineRule="exact"/>
        <w:ind w:firstLine="640" w:firstLineChars="200"/>
        <w:jc w:val="left"/>
        <w:rPr>
          <w:rFonts w:ascii="仿宋_GB2312" w:eastAsia="仿宋_GB2312"/>
          <w:kern w:val="0"/>
          <w:sz w:val="32"/>
          <w:szCs w:val="32"/>
        </w:rPr>
      </w:pPr>
      <w:r>
        <w:rPr>
          <w:rFonts w:hint="eastAsia" w:ascii="仿宋_GB2312" w:eastAsia="仿宋_GB2312"/>
          <w:kern w:val="0"/>
          <w:sz w:val="32"/>
          <w:szCs w:val="32"/>
        </w:rPr>
        <w:t>加强改革举措系统集成，推动审批办事流程再造，全面提高政府治理现代化水平，让“阳光服务、依法管理、市场活力”成为西华营商环境最鲜明特征。</w:t>
      </w:r>
    </w:p>
    <w:p>
      <w:pPr>
        <w:autoSpaceDE w:val="0"/>
        <w:autoSpaceDN w:val="0"/>
        <w:adjustRightInd w:val="0"/>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sz w:val="32"/>
          <w:szCs w:val="32"/>
        </w:rPr>
        <w:t>推进“放管服”改革。</w:t>
      </w:r>
      <w:r>
        <w:rPr>
          <w:rFonts w:hint="eastAsia" w:ascii="仿宋_GB2312" w:hAnsi="Times New Roman" w:eastAsia="仿宋_GB2312"/>
          <w:sz w:val="32"/>
          <w:szCs w:val="32"/>
        </w:rPr>
        <w:t>持以上率下优化政务服务环境，全面深化“放管服”改革和“一网通办”前提下“最多跑一次”改革，推动线上线下深度融合，保留必要线下业务办理功能，实现最大限度利企便民。依托县“互联网+政务服务”平台建设，</w:t>
      </w:r>
      <w:r>
        <w:rPr>
          <w:rFonts w:hint="eastAsia" w:ascii="Times New Roman" w:hAnsi="Times New Roman" w:eastAsia="仿宋_GB2312"/>
          <w:sz w:val="32"/>
          <w:szCs w:val="32"/>
        </w:rPr>
        <w:t>推进“互联网</w:t>
      </w:r>
      <w:r>
        <w:rPr>
          <w:rFonts w:ascii="Times New Roman" w:hAnsi="Times New Roman" w:eastAsia="仿宋_GB2312"/>
          <w:sz w:val="32"/>
          <w:szCs w:val="32"/>
        </w:rPr>
        <w:t>+</w:t>
      </w:r>
      <w:r>
        <w:rPr>
          <w:rFonts w:hint="eastAsia" w:ascii="仿宋_GB2312" w:hAnsi="Times New Roman" w:eastAsia="仿宋_GB2312"/>
          <w:sz w:val="32"/>
          <w:szCs w:val="32"/>
        </w:rPr>
        <w:t>监管”监管行为数据填报工作常态化。树立“让数据多跑路，群众少跑路”服务理念，做好政务服务事项标准化，实现在线办理一平台，综合运用容缺办理、联合审查、联合验收等模式优化办事流程，全面推行工改项目联审联批，进一步增加可“一证通办”的事项数量，压缩审批时间，减少审批环节</w:t>
      </w:r>
      <w:r>
        <w:rPr>
          <w:rFonts w:hint="eastAsia" w:ascii="仿宋_GB2312" w:hAnsi="Times New Roman" w:eastAsia="仿宋_GB2312"/>
          <w:sz w:val="30"/>
          <w:szCs w:val="30"/>
        </w:rPr>
        <w:t>，</w:t>
      </w:r>
      <w:r>
        <w:rPr>
          <w:rFonts w:hint="eastAsia" w:ascii="仿宋_GB2312" w:hAnsi="仿宋" w:eastAsia="仿宋_GB2312"/>
          <w:kern w:val="0"/>
          <w:sz w:val="30"/>
          <w:szCs w:val="30"/>
        </w:rPr>
        <w:t>全面实现政务服务“一网通办”，社会治理“一网通管”，政务数据“一网通享”，打造指尖上的政务、屏幕上的民生。</w:t>
      </w:r>
      <w:r>
        <w:rPr>
          <w:rFonts w:hint="eastAsia" w:ascii="仿宋_GB2312" w:hAnsi="Times New Roman" w:eastAsia="仿宋_GB2312"/>
          <w:sz w:val="32"/>
          <w:szCs w:val="32"/>
        </w:rPr>
        <w:t>加强规范化权责清单管理，推动政府部门职能配置从行政审批转向更加注重事中事后监管，构建权责边界明晰、分工合理、权责匹配、运转高效的政府职能体系，进一步优化办事流程、简化行政审批、提高办理效率。建立健全容错纠错机制，完善激励导向的绩效考评机制，激发广大干部改革创新的积极性。</w:t>
      </w:r>
    </w:p>
    <w:p>
      <w:pPr>
        <w:autoSpaceDE w:val="0"/>
        <w:autoSpaceDN w:val="0"/>
        <w:adjustRightInd w:val="0"/>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sz w:val="32"/>
          <w:szCs w:val="32"/>
        </w:rPr>
        <w:t>推进商事制度改革。</w:t>
      </w:r>
      <w:r>
        <w:rPr>
          <w:rFonts w:hint="eastAsia" w:ascii="仿宋_GB2312" w:hAnsi="Times New Roman" w:eastAsia="仿宋_GB2312" w:cs="仿宋"/>
          <w:sz w:val="32"/>
          <w:szCs w:val="32"/>
        </w:rPr>
        <w:t>深化企业准入制度改革，重点围绕</w:t>
      </w:r>
      <w:r>
        <w:rPr>
          <w:rFonts w:hint="eastAsia" w:ascii="Times New Roman" w:hAnsi="Times New Roman" w:eastAsia="仿宋_GB2312" w:cs="仿宋"/>
          <w:sz w:val="32"/>
          <w:szCs w:val="32"/>
        </w:rPr>
        <w:t>“准入不准营”、市场主体退出难等突出问题，推动改革向纵深拓展。全面推进“证照分离”改革，认真落实分类管理，通过“照后减证”实现“减证便民”。进一步推进企业注销制度改革，简化企业普通注销程序，完善企业简易注销制度，实行企业注销“一网”服务，解决企业注销难、退出难问题。继续推进电子营业执照、名称登记、“一件事一次办”等企业准入便利化改革，进一步降低投资创业的制度性成本。</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推进投融资体制改革。</w:t>
      </w:r>
      <w:r>
        <w:rPr>
          <w:rFonts w:hint="eastAsia" w:ascii="仿宋_GB2312" w:eastAsia="仿宋_GB2312"/>
          <w:sz w:val="32"/>
          <w:szCs w:val="32"/>
        </w:rPr>
        <w:t>发挥好政府投资的引导和带动作用，加强财政资源统筹和规划管理，深化预算管理制度改革，推进财政支出标准化，强化预算约束和绩效管理。</w:t>
      </w:r>
      <w:r>
        <w:rPr>
          <w:rFonts w:hint="eastAsia" w:ascii="仿宋_GB2312" w:hAnsi="Times New Roman" w:eastAsia="仿宋_GB2312"/>
          <w:sz w:val="32"/>
          <w:szCs w:val="32"/>
        </w:rPr>
        <w:t>落实县委县政府重大决策部署，围绕重点项目抓信贷投放，全力保障资金支持。强化政策资金的结构导向和正向激励作用，落实普惠金融领域差异化定向降准政策，引导更多金融资源配置到“三农”、中小微企业、民营企业等重点领域和薄弱环节。充分运用再贷款、再贴现等工具，为金融机构提供价格合理、期限灵活的资金支持，扩大信贷供应规模。深入开展“零基预算”，</w:t>
      </w:r>
      <w:r>
        <w:rPr>
          <w:rFonts w:hint="eastAsia" w:ascii="仿宋_GB2312" w:eastAsia="仿宋_GB2312"/>
          <w:sz w:val="32"/>
          <w:szCs w:val="32"/>
        </w:rPr>
        <w:t>优化支出结构，提升公共基础服务保障能力，增强重大战略任务财力保障。用活用好专项债、产业基金、政策性贷款等工具，拓宽融资渠道。打好财税政策“组合拳”，发挥财政投资示范效应和乘数效应，引导和撬动社会资本加大向发展主航道投入力度。</w:t>
      </w:r>
      <w:r>
        <w:rPr>
          <w:rFonts w:hint="eastAsia" w:ascii="仿宋_GB2312" w:hAnsi="Times New Roman" w:eastAsia="仿宋_GB2312"/>
          <w:sz w:val="32"/>
          <w:szCs w:val="32"/>
        </w:rPr>
        <w:t>抢抓国家扩大地方政府专项债券发行规模机遇，全力以赴做好棚改、交通、能源、市政、农业、水利、民生等专项债券项目立项，最大限度争取支持。</w:t>
      </w:r>
    </w:p>
    <w:p>
      <w:pPr>
        <w:spacing w:line="600" w:lineRule="exact"/>
        <w:ind w:firstLine="643" w:firstLineChars="200"/>
        <w:rPr>
          <w:rFonts w:ascii="仿宋_GB2312" w:eastAsia="仿宋_GB2312"/>
          <w:kern w:val="0"/>
          <w:sz w:val="32"/>
          <w:szCs w:val="32"/>
        </w:rPr>
      </w:pPr>
      <w:r>
        <w:rPr>
          <w:rFonts w:hint="eastAsia" w:ascii="楷体_GB2312" w:eastAsia="楷体_GB2312" w:cs="仿宋_GB2312"/>
          <w:b/>
          <w:bCs/>
          <w:kern w:val="0"/>
          <w:sz w:val="32"/>
          <w:szCs w:val="32"/>
        </w:rPr>
        <w:t>深化财税制度改革</w:t>
      </w:r>
      <w:r>
        <w:rPr>
          <w:rFonts w:hint="eastAsia" w:ascii="楷体_GB2312" w:hAnsi="Times New Roman" w:eastAsia="楷体_GB2312" w:cs="仿宋"/>
          <w:b/>
          <w:bCs/>
          <w:sz w:val="32"/>
          <w:szCs w:val="32"/>
        </w:rPr>
        <w:t>。</w:t>
      </w:r>
      <w:r>
        <w:rPr>
          <w:rFonts w:hint="eastAsia" w:ascii="仿宋_GB2312" w:eastAsia="仿宋_GB2312"/>
          <w:sz w:val="32"/>
          <w:szCs w:val="32"/>
        </w:rPr>
        <w:t>以财源建设为抓手，加强精准招商，千方百计培育新兴财源，优化财税收入结构，狠抓财税征管，堵塞收入漏洞，强化税源监控，严防税收“跑冒滴漏”，提高税收收入，做大财政规模，促进经济快速发展。树立“引资”与“引税”并重的理念，大力招商引资，增强招财引税意识，扩大财源总量。加快项目建设，推广“区域评价”“容缺办理”“多规合一”“多评合一”等创新举措，简化优化政府投资项目审批、企业投资项目核准备案管理，做大经济总量，千方百计积聚财源。优化产业结构，培育新兴财源。大力扶持产业转型升级，推动经济高质量发展，聚焦优势产业链，增强制造业发展辐射力，加快创新驱动发展，促进科技成果转化为生产力，激发企业的活力。</w:t>
      </w:r>
      <w:r>
        <w:rPr>
          <w:rFonts w:hint="eastAsia" w:ascii="仿宋_GB2312" w:eastAsia="仿宋_GB2312"/>
          <w:kern w:val="0"/>
          <w:sz w:val="32"/>
          <w:szCs w:val="32"/>
        </w:rPr>
        <w:t>继续深入推进税制改革，优化税制结构，全面推行税务行政执法公示制度、税收执法全过程记录制度等。深化跨部门联合监管方式和“互联网+监管”改革，进一步强化税收外部执法环境，全面落实普惠性税收优惠、增值税、个人所得税改革等国家税收优惠政策。</w:t>
      </w:r>
    </w:p>
    <w:p>
      <w:pPr>
        <w:pStyle w:val="3"/>
        <w:spacing w:before="120" w:after="120" w:line="600" w:lineRule="exact"/>
        <w:jc w:val="center"/>
        <w:rPr>
          <w:rFonts w:ascii="仿宋_GB2312" w:hAnsi="Times New Roman" w:eastAsia="仿宋_GB2312"/>
        </w:rPr>
      </w:pPr>
      <w:bookmarkStart w:id="54" w:name="_Toc65514280"/>
      <w:r>
        <w:rPr>
          <w:rFonts w:hint="eastAsia" w:ascii="仿宋_GB2312" w:hAnsi="Times New Roman" w:eastAsia="仿宋_GB2312"/>
        </w:rPr>
        <w:t>第四节 全面优化营商环境</w:t>
      </w:r>
      <w:bookmarkEnd w:id="54"/>
    </w:p>
    <w:p>
      <w:pPr>
        <w:spacing w:line="600" w:lineRule="exact"/>
        <w:ind w:firstLine="640" w:firstLineChars="200"/>
        <w:rPr>
          <w:rFonts w:ascii="仿宋_GB2312" w:eastAsia="仿宋_GB2312"/>
          <w:sz w:val="32"/>
          <w:szCs w:val="32"/>
        </w:rPr>
      </w:pPr>
      <w:r>
        <w:rPr>
          <w:rFonts w:hint="eastAsia" w:ascii="仿宋_GB2312" w:eastAsia="仿宋_GB2312"/>
          <w:sz w:val="32"/>
          <w:szCs w:val="32"/>
        </w:rPr>
        <w:t>坚对标国际标准、市场需求、企业期待，持续优化政务环境、市场环境、法治环境，为市场添活力，为群众增便利，提高企业和群众获得感，打造市场化法治化国际化的一流营商环境，形成吸引国内国际商品和要素资源引力场。</w:t>
      </w:r>
    </w:p>
    <w:p>
      <w:pPr>
        <w:spacing w:line="600" w:lineRule="exact"/>
        <w:ind w:firstLine="643" w:firstLineChars="200"/>
        <w:rPr>
          <w:rFonts w:ascii="仿宋_GB2312" w:eastAsia="仿宋_GB2312"/>
          <w:sz w:val="32"/>
          <w:szCs w:val="32"/>
        </w:rPr>
      </w:pPr>
      <w:r>
        <w:rPr>
          <w:rFonts w:hint="eastAsia" w:ascii="仿宋_GB2312" w:eastAsia="仿宋_GB2312"/>
          <w:b/>
          <w:bCs/>
          <w:kern w:val="0"/>
          <w:sz w:val="32"/>
          <w:szCs w:val="32"/>
        </w:rPr>
        <w:t>营造一流的政务环境。</w:t>
      </w:r>
      <w:r>
        <w:rPr>
          <w:rFonts w:hint="eastAsia" w:ascii="仿宋_GB2312" w:eastAsia="仿宋_GB2312"/>
          <w:sz w:val="32"/>
          <w:szCs w:val="32"/>
        </w:rPr>
        <w:t>严格落实《河南省关于规范政商交往行为构建亲清政商关系的若干意见》，坚持“九要九不得”，完善奖惩机制，</w:t>
      </w:r>
      <w:r>
        <w:rPr>
          <w:rFonts w:hint="eastAsia" w:ascii="仿宋_GB2312" w:hAnsi="仿宋_GB2312" w:eastAsia="仿宋_GB2312" w:cs="仿宋_GB2312"/>
          <w:sz w:val="32"/>
          <w:szCs w:val="32"/>
        </w:rPr>
        <w:t>进一步构建“亲清”新型政商关系。</w:t>
      </w:r>
      <w:r>
        <w:rPr>
          <w:rFonts w:ascii="仿宋_GB2312" w:hAnsi="仿宋_GB2312" w:eastAsia="仿宋_GB2312" w:cs="仿宋_GB2312"/>
          <w:sz w:val="32"/>
          <w:szCs w:val="32"/>
        </w:rPr>
        <w:t>依法保护企业家合法权益，着力营造理解企业家、尊重企业家、爱护企业家、支持企业家的</w:t>
      </w:r>
      <w:r>
        <w:rPr>
          <w:rFonts w:hint="eastAsia" w:ascii="仿宋_GB2312" w:hAnsi="仿宋_GB2312" w:eastAsia="仿宋_GB2312" w:cs="仿宋_GB2312"/>
          <w:sz w:val="32"/>
          <w:szCs w:val="32"/>
        </w:rPr>
        <w:t>浓厚</w:t>
      </w:r>
      <w:r>
        <w:rPr>
          <w:rFonts w:ascii="仿宋_GB2312" w:hAnsi="仿宋_GB2312" w:eastAsia="仿宋_GB2312" w:cs="仿宋_GB2312"/>
          <w:sz w:val="32"/>
          <w:szCs w:val="32"/>
        </w:rPr>
        <w:t>氛围</w:t>
      </w:r>
      <w:r>
        <w:rPr>
          <w:rFonts w:hint="eastAsia" w:ascii="仿宋_GB2312" w:hAnsi="仿宋_GB2312" w:eastAsia="仿宋_GB2312" w:cs="仿宋_GB2312"/>
          <w:sz w:val="32"/>
          <w:szCs w:val="32"/>
        </w:rPr>
        <w:t>，让更多企业家感受到党的关怀温暖、干部的“亲清”有为。推动重点领域项目、基地、人才、资金一体化配置，完善激励机制和评价机制，着力营造鼓励开放、支持创新、宽容失败的良好氛围，把西华打造成科技成果能转化、人生价值能实现、招商项目能落地的创新高地、发财旺地、投资福地。</w:t>
      </w:r>
    </w:p>
    <w:p>
      <w:pPr>
        <w:spacing w:line="600" w:lineRule="exact"/>
        <w:ind w:firstLine="643" w:firstLineChars="200"/>
        <w:jc w:val="left"/>
        <w:rPr>
          <w:rFonts w:ascii="仿宋_GB2312" w:eastAsia="仿宋_GB2312"/>
          <w:kern w:val="0"/>
          <w:sz w:val="32"/>
          <w:szCs w:val="32"/>
        </w:rPr>
      </w:pPr>
      <w:r>
        <w:rPr>
          <w:rFonts w:hint="eastAsia" w:ascii="仿宋_GB2312" w:eastAsia="仿宋_GB2312"/>
          <w:b/>
          <w:bCs/>
          <w:kern w:val="0"/>
          <w:sz w:val="32"/>
          <w:szCs w:val="32"/>
        </w:rPr>
        <w:t>营造一流的市场环境。</w:t>
      </w:r>
      <w:r>
        <w:rPr>
          <w:rFonts w:hint="eastAsia" w:ascii="仿宋_GB2312" w:eastAsia="仿宋_GB2312"/>
          <w:kern w:val="0"/>
          <w:sz w:val="32"/>
          <w:szCs w:val="32"/>
        </w:rPr>
        <w:t>坚持权利平等、机会平等、规则平等，保障各类市场主体依法平等使用各类生产要素和依法平等享受支持政策，保护市场主体经营自主权、财产权和其他合法权益。落实全国统一的市场准入负面清单制度，有效预防和制止市场经济活动中的垄断行为、不正当竞争行为以及滥用行政权力排除、限制竞争的行为，保障各类市场主体依法平等进入。牢固树立“领导干部就是解决问题的、就是作难的、就是担责任的”职责定位和“抓具体、具体抓，亲历亲为、一竿子插到底”的作风要求，对标发达地区标准，全面清理重复审批、变相审批和违规审批，以更加开放的视野优化营商环境，激发各类市场主体活力。持续用好周例会、现场办公、联席会议等制度，以更大力度优化政务环境、法治环境、生态宜居环境，不断增强企业的获得感。建立营商环境投诉举报和常态化监测服务机制，坚决整治和惩治各类损害营商环境行为。</w:t>
      </w:r>
    </w:p>
    <w:p>
      <w:pPr>
        <w:autoSpaceDE w:val="0"/>
        <w:autoSpaceDN w:val="0"/>
        <w:adjustRightInd w:val="0"/>
        <w:spacing w:line="600" w:lineRule="exact"/>
        <w:ind w:firstLine="643" w:firstLineChars="200"/>
        <w:rPr>
          <w:rFonts w:ascii="仿宋_GB2312" w:eastAsia="仿宋_GB2312"/>
          <w:kern w:val="0"/>
          <w:sz w:val="32"/>
          <w:szCs w:val="32"/>
        </w:rPr>
      </w:pPr>
      <w:r>
        <w:rPr>
          <w:rFonts w:hint="eastAsia" w:ascii="仿宋_GB2312" w:eastAsia="仿宋_GB2312"/>
          <w:b/>
          <w:bCs/>
          <w:kern w:val="0"/>
          <w:sz w:val="32"/>
          <w:szCs w:val="32"/>
        </w:rPr>
        <w:t>营造一流的法治环境。</w:t>
      </w:r>
      <w:r>
        <w:rPr>
          <w:rFonts w:hint="eastAsia" w:ascii="仿宋_GB2312" w:eastAsia="仿宋_GB2312"/>
          <w:kern w:val="0"/>
          <w:sz w:val="32"/>
          <w:szCs w:val="32"/>
        </w:rPr>
        <w:t>全面贯彻落实《优化营商环境条例》。建立制定与市场主体生产经营活动密切相关的规章、行政规范性文件，主动征求市场主体、行业协会商会意见机制和采纳情况反馈机制，落实公平竞争审查制度。加快推进公共法律服务体系建设，完善调解、仲裁、行政裁决、行政复议、诉讼等有机衔接、相互协调的多元化纠纷解决机制。深入推进市场监管综合行政执法改革，逐步扩大相对集中行政处罚权范围。严格规范执法程序，合理配置执法力量，理顺行政强制执行体制。建立健全行政裁量权基准制度，积极推进标准化执法，研究探索重大行政执法公众评议制度，全面落实行政执法责任制。健全以诚信监管为基础、以“双随机、一公开”为手段的新型监管机制，完善升级全县网络交易平台监管服务系统，推进跨地域、跨部门和市场监管各业务条线之间的监管协同，加强信息共享，发挥各种监管资源的综合效益。探索建立市场主体维权服务平台，健全信息共享机制，实现信息资源开放共享、互联互通，加快构建统一、权威、高效的市场监管综合执法体系。</w:t>
      </w:r>
    </w:p>
    <w:p>
      <w:pPr>
        <w:pStyle w:val="2"/>
        <w:spacing w:before="240" w:after="240" w:line="600" w:lineRule="exact"/>
        <w:ind w:right="-340" w:rightChars="-162"/>
        <w:jc w:val="center"/>
        <w:rPr>
          <w:rFonts w:ascii="黑体" w:hAnsi="黑体" w:eastAsia="黑体"/>
          <w:b w:val="0"/>
          <w:sz w:val="32"/>
          <w:szCs w:val="32"/>
        </w:rPr>
      </w:pPr>
      <w:bookmarkStart w:id="55" w:name="_Toc65514281"/>
      <w:r>
        <w:rPr>
          <w:rFonts w:hint="eastAsia" w:ascii="黑体" w:hAnsi="黑体" w:eastAsia="黑体"/>
          <w:b w:val="0"/>
          <w:sz w:val="32"/>
          <w:szCs w:val="32"/>
        </w:rPr>
        <w:t>第七章  实施乡村振兴战略，全面推进农业农村现代化</w:t>
      </w:r>
      <w:bookmarkEnd w:id="55"/>
    </w:p>
    <w:p>
      <w:pPr>
        <w:spacing w:line="600" w:lineRule="exact"/>
        <w:ind w:firstLine="640" w:firstLineChars="200"/>
      </w:pPr>
      <w:r>
        <w:rPr>
          <w:rFonts w:hint="eastAsia" w:ascii="仿宋_GB2312" w:eastAsia="仿宋_GB2312"/>
          <w:sz w:val="32"/>
          <w:szCs w:val="32"/>
        </w:rPr>
        <w:t>聚焦农业提质、城乡融合、农民转型关键环节，加大农村投入力度，集中资源、强化保障、精准施策、补齐短板，奋力绘就乡村振兴的壮美画卷。</w:t>
      </w:r>
    </w:p>
    <w:p>
      <w:pPr>
        <w:pStyle w:val="3"/>
        <w:spacing w:before="120" w:after="120" w:line="600" w:lineRule="exact"/>
        <w:jc w:val="center"/>
        <w:rPr>
          <w:rFonts w:ascii="仿宋_GB2312" w:eastAsia="仿宋_GB2312"/>
        </w:rPr>
      </w:pPr>
      <w:bookmarkStart w:id="56" w:name="_Toc65514282"/>
      <w:r>
        <w:rPr>
          <w:rFonts w:hint="eastAsia" w:ascii="仿宋_GB2312" w:eastAsia="仿宋_GB2312"/>
        </w:rPr>
        <w:t>第一节 坚决扛稳粮食安全重任</w:t>
      </w:r>
      <w:bookmarkEnd w:id="56"/>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围绕提高粮食生产核心竞争力，坚持藏粮于地、藏粮于技，稳步提升粮食产能和粮食品质，在维护国家粮食安全中展现西华担当，切实扛稳维护国家粮食安全这个重任。</w:t>
      </w:r>
    </w:p>
    <w:p>
      <w:pPr>
        <w:spacing w:line="600" w:lineRule="exact"/>
        <w:ind w:firstLine="643" w:firstLineChars="200"/>
        <w:rPr>
          <w:rFonts w:ascii="仿宋_GB2312" w:hAnsi="仿宋" w:eastAsia="仿宋_GB2312" w:cs="仿宋"/>
          <w:sz w:val="32"/>
          <w:szCs w:val="32"/>
        </w:rPr>
      </w:pPr>
      <w:r>
        <w:rPr>
          <w:rFonts w:hint="eastAsia" w:ascii="楷体_GB2312" w:hAnsi="Times New Roman" w:eastAsia="楷体_GB2312"/>
          <w:b/>
          <w:bCs/>
          <w:sz w:val="32"/>
          <w:szCs w:val="32"/>
        </w:rPr>
        <w:t>深入推进优质粮食工程。</w:t>
      </w:r>
      <w:r>
        <w:rPr>
          <w:rFonts w:hint="eastAsia" w:ascii="仿宋_GB2312" w:hAnsi="仿宋" w:eastAsia="仿宋_GB2312" w:cs="仿宋"/>
          <w:sz w:val="32"/>
          <w:szCs w:val="32"/>
        </w:rPr>
        <w:t>充分发挥粮食生产优势，牢牢抓住粮食这个核心竞争力，以稳定面积，增加单产，提升质量为主线，以调优品种结构为抓手，加大科技投入，大力推进优质粮食生产，提高种植效益，扎实扛稳国家粮食安全。围绕着优粮优产、优粮优购、优粮优储、优粮优加、优粮优销“五优”联动，加快建立产学研深度融合的粮食科技创新体系，推动小麦全产业链发展，全面提升粮食产业质量效益和竞争力，实现粮食安全和现代高效农业相统一，加快推动西华由粮食资源大县向粮食产业强县转变。持续创建全国过程农业示范县，巩固在全国率先开展土壤污染治理的成果，出台关于土壤污染治理的支持政策、扶持项目、财政补贴，推动土壤污染治理在全省、全国更大范围内得到推广应用，真正把污染治理的范围由“水、气”扩大到“水、气、土”全覆盖，把土壤污染治理技术转化为土壤污染治理产业，把西华由产粮大县变成“优质安全粮生产名县”，把过程农业变成西华乃至周口的支柱产业、富民产业、朝阳产业。</w:t>
      </w:r>
      <w:r>
        <w:rPr>
          <w:rFonts w:hint="eastAsia" w:ascii="仿宋_GB2312" w:hAnsi="Times New Roman" w:eastAsia="仿宋_GB2312"/>
          <w:sz w:val="32"/>
          <w:szCs w:val="32"/>
        </w:rPr>
        <w:t>到</w:t>
      </w:r>
      <w:r>
        <w:rPr>
          <w:rFonts w:ascii="Times New Roman" w:hAnsi="Times New Roman" w:eastAsia="仿宋_GB2312"/>
          <w:sz w:val="32"/>
          <w:szCs w:val="32"/>
        </w:rPr>
        <w:t>2025</w:t>
      </w:r>
      <w:r>
        <w:rPr>
          <w:rFonts w:hint="eastAsia" w:ascii="仿宋_GB2312" w:hAnsi="Times New Roman" w:eastAsia="仿宋_GB2312"/>
          <w:sz w:val="32"/>
          <w:szCs w:val="32"/>
        </w:rPr>
        <w:t>年，确保全县粮食面积稳定在</w:t>
      </w:r>
      <w:r>
        <w:rPr>
          <w:rFonts w:hint="eastAsia" w:ascii="Times New Roman" w:hAnsi="Times New Roman" w:eastAsia="仿宋_GB2312"/>
          <w:sz w:val="32"/>
          <w:szCs w:val="32"/>
        </w:rPr>
        <w:t>190</w:t>
      </w:r>
      <w:r>
        <w:rPr>
          <w:rFonts w:hint="eastAsia" w:ascii="仿宋_GB2312" w:hAnsi="Times New Roman" w:eastAsia="仿宋_GB2312"/>
          <w:sz w:val="32"/>
          <w:szCs w:val="32"/>
        </w:rPr>
        <w:t>万亩以上。</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持续推进高标准农田建设。</w:t>
      </w:r>
      <w:r>
        <w:rPr>
          <w:rFonts w:hint="eastAsia" w:ascii="仿宋_GB2312" w:hAnsi="Times New Roman" w:eastAsia="仿宋_GB2312"/>
          <w:sz w:val="32"/>
          <w:szCs w:val="32"/>
        </w:rPr>
        <w:t>严格落实永久基本农田保护制度，严守耕地红线，坚决遏制耕地“非农化”、防止“非粮化”，稳定粮食生产面积和产量，着力打造全省重要的粮食生产核心区。积极开展耕地质量保护和提升行动计划，以推进“两区”（粮食生产功能区和重要农产品生产保护区）建管护为抓手，以河南省打造新时期国家粮食生产核心区为契机，全力推进高标准农田建设。实施农田土地整治工程，持续开展小块变大块、土地平整、机耕道路、农田灌排设施、土壤改良等田间工程建设，适度建设集中连片、设施完善、高产稳产、生态良好的“路相通、沟相连、渠成网、旱能灌、涝能排”高标准农田，有效降低田间基础设施占地率。到</w:t>
      </w:r>
      <w:r>
        <w:rPr>
          <w:rFonts w:ascii="Times New Roman" w:hAnsi="Times New Roman" w:eastAsia="仿宋_GB2312"/>
          <w:sz w:val="32"/>
          <w:szCs w:val="32"/>
        </w:rPr>
        <w:t>2025</w:t>
      </w:r>
      <w:r>
        <w:rPr>
          <w:rFonts w:hint="eastAsia" w:ascii="仿宋_GB2312" w:hAnsi="Times New Roman" w:eastAsia="仿宋_GB2312"/>
          <w:sz w:val="32"/>
          <w:szCs w:val="32"/>
        </w:rPr>
        <w:t>年，打造100个左右万亩粮食生产功能区。</w:t>
      </w:r>
    </w:p>
    <w:p>
      <w:pPr>
        <w:spacing w:line="600" w:lineRule="exact"/>
        <w:ind w:firstLine="643" w:firstLineChars="200"/>
        <w:jc w:val="left"/>
        <w:rPr>
          <w:rFonts w:ascii="仿宋" w:hAnsi="仿宋" w:eastAsia="仿宋"/>
          <w:sz w:val="32"/>
          <w:szCs w:val="32"/>
        </w:rPr>
      </w:pPr>
      <w:r>
        <w:rPr>
          <w:rFonts w:hint="eastAsia" w:ascii="楷体_GB2312" w:hAnsi="Times New Roman" w:eastAsia="楷体_GB2312"/>
          <w:b/>
          <w:bCs/>
          <w:sz w:val="32"/>
          <w:szCs w:val="32"/>
        </w:rPr>
        <w:t>推动农机装备全面升级。</w:t>
      </w:r>
      <w:r>
        <w:rPr>
          <w:rFonts w:hint="eastAsia" w:ascii="仿宋_GB2312" w:hAnsi="Times New Roman" w:eastAsia="仿宋_GB2312"/>
          <w:sz w:val="32"/>
          <w:szCs w:val="32"/>
        </w:rPr>
        <w:t>实施农业领域</w:t>
      </w:r>
      <w:r>
        <w:rPr>
          <w:rFonts w:hint="eastAsia" w:ascii="Times New Roman" w:hAnsi="Times New Roman" w:eastAsia="仿宋_GB2312"/>
          <w:sz w:val="32"/>
          <w:szCs w:val="32"/>
        </w:rPr>
        <w:t>“机器换人”，推进大马力、多功能、精准式作业、高技术含量农机装备应用，促进农机装备向智能化、智慧化方向发展。积极争取“全程机械化新型农业经营主体农机装备建设”项目建设，主攻薄弱环节机械化，推广绿色先进适用农业机械化技术和装备，加强农机服务能力建设。重点突出小麦、玉米、大豆机耕种收、效植保等关键环节，强化农机农艺融合，普及推广大型植保、耕收机械，加强农业全程机械化建设，为粮食生产插上科技的翅膀。</w:t>
      </w:r>
    </w:p>
    <w:p>
      <w:pPr>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sz w:val="32"/>
          <w:szCs w:val="32"/>
        </w:rPr>
        <w:t>推动粮食产业创新发展。</w:t>
      </w:r>
      <w:r>
        <w:rPr>
          <w:rFonts w:hint="eastAsia" w:ascii="仿宋_GB2312" w:hAnsi="Times New Roman" w:eastAsia="仿宋_GB2312"/>
          <w:sz w:val="32"/>
          <w:szCs w:val="32"/>
        </w:rPr>
        <w:t>以</w:t>
      </w:r>
      <w:r>
        <w:rPr>
          <w:rFonts w:hint="eastAsia" w:ascii="仿宋_GB2312" w:hAnsi="Times New Roman" w:eastAsia="仿宋_GB2312"/>
          <w:spacing w:val="-4"/>
          <w:sz w:val="32"/>
          <w:szCs w:val="32"/>
        </w:rPr>
        <w:t>“粮头食尾”“农头工尾”为抓手，创新粮食产业发展方式</w:t>
      </w:r>
      <w:r>
        <w:rPr>
          <w:rFonts w:hint="eastAsia" w:ascii="仿宋_GB2312" w:hAnsi="Times New Roman" w:eastAsia="仿宋_GB2312"/>
          <w:sz w:val="32"/>
          <w:szCs w:val="32"/>
        </w:rPr>
        <w:t>，延伸产业链，提升价值链，打造供应链，从维护老百姓“舌尖上的安全”入手，主动扛起“保粮食产量、保粮食治理、保粮食安全”的重任。</w:t>
      </w:r>
      <w:r>
        <w:rPr>
          <w:rFonts w:hint="eastAsia" w:ascii="仿宋_GB2312" w:hAnsi="Times New Roman" w:eastAsia="仿宋_GB2312"/>
          <w:spacing w:val="6"/>
          <w:sz w:val="32"/>
          <w:szCs w:val="32"/>
        </w:rPr>
        <w:t>加强种子资源保护和利用，下大力气做好良种繁育工作，</w:t>
      </w:r>
      <w:r>
        <w:rPr>
          <w:rFonts w:hint="eastAsia" w:ascii="仿宋_GB2312" w:hAnsi="Times New Roman" w:eastAsia="仿宋_GB2312"/>
          <w:sz w:val="32"/>
          <w:szCs w:val="32"/>
        </w:rPr>
        <w:t>打造一批小麦良种繁育基地、农作物新品种示范基地、国家农作物育种创新基地，</w:t>
      </w:r>
      <w:r>
        <w:rPr>
          <w:rFonts w:hint="eastAsia" w:ascii="仿宋_GB2312" w:hAnsi="Times New Roman" w:eastAsia="仿宋_GB2312"/>
          <w:spacing w:val="6"/>
          <w:sz w:val="32"/>
          <w:szCs w:val="32"/>
        </w:rPr>
        <w:t>从根本上巩固提升粮食综合生产能力，不仅要让“中国碗”多盛“西华粮”，还要让“中国粮”多用“西华种”</w:t>
      </w:r>
      <w:r>
        <w:rPr>
          <w:rFonts w:hint="eastAsia" w:ascii="仿宋_GB2312" w:hAnsi="Times New Roman" w:eastAsia="仿宋_GB2312"/>
          <w:sz w:val="32"/>
          <w:szCs w:val="32"/>
        </w:rPr>
        <w:t>。提高粮食加工产业高端化、绿色化、智能化、融合化发展水平。加强粮食产后服务体系建设，完善现代粮食物流体系，支持粮食流通企业基础设施改造，加快粮食仓储、物流、销售企业与河南省“粮安工程”智能化管理平台互联互通，推广“网上粮店”“主食厨房”等新型粮食零售业态，加快推进逍遥临港粮食产业园及现代物流园区项目建设。持续推进国有粮食企业改革，完善城乡粮油配送供应网络，促进线上线下融合，努力创建“中国好粮油”行动示范县和示范企业。</w:t>
      </w:r>
      <w:r>
        <w:rPr>
          <w:rFonts w:hint="eastAsia" w:ascii="仿宋_GB2312" w:hAnsi="仿宋" w:eastAsia="仿宋_GB2312" w:cs="仿宋"/>
          <w:sz w:val="32"/>
          <w:szCs w:val="32"/>
        </w:rPr>
        <w:t>以</w:t>
      </w:r>
      <w:r>
        <w:rPr>
          <w:rFonts w:hint="eastAsia" w:ascii="仿宋_GB2312" w:hAnsi="仿宋" w:eastAsia="仿宋_GB2312" w:cs="仿宋"/>
          <w:sz w:val="32"/>
          <w:szCs w:val="32"/>
          <w:lang w:val="en-US" w:eastAsia="zh-CN"/>
        </w:rPr>
        <w:t>省</w:t>
      </w:r>
      <w:r>
        <w:rPr>
          <w:rFonts w:hint="eastAsia" w:ascii="仿宋_GB2312" w:hAnsi="仿宋" w:eastAsia="仿宋_GB2312" w:cs="仿宋"/>
          <w:sz w:val="32"/>
          <w:szCs w:val="32"/>
        </w:rPr>
        <w:t>级食品安全示范县创建为抓手，深化农业综合行政执法改革，组建农业综合行政执法机构，依法行使法律法规赋予的农业行政执法职能，切实提高农业领域执法水平，</w:t>
      </w:r>
      <w:r>
        <w:rPr>
          <w:rFonts w:hint="eastAsia" w:ascii="仿宋_GB2312" w:hAnsi="仿宋" w:eastAsia="仿宋_GB2312" w:cs="仿宋"/>
          <w:sz w:val="32"/>
          <w:szCs w:val="32"/>
          <w:lang w:val="en-US" w:eastAsia="zh-CN"/>
        </w:rPr>
        <w:t>巩固提升国家农产品质量安全县创建成果，</w:t>
      </w:r>
      <w:r>
        <w:rPr>
          <w:rFonts w:hint="eastAsia" w:ascii="仿宋_GB2312" w:hAnsi="仿宋" w:eastAsia="仿宋_GB2312" w:cs="仿宋"/>
          <w:sz w:val="32"/>
          <w:szCs w:val="32"/>
        </w:rPr>
        <w:t>保障农业生产安全和农产品质量安全。建立适应农业现代化要求的植保植检抗灾减灾体系，进一步提高全县农业综合生产能力。</w:t>
      </w:r>
    </w:p>
    <w:p>
      <w:pPr>
        <w:pStyle w:val="3"/>
        <w:spacing w:before="120" w:after="120" w:line="600" w:lineRule="exact"/>
        <w:jc w:val="center"/>
        <w:rPr>
          <w:rFonts w:ascii="仿宋_GB2312" w:eastAsia="仿宋_GB2312"/>
        </w:rPr>
      </w:pPr>
      <w:bookmarkStart w:id="57" w:name="_Toc65514283"/>
      <w:r>
        <w:rPr>
          <w:rFonts w:hint="eastAsia" w:ascii="仿宋_GB2312" w:eastAsia="仿宋_GB2312"/>
        </w:rPr>
        <w:t>第二节 大力发展形成富民产业</w:t>
      </w:r>
      <w:bookmarkEnd w:id="57"/>
    </w:p>
    <w:p>
      <w:pPr>
        <w:spacing w:line="600" w:lineRule="exact"/>
        <w:ind w:firstLine="640" w:firstLineChars="200"/>
        <w:jc w:val="left"/>
        <w:rPr>
          <w:rFonts w:ascii="仿宋_GB2312" w:hAnsi="Times New Roman" w:eastAsia="仿宋_GB2312"/>
          <w:kern w:val="0"/>
          <w:sz w:val="32"/>
          <w:szCs w:val="32"/>
        </w:rPr>
      </w:pPr>
      <w:r>
        <w:rPr>
          <w:rFonts w:hint="eastAsia" w:ascii="仿宋_GB2312" w:hAnsi="Times New Roman" w:eastAsia="仿宋_GB2312"/>
          <w:kern w:val="0"/>
          <w:sz w:val="32"/>
          <w:szCs w:val="32"/>
        </w:rPr>
        <w:t>深入推进“一四三二”工程，围绕“壮大规模、提升品质、完善链条、创建品牌”工作思路，推进特色农业产业化发展，</w:t>
      </w:r>
      <w:r>
        <w:rPr>
          <w:rFonts w:hint="eastAsia" w:ascii="仿宋_GB2312" w:hAnsi="Times New Roman" w:eastAsia="仿宋_GB2312"/>
          <w:sz w:val="32"/>
          <w:szCs w:val="32"/>
        </w:rPr>
        <w:t>提高农业质量效益和整体竞争力，</w:t>
      </w:r>
      <w:r>
        <w:rPr>
          <w:rFonts w:hint="eastAsia" w:ascii="仿宋_GB2312" w:hAnsi="Times New Roman" w:eastAsia="仿宋_GB2312"/>
          <w:kern w:val="0"/>
          <w:sz w:val="32"/>
          <w:szCs w:val="32"/>
        </w:rPr>
        <w:t>拓宽农民增收渠道。</w:t>
      </w:r>
    </w:p>
    <w:p>
      <w:pPr>
        <w:spacing w:line="600" w:lineRule="exact"/>
        <w:ind w:firstLine="643" w:firstLineChars="200"/>
        <w:jc w:val="left"/>
        <w:rPr>
          <w:rFonts w:ascii="仿宋_GB2312" w:hAnsi="Times New Roman" w:eastAsia="仿宋_GB2312"/>
          <w:kern w:val="0"/>
          <w:sz w:val="32"/>
          <w:szCs w:val="32"/>
        </w:rPr>
      </w:pPr>
      <w:r>
        <w:rPr>
          <w:rFonts w:hint="eastAsia" w:ascii="楷体_GB2312" w:hAnsi="Times New Roman" w:eastAsia="楷体_GB2312" w:cs="仿宋_GB2312"/>
          <w:b/>
          <w:bCs/>
          <w:kern w:val="0"/>
          <w:sz w:val="32"/>
          <w:szCs w:val="32"/>
        </w:rPr>
        <w:t>大力发展优质特色农业。</w:t>
      </w:r>
      <w:r>
        <w:rPr>
          <w:rFonts w:hint="eastAsia" w:ascii="仿宋_GB2312" w:eastAsia="仿宋_GB2312"/>
          <w:sz w:val="32"/>
          <w:szCs w:val="32"/>
        </w:rPr>
        <w:t>持续</w:t>
      </w:r>
      <w:r>
        <w:rPr>
          <w:rFonts w:hint="eastAsia" w:ascii="仿宋_GB2312" w:hAnsi="Times New Roman" w:eastAsia="仿宋_GB2312"/>
          <w:kern w:val="0"/>
          <w:sz w:val="32"/>
          <w:szCs w:val="32"/>
        </w:rPr>
        <w:t>实施农业种植结构调整，加快优质特色农产品基地建设，大力发展新优杂果、苗木花卉、畜牧养殖、无公害蔬菜和优质食用菌五大特色农业，打造特色农业产业集群，做大做强农业品牌，提高农业生产效益。</w:t>
      </w:r>
    </w:p>
    <w:p>
      <w:pPr>
        <w:spacing w:line="600" w:lineRule="exact"/>
        <w:ind w:firstLine="643" w:firstLineChars="200"/>
        <w:jc w:val="left"/>
        <w:rPr>
          <w:rFonts w:ascii="仿宋_GB2312" w:hAnsi="Times New Roman" w:eastAsia="仿宋_GB2312"/>
          <w:kern w:val="0"/>
          <w:sz w:val="32"/>
          <w:szCs w:val="32"/>
        </w:rPr>
      </w:pPr>
      <w:r>
        <w:rPr>
          <w:rFonts w:hint="eastAsia" w:ascii="仿宋_GB2312" w:hAnsi="Times New Roman" w:eastAsia="仿宋_GB2312"/>
          <w:b/>
          <w:kern w:val="0"/>
          <w:sz w:val="32"/>
          <w:szCs w:val="32"/>
        </w:rPr>
        <w:t>——新优杂果。</w:t>
      </w:r>
      <w:r>
        <w:rPr>
          <w:rFonts w:hint="eastAsia" w:ascii="仿宋_GB2312" w:hAnsi="Times New Roman" w:eastAsia="仿宋_GB2312"/>
          <w:kern w:val="0"/>
          <w:sz w:val="32"/>
          <w:szCs w:val="32"/>
        </w:rPr>
        <w:t>依托“黄桥鲜桃”、“东王营葡萄”“西夏秋月梨”</w:t>
      </w:r>
      <w:r>
        <w:rPr>
          <w:rFonts w:ascii="仿宋_GB2312" w:hAnsi="Times New Roman" w:eastAsia="仿宋_GB2312"/>
          <w:kern w:val="0"/>
          <w:sz w:val="32"/>
          <w:szCs w:val="32"/>
        </w:rPr>
        <w:t>等特色林果，</w:t>
      </w:r>
      <w:r>
        <w:rPr>
          <w:rFonts w:hint="eastAsia" w:ascii="仿宋_GB2312" w:hAnsi="Times New Roman" w:eastAsia="仿宋_GB2312"/>
          <w:kern w:val="0"/>
          <w:sz w:val="32"/>
          <w:szCs w:val="32"/>
        </w:rPr>
        <w:t>着力打造一批优质林果基地。</w:t>
      </w:r>
      <w:r>
        <w:rPr>
          <w:rFonts w:ascii="仿宋_GB2312" w:hAnsi="Times New Roman" w:eastAsia="仿宋_GB2312"/>
          <w:kern w:val="0"/>
          <w:sz w:val="32"/>
          <w:szCs w:val="32"/>
        </w:rPr>
        <w:t>加快矮化密植果园和现代高科技果品产业园区建设，对优质林果品种实施从育种、栽植、施肥、植保到采收、包装、贮藏、运输的全流程标准化操作、规范化管理。加快花卉苗木产业标准化、规模化、集约化、产业化生产</w:t>
      </w:r>
      <w:r>
        <w:rPr>
          <w:rFonts w:hint="eastAsia" w:ascii="仿宋_GB2312" w:hAnsi="Times New Roman" w:eastAsia="仿宋_GB2312"/>
          <w:kern w:val="0"/>
          <w:sz w:val="32"/>
          <w:szCs w:val="32"/>
        </w:rPr>
        <w:t>。到2025年，全县果树面积稳定在4万亩左右。</w:t>
      </w:r>
    </w:p>
    <w:p>
      <w:pPr>
        <w:spacing w:line="600" w:lineRule="exact"/>
        <w:ind w:firstLine="643" w:firstLineChars="200"/>
        <w:jc w:val="left"/>
        <w:rPr>
          <w:rFonts w:ascii="仿宋_GB2312" w:hAnsi="Times New Roman" w:eastAsia="仿宋_GB2312"/>
          <w:kern w:val="0"/>
          <w:sz w:val="32"/>
          <w:szCs w:val="32"/>
        </w:rPr>
      </w:pPr>
      <w:r>
        <w:rPr>
          <w:rFonts w:hint="eastAsia" w:ascii="仿宋_GB2312" w:eastAsia="仿宋_GB2312"/>
          <w:b/>
          <w:sz w:val="32"/>
          <w:szCs w:val="32"/>
        </w:rPr>
        <w:t>——苗木花卉。</w:t>
      </w:r>
      <w:r>
        <w:rPr>
          <w:rFonts w:hint="eastAsia" w:ascii="仿宋_GB2312" w:hAnsi="Times New Roman" w:eastAsia="仿宋_GB2312" w:cs="仿宋"/>
          <w:kern w:val="0"/>
          <w:sz w:val="32"/>
          <w:szCs w:val="32"/>
        </w:rPr>
        <w:t>实施</w:t>
      </w:r>
      <w:r>
        <w:rPr>
          <w:rFonts w:hint="eastAsia" w:ascii="Times New Roman" w:hAnsi="Times New Roman" w:eastAsia="仿宋_GB2312" w:cs="仿宋"/>
          <w:kern w:val="0"/>
          <w:sz w:val="32"/>
          <w:szCs w:val="32"/>
        </w:rPr>
        <w:t>“花海村镇”计划。在国道、省道、景区道路、村庄周边可视范围内建设花海和花带，大力发展观赏绿化苗木和紫薇、月季、牡丹、菊花、玉兰等优质特色花木种植和油菜花、向日葵等观赏油料作物种植，打造花海景观，支撑全域乡村旅游发展，提高乡村环境品质。</w:t>
      </w:r>
    </w:p>
    <w:p>
      <w:pPr>
        <w:spacing w:line="600" w:lineRule="exact"/>
        <w:ind w:firstLine="643" w:firstLineChars="200"/>
        <w:jc w:val="left"/>
        <w:rPr>
          <w:rFonts w:ascii="仿宋_GB2312" w:hAnsi="Times New Roman" w:eastAsia="仿宋_GB2312"/>
          <w:kern w:val="0"/>
          <w:sz w:val="32"/>
          <w:szCs w:val="32"/>
        </w:rPr>
      </w:pPr>
      <w:r>
        <w:rPr>
          <w:rFonts w:hint="eastAsia" w:ascii="仿宋_GB2312" w:eastAsia="仿宋_GB2312"/>
          <w:b/>
          <w:sz w:val="32"/>
          <w:szCs w:val="32"/>
        </w:rPr>
        <w:t>——畜牧养殖。</w:t>
      </w:r>
      <w:r>
        <w:rPr>
          <w:rFonts w:hint="eastAsia" w:ascii="仿宋_GB2312" w:hAnsi="Times New Roman" w:eastAsia="仿宋_GB2312" w:cs="仿宋"/>
          <w:kern w:val="0"/>
          <w:sz w:val="32"/>
          <w:szCs w:val="32"/>
        </w:rPr>
        <w:t>围绕肉牛肉羊养殖优势特色农业区建设，坚持龙头企业引领，优化畜牧产业结构，提升现代设施装备水平，强化环保型畜牧业，强力推进生猪、肉鸡优势产业产业化、集群化发展，稳定发展蛋禽、肉牛、肉羊等产业，推进现代畜牧业良种繁育、标准化规模养殖、畜产品质量安全、产业化经营和动物疫病防控水平等全面升级。充分利用国家生猪调出大县资金、养殖标准化资金、畜禽粪污资源化利用等项目资金发展生态循环畜牧业，促进西华畜牧业平稳发展。</w:t>
      </w:r>
    </w:p>
    <w:p>
      <w:pPr>
        <w:spacing w:line="600" w:lineRule="exact"/>
        <w:ind w:firstLine="643" w:firstLineChars="200"/>
        <w:jc w:val="left"/>
        <w:rPr>
          <w:rFonts w:ascii="Times New Roman" w:hAnsi="Times New Roman" w:eastAsia="仿宋_GB2312"/>
          <w:sz w:val="32"/>
          <w:szCs w:val="32"/>
        </w:rPr>
      </w:pPr>
      <w:r>
        <w:rPr>
          <w:rFonts w:hint="eastAsia" w:ascii="仿宋_GB2312" w:eastAsia="仿宋_GB2312"/>
          <w:b/>
          <w:sz w:val="32"/>
          <w:szCs w:val="32"/>
        </w:rPr>
        <w:t>——无公害素菜。</w:t>
      </w:r>
      <w:r>
        <w:rPr>
          <w:rFonts w:hint="eastAsia" w:ascii="Times New Roman" w:hAnsi="Times New Roman" w:eastAsia="仿宋_GB2312"/>
          <w:sz w:val="32"/>
          <w:szCs w:val="32"/>
        </w:rPr>
        <w:t>大力</w:t>
      </w:r>
      <w:r>
        <w:rPr>
          <w:rFonts w:ascii="Times New Roman" w:hAnsi="Times New Roman" w:eastAsia="仿宋_GB2312"/>
          <w:sz w:val="32"/>
          <w:szCs w:val="32"/>
        </w:rPr>
        <w:t>实施高效设施蔬菜推进工程，引进推广工厂化育苗、无土栽培、立体化栽培等先进适用技术，扶持建设标准钢架大棚、日光温室、</w:t>
      </w:r>
      <w:r>
        <w:rPr>
          <w:rFonts w:hint="eastAsia" w:ascii="Times New Roman" w:hAnsi="Times New Roman" w:eastAsia="仿宋_GB2312"/>
          <w:sz w:val="32"/>
          <w:szCs w:val="32"/>
        </w:rPr>
        <w:t>“</w:t>
      </w:r>
      <w:r>
        <w:rPr>
          <w:rFonts w:ascii="Times New Roman" w:hAnsi="Times New Roman" w:eastAsia="仿宋_GB2312"/>
          <w:sz w:val="32"/>
          <w:szCs w:val="32"/>
        </w:rPr>
        <w:t>两网一灌</w:t>
      </w:r>
      <w:r>
        <w:rPr>
          <w:rFonts w:hint="eastAsia" w:ascii="Times New Roman" w:hAnsi="Times New Roman" w:eastAsia="仿宋_GB2312"/>
          <w:sz w:val="32"/>
          <w:szCs w:val="32"/>
        </w:rPr>
        <w:t>”</w:t>
      </w:r>
      <w:r>
        <w:rPr>
          <w:rFonts w:ascii="Times New Roman" w:hAnsi="Times New Roman" w:eastAsia="仿宋_GB2312"/>
          <w:sz w:val="32"/>
          <w:szCs w:val="32"/>
        </w:rPr>
        <w:t>、水肥一体化应用等生产设施，</w:t>
      </w:r>
      <w:r>
        <w:rPr>
          <w:rFonts w:hint="eastAsia" w:ascii="Times New Roman" w:hAnsi="Times New Roman" w:eastAsia="仿宋_GB2312"/>
          <w:sz w:val="32"/>
          <w:szCs w:val="32"/>
        </w:rPr>
        <w:t>加快推动千亩芦笋、万亩韭菜、万亩红薯、万亩辣椒等蔬菜种植基地建设，提升</w:t>
      </w:r>
      <w:r>
        <w:rPr>
          <w:rFonts w:ascii="Times New Roman" w:hAnsi="Times New Roman" w:eastAsia="仿宋_GB2312"/>
          <w:sz w:val="32"/>
          <w:szCs w:val="32"/>
        </w:rPr>
        <w:t>供港蔬菜基地</w:t>
      </w:r>
      <w:r>
        <w:rPr>
          <w:rFonts w:hint="eastAsia" w:ascii="Times New Roman" w:hAnsi="Times New Roman" w:eastAsia="仿宋_GB2312"/>
          <w:sz w:val="32"/>
          <w:szCs w:val="32"/>
        </w:rPr>
        <w:t>建设惠普</w:t>
      </w:r>
      <w:r>
        <w:rPr>
          <w:rFonts w:ascii="Times New Roman" w:hAnsi="Times New Roman" w:eastAsia="仿宋_GB2312"/>
          <w:sz w:val="32"/>
          <w:szCs w:val="32"/>
        </w:rPr>
        <w:t>，大力发展精品型、外销型特色蔬菜产业。</w:t>
      </w:r>
    </w:p>
    <w:p>
      <w:pPr>
        <w:spacing w:line="600" w:lineRule="exact"/>
        <w:ind w:firstLine="643" w:firstLineChars="200"/>
        <w:jc w:val="left"/>
        <w:rPr>
          <w:rFonts w:ascii="Times New Roman" w:hAnsi="Times New Roman" w:eastAsia="仿宋_GB2312"/>
          <w:sz w:val="32"/>
          <w:szCs w:val="32"/>
        </w:rPr>
      </w:pPr>
      <w:r>
        <w:rPr>
          <w:rFonts w:hint="eastAsia" w:ascii="仿宋_GB2312" w:eastAsia="仿宋_GB2312"/>
          <w:b/>
          <w:sz w:val="32"/>
          <w:szCs w:val="32"/>
        </w:rPr>
        <w:t>——优质食用菌。</w:t>
      </w:r>
      <w:r>
        <w:rPr>
          <w:rFonts w:ascii="Times New Roman" w:hAnsi="Times New Roman" w:eastAsia="仿宋_GB2312"/>
          <w:sz w:val="32"/>
          <w:szCs w:val="32"/>
        </w:rPr>
        <w:t>加快标准化食用菌生产基地建设，加大秸秆在食用菌栽培中的综合利用，</w:t>
      </w:r>
      <w:r>
        <w:rPr>
          <w:rFonts w:hint="eastAsia" w:ascii="Times New Roman" w:hAnsi="Times New Roman" w:eastAsia="仿宋_GB2312"/>
          <w:sz w:val="32"/>
          <w:szCs w:val="32"/>
        </w:rPr>
        <w:t>打造一批高端食用菌生态基地，</w:t>
      </w:r>
      <w:r>
        <w:rPr>
          <w:rFonts w:hint="eastAsia" w:ascii="仿宋_GB2312" w:hAnsi="Times New Roman" w:eastAsia="仿宋_GB2312"/>
          <w:sz w:val="32"/>
          <w:szCs w:val="32"/>
        </w:rPr>
        <w:t>加快培育一批有带动作用的食用菌生产、加工、流通龙头企业或合作社，加快形成集产加销、科工贸于一体的食用菌产业链，带动全县食用菌产业发展。</w:t>
      </w:r>
    </w:p>
    <w:p>
      <w:pPr>
        <w:spacing w:line="600" w:lineRule="exact"/>
        <w:ind w:firstLine="643" w:firstLineChars="200"/>
        <w:jc w:val="left"/>
        <w:rPr>
          <w:rFonts w:ascii="Times New Roman" w:hAnsi="Times New Roman" w:eastAsia="仿宋_GB2312" w:cs="仿宋"/>
          <w:kern w:val="0"/>
          <w:sz w:val="32"/>
          <w:szCs w:val="32"/>
        </w:rPr>
      </w:pPr>
      <w:r>
        <w:rPr>
          <w:rFonts w:hint="eastAsia" w:ascii="楷体_GB2312" w:hAnsi="Times New Roman" w:eastAsia="楷体_GB2312"/>
          <w:b/>
          <w:bCs/>
          <w:sz w:val="32"/>
          <w:szCs w:val="32"/>
        </w:rPr>
        <w:t>完善农业发展体系。</w:t>
      </w:r>
      <w:r>
        <w:rPr>
          <w:rFonts w:hint="eastAsia" w:ascii="仿宋_GB2312" w:hAnsi="Times New Roman" w:eastAsia="仿宋_GB2312"/>
          <w:sz w:val="32"/>
          <w:szCs w:val="32"/>
        </w:rPr>
        <w:t>围绕农民需求和农业生产经营需要，健全完善公共服务、农技推广、品牌培育和流通服务等现代农业发展体系，着力构建县、乡、村纵向到底，产前、产中、产后服务横向到边的便捷高效服务网络。</w:t>
      </w:r>
    </w:p>
    <w:p>
      <w:pPr>
        <w:autoSpaceDE w:val="0"/>
        <w:autoSpaceDN w:val="0"/>
        <w:adjustRightInd w:val="0"/>
        <w:spacing w:line="600" w:lineRule="exact"/>
        <w:ind w:firstLine="640" w:firstLineChars="200"/>
        <w:jc w:val="left"/>
        <w:rPr>
          <w:rFonts w:ascii="仿宋_GB2312" w:hAnsi="Times New Roman" w:eastAsia="仿宋_GB2312"/>
          <w:sz w:val="32"/>
          <w:szCs w:val="32"/>
        </w:rPr>
      </w:pPr>
      <w:r>
        <w:rPr>
          <w:rFonts w:ascii="Times New Roman" w:hAnsi="Times New Roman" w:eastAsia="仿宋_GB2312"/>
          <w:sz w:val="32"/>
          <w:szCs w:val="32"/>
        </w:rPr>
        <w:t>——</w:t>
      </w:r>
      <w:r>
        <w:rPr>
          <w:rFonts w:hint="eastAsia" w:ascii="仿宋_GB2312" w:hAnsi="Times New Roman" w:eastAsia="仿宋_GB2312"/>
          <w:b/>
          <w:bCs/>
          <w:sz w:val="32"/>
          <w:szCs w:val="32"/>
        </w:rPr>
        <w:t>加快发展数字农业。</w:t>
      </w:r>
      <w:r>
        <w:rPr>
          <w:rFonts w:hint="eastAsia" w:ascii="仿宋_GB2312" w:hAnsi="Times New Roman" w:eastAsia="仿宋_GB2312"/>
          <w:sz w:val="32"/>
          <w:szCs w:val="32"/>
        </w:rPr>
        <w:t>推动移动互联网、物联网、大数据、云计算等新一代信息技术在农业领域的应用，推动传统农业向数字农业、智慧农业转型发展。谋划建设西华县农业农村大数据中心，打造全县土地流转、农产品生产、农产品加工、农产品市场行情、农产品进出口、农资监管与服务、农业技术专家服务等信息数据库，构建全县统一的农业数据资源共享平台。加快农产品质量追溯体系建设，加快实现农产品全部可追溯，实现全县农业生产智能化、精准化、数字化、可控化和全程监管。</w:t>
      </w:r>
    </w:p>
    <w:p>
      <w:pPr>
        <w:spacing w:line="600" w:lineRule="exact"/>
        <w:ind w:firstLine="640" w:firstLineChars="200"/>
        <w:jc w:val="left"/>
        <w:rPr>
          <w:rFonts w:ascii="仿宋_GB2312" w:hAnsi="Times New Roman" w:eastAsia="仿宋_GB2312"/>
          <w:sz w:val="32"/>
          <w:szCs w:val="32"/>
        </w:rPr>
      </w:pPr>
      <w:r>
        <w:rPr>
          <w:rFonts w:ascii="Times New Roman" w:hAnsi="Times New Roman" w:eastAsia="仿宋_GB2312"/>
          <w:sz w:val="32"/>
          <w:szCs w:val="32"/>
        </w:rPr>
        <w:t>——</w:t>
      </w:r>
      <w:r>
        <w:rPr>
          <w:rFonts w:hint="eastAsia" w:ascii="仿宋_GB2312" w:hAnsi="Times New Roman" w:eastAsia="仿宋_GB2312"/>
          <w:b/>
          <w:bCs/>
          <w:sz w:val="32"/>
          <w:szCs w:val="32"/>
        </w:rPr>
        <w:t>推进农业科技创新。</w:t>
      </w:r>
      <w:r>
        <w:rPr>
          <w:rFonts w:hint="eastAsia" w:ascii="仿宋_GB2312" w:hAnsi="Times New Roman" w:eastAsia="仿宋_GB2312"/>
          <w:sz w:val="32"/>
          <w:szCs w:val="32"/>
        </w:rPr>
        <w:t>加快推进农业科技企业孵化器、重点实验室、工程技术研究中心、院士工作站等农业科技研发机构建设，用好县农场、园艺场、农科所等农业科技平台，以果业、中药材、特色养殖、食用菌、蔬菜等为重点，完善技术创新体系，选育一批优良作物和畜禽新品种，构建具有竞争力的产业集群。加强农产品精深加工技术创新，加快推进企业升级、延链增值、绿色发展、品牌培育、质量标准等重点工作，做优面制品，做强肉制品，做精油脂制品，做特果蔬制品，推进绿色食品业高端化、绿色化、智能化、融合化发展。强化科技服务。充分发挥农技服务组织作用，深入推行科技特派员制度，做到科技人员直接到户，技术直接到人，良种良法直接到田，实现科技与农户的“零距离”接触；加强农村社会化服务组织建设，为农民提供方便快捷的产前、产中、产后服务。到</w:t>
      </w:r>
      <w:r>
        <w:rPr>
          <w:rFonts w:ascii="Times New Roman" w:hAnsi="Times New Roman" w:eastAsia="仿宋_GB2312"/>
          <w:sz w:val="32"/>
          <w:szCs w:val="32"/>
        </w:rPr>
        <w:t>2025年，全县农业科技进步贡献率提高到65%以上。</w:t>
      </w:r>
    </w:p>
    <w:p>
      <w:pPr>
        <w:spacing w:line="600" w:lineRule="exact"/>
        <w:ind w:firstLine="640" w:firstLineChars="200"/>
        <w:jc w:val="left"/>
        <w:rPr>
          <w:rFonts w:ascii="仿宋_GB2312" w:hAnsi="Times New Roman" w:eastAsia="仿宋_GB2312"/>
          <w:sz w:val="32"/>
          <w:szCs w:val="32"/>
        </w:rPr>
      </w:pPr>
      <w:r>
        <w:rPr>
          <w:rFonts w:ascii="Times New Roman" w:hAnsi="Times New Roman" w:eastAsia="仿宋_GB2312"/>
          <w:sz w:val="32"/>
          <w:szCs w:val="32"/>
        </w:rPr>
        <w:t>——</w:t>
      </w:r>
      <w:r>
        <w:rPr>
          <w:rFonts w:hint="eastAsia" w:ascii="仿宋_GB2312" w:hAnsi="Times New Roman" w:eastAsia="仿宋_GB2312"/>
          <w:b/>
          <w:bCs/>
          <w:sz w:val="32"/>
          <w:szCs w:val="32"/>
        </w:rPr>
        <w:t>推进农业科技成果转化。</w:t>
      </w:r>
      <w:r>
        <w:rPr>
          <w:rFonts w:hint="eastAsia" w:ascii="仿宋_GB2312" w:hAnsi="Times New Roman" w:eastAsia="仿宋_GB2312"/>
          <w:sz w:val="32"/>
          <w:szCs w:val="32"/>
        </w:rPr>
        <w:t>加强与国家、省、市科研院所对接合作，着重在优质种苗选育、繁育技术、农产品加工、包装、保鲜、贮运等技术方面加强成果转化应用，提高全县农产品的附加值。加强农业科技创新平台建设，支持国家科技成果转化服务示范基地、星创天地、企业孵化器、教授工作站等建设。充分发挥国家一二三融合示范园示范引领作用，</w:t>
      </w:r>
      <w:r>
        <w:rPr>
          <w:rFonts w:hint="eastAsia" w:ascii="仿宋_GB2312" w:hAnsi="仿宋" w:eastAsia="仿宋_GB2312"/>
          <w:sz w:val="32"/>
          <w:szCs w:val="32"/>
        </w:rPr>
        <w:t>强化农技推广网络建设，构建农科教推、产学研用推广新机制。</w:t>
      </w:r>
      <w:r>
        <w:rPr>
          <w:rFonts w:hint="eastAsia" w:ascii="仿宋_GB2312" w:hAnsi="Times New Roman" w:eastAsia="仿宋_GB2312"/>
          <w:sz w:val="32"/>
          <w:szCs w:val="32"/>
        </w:rPr>
        <w:t>加强农村社会化服务组织建设，为农民提供方便快捷的产前、产中、产后服务。</w:t>
      </w:r>
      <w:r>
        <w:rPr>
          <w:rFonts w:ascii="Times New Roman" w:hAnsi="Times New Roman" w:eastAsia="仿宋_GB2312"/>
          <w:sz w:val="32"/>
          <w:szCs w:val="32"/>
        </w:rPr>
        <w:t>到2025年，培育农业高新技术企业5家以上，成功创建国家、省级农业科技园区7家以上。</w:t>
      </w:r>
    </w:p>
    <w:p>
      <w:pPr>
        <w:ind w:firstLine="643" w:firstLineChars="200"/>
        <w:rPr>
          <w:rFonts w:ascii="仿宋_GB2312" w:hAnsi="Times New Roman" w:eastAsia="仿宋_GB2312"/>
          <w:sz w:val="32"/>
          <w:szCs w:val="32"/>
        </w:rPr>
      </w:pPr>
      <w:r>
        <w:rPr>
          <w:rFonts w:hint="eastAsia" w:ascii="仿宋_GB2312" w:hAnsi="Times New Roman" w:eastAsia="仿宋_GB2312"/>
          <w:b/>
          <w:bCs/>
          <w:sz w:val="32"/>
          <w:szCs w:val="32"/>
        </w:rPr>
        <w:t>——推进特色农产品品牌创建。</w:t>
      </w:r>
      <w:r>
        <w:rPr>
          <w:rFonts w:hint="eastAsia" w:ascii="仿宋_GB2312" w:hAnsi="Times New Roman" w:eastAsia="仿宋_GB2312"/>
          <w:bCs/>
          <w:sz w:val="32"/>
          <w:szCs w:val="32"/>
        </w:rPr>
        <w:t>持续巩固全国农产品质量安全县创建成效，</w:t>
      </w:r>
      <w:r>
        <w:rPr>
          <w:rFonts w:hint="eastAsia" w:ascii="仿宋_GB2312" w:hAnsi="Times New Roman" w:eastAsia="仿宋_GB2312"/>
          <w:sz w:val="32"/>
          <w:szCs w:val="32"/>
        </w:rPr>
        <w:t>坚持把品牌建设作为推进农业高质量发展的重要抓手，开展绿色食品、有机农产品、农产品地理标志认证，大力发展“一乡一特、一村一品”和“三品一标”农产品。依托“逍遥胡辣汤”“黄桥鲜桃”“奉母粉条”“红花苗木”“艾岗小辣椒”“西夏菌菇”“迟营青茄”“东王营葡萄”“清河驿甜瓜”“田口花生”等一批特色农业品牌，打造一批国家级农业品牌，创响一批高品质、有口碑的西华农业“金字招牌”，全面提高农业生产效益。加强“西华田园”品牌宣传推介，积极组织新型农业经营主体开展农超对接、农社对接、农企对接、农校对接，参加特色农产品博览会、农产品交易会，进一步提升公共区域品牌的影响力和信誉度，用品牌力量让西华特色农产品叫响全国。到</w:t>
      </w:r>
      <w:r>
        <w:rPr>
          <w:rFonts w:ascii="Times New Roman" w:hAnsi="Times New Roman" w:eastAsia="仿宋_GB2312"/>
          <w:sz w:val="32"/>
          <w:szCs w:val="32"/>
        </w:rPr>
        <w:t>2025</w:t>
      </w:r>
      <w:r>
        <w:rPr>
          <w:rFonts w:hint="eastAsia" w:ascii="仿宋_GB2312" w:hAnsi="Times New Roman" w:eastAsia="仿宋_GB2312"/>
          <w:sz w:val="32"/>
          <w:szCs w:val="32"/>
        </w:rPr>
        <w:t>年，创建省级以上农产品区域公用品牌、企业品牌、产品品牌分别发展到</w:t>
      </w:r>
      <w:r>
        <w:rPr>
          <w:rFonts w:hint="eastAsia" w:ascii="Times New Roman" w:hAnsi="Times New Roman" w:eastAsia="仿宋_GB2312"/>
          <w:sz w:val="32"/>
          <w:szCs w:val="32"/>
          <w:shd w:val="clear" w:color="auto" w:fill="FFFFFF"/>
        </w:rPr>
        <w:t>2</w:t>
      </w:r>
      <w:r>
        <w:rPr>
          <w:rFonts w:hint="eastAsia" w:ascii="仿宋_GB2312" w:hAnsi="Times New Roman" w:eastAsia="仿宋_GB2312"/>
          <w:sz w:val="32"/>
          <w:szCs w:val="32"/>
          <w:shd w:val="clear" w:color="auto" w:fill="FFFFFF"/>
        </w:rPr>
        <w:t>个以上、</w:t>
      </w:r>
      <w:r>
        <w:rPr>
          <w:rFonts w:hint="eastAsia" w:ascii="Times New Roman" w:hAnsi="Times New Roman" w:eastAsia="仿宋_GB2312"/>
          <w:sz w:val="32"/>
          <w:szCs w:val="32"/>
          <w:shd w:val="clear" w:color="auto" w:fill="FFFFFF"/>
        </w:rPr>
        <w:t>10</w:t>
      </w:r>
      <w:r>
        <w:rPr>
          <w:rFonts w:hint="eastAsia" w:ascii="仿宋_GB2312" w:hAnsi="Times New Roman" w:eastAsia="仿宋_GB2312"/>
          <w:sz w:val="32"/>
          <w:szCs w:val="32"/>
          <w:shd w:val="clear" w:color="auto" w:fill="FFFFFF"/>
        </w:rPr>
        <w:t>个以上和</w:t>
      </w:r>
      <w:r>
        <w:rPr>
          <w:rFonts w:hint="eastAsia" w:ascii="Times New Roman" w:hAnsi="Times New Roman" w:eastAsia="仿宋_GB2312"/>
          <w:sz w:val="32"/>
          <w:szCs w:val="32"/>
          <w:shd w:val="clear" w:color="auto" w:fill="FFFFFF"/>
        </w:rPr>
        <w:t>20</w:t>
      </w:r>
      <w:r>
        <w:rPr>
          <w:rFonts w:hint="eastAsia" w:ascii="仿宋_GB2312" w:hAnsi="Times New Roman" w:eastAsia="仿宋_GB2312"/>
          <w:sz w:val="32"/>
          <w:szCs w:val="32"/>
          <w:shd w:val="clear" w:color="auto" w:fill="FFFFFF"/>
        </w:rPr>
        <w:t>个以上</w:t>
      </w:r>
      <w:r>
        <w:rPr>
          <w:rFonts w:hint="eastAsia" w:ascii="仿宋_GB2312" w:hAnsi="Times New Roman" w:eastAsia="仿宋_GB2312"/>
          <w:sz w:val="32"/>
          <w:szCs w:val="32"/>
        </w:rPr>
        <w:t>。</w:t>
      </w:r>
    </w:p>
    <w:p>
      <w:pPr>
        <w:ind w:firstLine="643" w:firstLineChars="200"/>
        <w:rPr>
          <w:rFonts w:ascii="仿宋_GB2312" w:hAnsi="Times New Roman" w:eastAsia="仿宋_GB2312"/>
          <w:sz w:val="32"/>
          <w:szCs w:val="32"/>
        </w:rPr>
      </w:pPr>
      <w:r>
        <w:rPr>
          <w:rFonts w:hint="eastAsia" w:ascii="仿宋_GB2312" w:eastAsia="仿宋_GB2312"/>
          <w:b/>
          <w:bCs/>
          <w:sz w:val="32"/>
          <w:szCs w:val="32"/>
        </w:rPr>
        <w:t>——推进农产品流通体系创新。</w:t>
      </w:r>
      <w:r>
        <w:rPr>
          <w:rFonts w:hint="eastAsia" w:ascii="仿宋_GB2312" w:eastAsia="仿宋_GB2312"/>
          <w:sz w:val="32"/>
          <w:szCs w:val="32"/>
        </w:rPr>
        <w:t>建立健全现代农产品营销体系，加强农产品流通设施建设，积极构建“生产基地+批发市场+零售市场+物流配送+电子商务”的农产品流通新模式。重点加快农产品批发交易市场、产地直销配送市场等建设，着力在辣椒、优质杂果、蔬菜、食用菌等特色优势农产品领域培育一批区域性农产品交易集散基地；加强与周口、郑州、洛阳及全国其他大中型城市市场对接，支持发展“农批对接”“农超对接”“农厂挂钩”等多种类型的产销对接和直供直销模式；健全完善储运体系，加强农产品冷链物流设施建设，改善提升农产品冷藏储存和运输条件。加强农产品产后分级、包装、营销，建设现代化农产品冷链仓储物流体系，鼓励物流企业把服务网点延伸到乡村，加快推进农产品流通现代化。推动实施特色农产品仓储保鲜冷链物流设施建设工程，提升绿色农产品的冷藏保鲜、仓储运输、初加工、电商销售能力，减少产后损失，保证产品品质。</w:t>
      </w:r>
    </w:p>
    <w:p>
      <w:pPr>
        <w:pStyle w:val="3"/>
        <w:spacing w:before="120" w:after="120" w:line="600" w:lineRule="exact"/>
        <w:jc w:val="center"/>
        <w:rPr>
          <w:rFonts w:ascii="Times New Roman" w:hAnsi="Times New Roman" w:eastAsia="仿宋_GB2312"/>
        </w:rPr>
      </w:pPr>
      <w:bookmarkStart w:id="58" w:name="_Toc65514284"/>
      <w:r>
        <w:rPr>
          <w:rFonts w:hint="eastAsia" w:ascii="仿宋_GB2312" w:hAnsi="Times New Roman" w:eastAsia="仿宋_GB2312"/>
        </w:rPr>
        <w:t>第三节推动农村一二三产业融合发展</w:t>
      </w:r>
      <w:bookmarkEnd w:id="58"/>
    </w:p>
    <w:p>
      <w:pPr>
        <w:spacing w:line="600" w:lineRule="exact"/>
        <w:ind w:firstLine="640" w:firstLineChars="200"/>
        <w:jc w:val="left"/>
        <w:rPr>
          <w:rFonts w:ascii="仿宋_GB2312" w:hAnsi="Times New Roman" w:eastAsia="仿宋_GB2312"/>
          <w:sz w:val="32"/>
          <w:szCs w:val="32"/>
        </w:rPr>
      </w:pPr>
      <w:r>
        <w:rPr>
          <w:rFonts w:hint="eastAsia" w:ascii="仿宋_GB2312" w:hAnsi="Times New Roman" w:eastAsia="仿宋_GB2312"/>
          <w:sz w:val="32"/>
          <w:szCs w:val="32"/>
        </w:rPr>
        <w:t>紧扣乡村产业振兴目标，发挥区域特色资源优势，聚焦重点产业、资源要素，持续创新“互联网+”“旅游+”“生态+”等发展模式，推动农村传统产业转型升级。</w:t>
      </w:r>
    </w:p>
    <w:p>
      <w:pPr>
        <w:spacing w:line="600" w:lineRule="exact"/>
        <w:ind w:firstLine="643" w:firstLineChars="200"/>
        <w:jc w:val="left"/>
        <w:rPr>
          <w:rFonts w:ascii="仿宋_GB2312" w:hAnsi="Times New Roman" w:eastAsia="仿宋_GB2312" w:cs="仿宋"/>
          <w:kern w:val="0"/>
          <w:sz w:val="32"/>
          <w:szCs w:val="32"/>
        </w:rPr>
      </w:pPr>
      <w:r>
        <w:rPr>
          <w:rFonts w:hint="eastAsia" w:ascii="楷体_GB2312" w:hAnsi="Times New Roman" w:eastAsia="楷体_GB2312"/>
          <w:b/>
          <w:bCs/>
          <w:sz w:val="32"/>
          <w:szCs w:val="32"/>
        </w:rPr>
        <w:t>加强农村产业融合新载体建设</w:t>
      </w:r>
      <w:r>
        <w:rPr>
          <w:rFonts w:hint="eastAsia" w:ascii="楷体_GB2312" w:hAnsi="Times New Roman" w:eastAsia="楷体_GB2312"/>
          <w:sz w:val="32"/>
          <w:szCs w:val="32"/>
        </w:rPr>
        <w:t>。</w:t>
      </w:r>
      <w:r>
        <w:rPr>
          <w:rFonts w:hint="eastAsia" w:ascii="仿宋_GB2312" w:hAnsi="Times New Roman" w:eastAsia="仿宋_GB2312"/>
          <w:sz w:val="32"/>
          <w:szCs w:val="32"/>
        </w:rPr>
        <w:t>积极搭建城乡产业协同发展平台，推进</w:t>
      </w:r>
      <w:r>
        <w:rPr>
          <w:rFonts w:hint="eastAsia" w:ascii="Times New Roman" w:hAnsi="Times New Roman" w:eastAsia="仿宋_GB2312"/>
          <w:sz w:val="32"/>
          <w:szCs w:val="32"/>
        </w:rPr>
        <w:t>“全域园区化”发展进程，</w:t>
      </w:r>
      <w:r>
        <w:rPr>
          <w:rFonts w:hint="eastAsia" w:ascii="仿宋_GB2312" w:hAnsi="Times New Roman" w:eastAsia="仿宋_GB2312" w:cs="仿宋"/>
          <w:kern w:val="0"/>
          <w:sz w:val="32"/>
          <w:szCs w:val="32"/>
        </w:rPr>
        <w:t>整合资源，积极打造国家级、省级现代农业产业园，打造高质量的乡村产业振兴载体。加快发展“农业+制造”“农业+旅游”“农业+康养”“农业+文创”等新业态，着力培育和引进一批特色农产品深加工企业，重点打造安罗高速连接线等“三条农旅大走廊”、沙河颍河“两条生态经济带”、胡辣汤农工文旅“一条完整产业链”，推动农业与二三产业深度融合。提升推进国家农村产业融合发展示范园建设水平，持续扩大国家农村产业融合发展示范园辐射带动范围。</w:t>
      </w:r>
      <w:r>
        <w:rPr>
          <w:rFonts w:ascii="Times New Roman" w:hAnsi="Times New Roman" w:eastAsia="仿宋_GB2312"/>
          <w:spacing w:val="6"/>
          <w:sz w:val="32"/>
          <w:szCs w:val="32"/>
        </w:rPr>
        <w:t>在临周、临河（五河）、临湖（五湖）、临港、近郊等区域，有重点地推进观光农园、休闲农场、农业公园、教育农园等项目建设，拓展休闲农业、循环农业、会展农业等农业新发展形式，延长农业产业链，促进都市农业融合发展。</w:t>
      </w:r>
      <w:r>
        <w:rPr>
          <w:rFonts w:hint="eastAsia" w:ascii="仿宋_GB2312" w:hAnsi="Times New Roman" w:eastAsia="仿宋_GB2312" w:cs="仿宋"/>
          <w:kern w:val="0"/>
          <w:sz w:val="32"/>
          <w:szCs w:val="32"/>
        </w:rPr>
        <w:t>注重与国家、省市政策对接，积极推进农业科技园、农村双创基地、农业产业强镇、特色农产品优势区创建。</w:t>
      </w:r>
    </w:p>
    <w:p>
      <w:pPr>
        <w:spacing w:line="600" w:lineRule="exact"/>
        <w:ind w:firstLine="643" w:firstLineChars="200"/>
        <w:jc w:val="left"/>
        <w:rPr>
          <w:rFonts w:ascii="Times New Roman" w:hAnsi="Times New Roman" w:eastAsia="仿宋_GB2312" w:cs="仿宋"/>
          <w:kern w:val="0"/>
          <w:sz w:val="32"/>
          <w:szCs w:val="32"/>
        </w:rPr>
      </w:pPr>
      <w:r>
        <w:rPr>
          <w:rFonts w:hint="eastAsia" w:ascii="楷体_GB2312" w:hAnsi="Times New Roman" w:eastAsia="楷体_GB2312" w:cs="仿宋"/>
          <w:b/>
          <w:bCs/>
          <w:kern w:val="0"/>
          <w:sz w:val="32"/>
          <w:szCs w:val="32"/>
        </w:rPr>
        <w:t>推动“农业+制造”融合发展。</w:t>
      </w:r>
      <w:r>
        <w:rPr>
          <w:rFonts w:hint="eastAsia" w:ascii="仿宋_GB2312" w:hAnsi="Times New Roman" w:eastAsia="仿宋_GB2312" w:cs="仿宋"/>
          <w:kern w:val="0"/>
          <w:sz w:val="32"/>
          <w:szCs w:val="32"/>
        </w:rPr>
        <w:t>实施农产品加工业提升行动，突出发展粮油加工、果蔬制品加工、中药材加工、畜牧加工，创建一批农产品精深加工示范基地。支持以枣花面业为代表的粮食加工企业延伸食品产业链、提升价值链、打造供应链，促进粮食产业高质量发展。要全面提升农业质量效益和竞争力。依托双汇食品肉鸡产业化项目，构建从种鸡选育、鸡苗孵化、肉鸡养殖、屠宰分割、鸡肉制品深加工于一体的全产业体系，打造双汇集团在漯河之外的又一个千亿级产业集群。大力发展果蔬加工业，充分利用“黄桥鲜桃”“东王营葡萄”等特色果品资源，加强果汁饮料、果酒、果肉脯、果肉干等水果精深加工开发，延伸果品产业链；大力发展食用菌及蔬菜加工，丰富和优化食用菌加工品种结构，建立食用菌龙头企业为主体的优势产业，发展食用菌固体汤料、调味酱、风味罐头以及休闲食品、方便食品等系列产品。积极发展净菜加工、脱水蔬菜、果蔬干等产品。积极探索中央厨房等食品供应模式，打造一批集仓储、加工、配送于一体的产业基地和示范企业</w:t>
      </w:r>
      <w:r>
        <w:rPr>
          <w:rFonts w:hint="eastAsia" w:ascii="Times New Roman" w:hAnsi="Times New Roman" w:eastAsia="仿宋_GB2312" w:cs="仿宋"/>
          <w:kern w:val="0"/>
          <w:sz w:val="32"/>
          <w:szCs w:val="32"/>
        </w:rPr>
        <w:t>。</w:t>
      </w:r>
    </w:p>
    <w:p>
      <w:pPr>
        <w:autoSpaceDE w:val="0"/>
        <w:autoSpaceDN w:val="0"/>
        <w:adjustRightInd w:val="0"/>
        <w:spacing w:line="600" w:lineRule="exact"/>
        <w:ind w:firstLine="643" w:firstLineChars="200"/>
        <w:jc w:val="left"/>
        <w:rPr>
          <w:rFonts w:ascii="仿宋_GB2312" w:hAnsi="Times New Roman" w:eastAsia="仿宋_GB2312" w:cs="仿宋"/>
          <w:kern w:val="0"/>
          <w:sz w:val="32"/>
          <w:szCs w:val="32"/>
        </w:rPr>
      </w:pPr>
      <w:r>
        <w:rPr>
          <w:rFonts w:hint="eastAsia" w:ascii="楷体_GB2312" w:hAnsi="Times New Roman" w:eastAsia="楷体_GB2312" w:cs="仿宋"/>
          <w:b/>
          <w:bCs/>
          <w:kern w:val="0"/>
          <w:sz w:val="32"/>
          <w:szCs w:val="32"/>
        </w:rPr>
        <w:t>推动“农业+旅游”融合发展。</w:t>
      </w:r>
      <w:r>
        <w:rPr>
          <w:rFonts w:ascii="仿宋_GB2312" w:hAnsi="Times New Roman" w:eastAsia="仿宋_GB2312" w:cs="仿宋"/>
          <w:kern w:val="0"/>
          <w:sz w:val="32"/>
          <w:szCs w:val="32"/>
        </w:rPr>
        <w:t>全面实施</w:t>
      </w:r>
      <w:r>
        <w:rPr>
          <w:rFonts w:ascii="Times New Roman" w:hAnsi="Times New Roman" w:eastAsia="仿宋_GB2312" w:cs="仿宋"/>
          <w:kern w:val="0"/>
          <w:sz w:val="32"/>
          <w:szCs w:val="32"/>
        </w:rPr>
        <w:t>“</w:t>
      </w:r>
      <w:r>
        <w:rPr>
          <w:rFonts w:ascii="仿宋_GB2312" w:hAnsi="Times New Roman" w:eastAsia="仿宋_GB2312" w:cs="仿宋"/>
          <w:kern w:val="0"/>
          <w:sz w:val="32"/>
          <w:szCs w:val="32"/>
        </w:rPr>
        <w:t>旅游</w:t>
      </w:r>
      <w:r>
        <w:rPr>
          <w:rFonts w:ascii="Times New Roman" w:hAnsi="Times New Roman" w:eastAsia="仿宋_GB2312"/>
          <w:kern w:val="0"/>
          <w:sz w:val="32"/>
          <w:szCs w:val="32"/>
        </w:rPr>
        <w:t>+”</w:t>
      </w:r>
      <w:r>
        <w:rPr>
          <w:rFonts w:ascii="仿宋_GB2312" w:hAnsi="Times New Roman" w:eastAsia="仿宋_GB2312" w:cs="仿宋"/>
          <w:kern w:val="0"/>
          <w:sz w:val="32"/>
          <w:szCs w:val="32"/>
        </w:rPr>
        <w:t>战略，引导农业与休闲、旅游、文化、教育、科普、养生养老等产业深度融合，发展观光农业、体验农业、创意农业，在现代农业产业发展的基础上，着力构建以旅游为导向的乡村休闲产业体系，大力发展特色民俗乡村游、康养休闲度假游，打造精品特色旅游线路，以旅促农、以旅兴产，打造乡村休闲经济，推动农业全面升级和乡村生产、生活、生态空间的全面改造，高质量打造城市近郊乡村休闲游憩目的地，全力推进</w:t>
      </w:r>
      <w:r>
        <w:rPr>
          <w:rFonts w:hint="eastAsia" w:ascii="Times New Roman" w:hAnsi="Times New Roman" w:eastAsia="仿宋_GB2312"/>
          <w:kern w:val="0"/>
          <w:sz w:val="32"/>
          <w:szCs w:val="32"/>
        </w:rPr>
        <w:t>“西华田园”</w:t>
      </w:r>
      <w:r>
        <w:rPr>
          <w:rFonts w:ascii="仿宋_GB2312" w:hAnsi="Times New Roman" w:eastAsia="仿宋_GB2312" w:cs="仿宋"/>
          <w:kern w:val="0"/>
          <w:sz w:val="32"/>
          <w:szCs w:val="32"/>
        </w:rPr>
        <w:t>旅游品牌创建。</w:t>
      </w:r>
    </w:p>
    <w:p>
      <w:pPr>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cs="仿宋"/>
          <w:b/>
          <w:bCs/>
          <w:kern w:val="0"/>
          <w:sz w:val="32"/>
          <w:szCs w:val="32"/>
        </w:rPr>
        <w:t>推动“农业+康养”融合发展。</w:t>
      </w:r>
      <w:r>
        <w:rPr>
          <w:rFonts w:hint="eastAsia" w:ascii="仿宋_GB2312" w:hAnsi="Times New Roman" w:eastAsia="仿宋_GB2312"/>
          <w:sz w:val="32"/>
          <w:szCs w:val="32"/>
        </w:rPr>
        <w:t>依托西华自然生态资源、优质农产品资源等，面向老年人、城市亚健康人群以及特殊职业人群等群体，大力发展田园养老、生态旅居、养生保健、温泉疗养等产业。加快“尚善云居”康养小镇、东王营田园综合体建设项目等重点项目建设，积极引入一批高标准养老度假村、婚育保健基地、康复疗养中心等康养项目，着力打造豫东南地区重要的田园康养基地。</w:t>
      </w:r>
    </w:p>
    <w:p>
      <w:pPr>
        <w:spacing w:line="600" w:lineRule="exact"/>
        <w:ind w:firstLine="640" w:firstLineChars="200"/>
        <w:jc w:val="left"/>
        <w:rPr>
          <w:rFonts w:ascii="仿宋_GB2312" w:hAnsi="Times New Roman" w:eastAsia="仿宋_GB2312"/>
          <w:sz w:val="32"/>
          <w:szCs w:val="32"/>
        </w:rPr>
      </w:pPr>
      <w:r>
        <w:rPr>
          <w:rFonts w:hint="eastAsia" w:ascii="仿宋_GB2312" w:eastAsia="仿宋_GB2312"/>
          <w:sz w:val="32"/>
          <w:szCs w:val="32"/>
        </w:rPr>
        <w:t>——</w:t>
      </w:r>
      <w:r>
        <w:rPr>
          <w:rFonts w:hint="eastAsia" w:ascii="仿宋_GB2312" w:hAnsi="Times New Roman" w:eastAsia="仿宋_GB2312"/>
          <w:b/>
          <w:bCs/>
          <w:sz w:val="32"/>
          <w:szCs w:val="32"/>
        </w:rPr>
        <w:t>推动“农业+文创”融合发展。</w:t>
      </w:r>
      <w:r>
        <w:rPr>
          <w:rFonts w:hint="eastAsia" w:ascii="仿宋_GB2312" w:hAnsi="Times New Roman" w:eastAsia="仿宋_GB2312"/>
          <w:sz w:val="32"/>
          <w:szCs w:val="32"/>
        </w:rPr>
        <w:t>开展乡村文创“十百千”示范创建行动，深入挖掘盘古女娲创世文化、红色文化、鸿沟文化、曲艺文化、观光农业文化、美食文化等特色文化资源，着力培育</w:t>
      </w:r>
      <w:r>
        <w:rPr>
          <w:rFonts w:ascii="Times New Roman" w:hAnsi="Times New Roman" w:eastAsia="仿宋_GB2312"/>
          <w:sz w:val="32"/>
          <w:szCs w:val="32"/>
        </w:rPr>
        <w:t>10个具有西华特色的农业主题公园、农业文创园区、农业创意设计馆、文创主题农庄、文创休闲农场、文创农艺工坊等，培育10个农村文创智库、知名文创企业，打造10个文创新村，开发设计100个具有西华特色的工艺美术品、旅游纪念品和贴近生活的实用工艺品等文创产</w:t>
      </w:r>
      <w:r>
        <w:rPr>
          <w:rFonts w:hint="eastAsia" w:ascii="仿宋_GB2312" w:hAnsi="Times New Roman" w:eastAsia="仿宋_GB2312"/>
          <w:sz w:val="32"/>
          <w:szCs w:val="32"/>
        </w:rPr>
        <w:t>品，推动农业与文化创意深度融合发展。</w:t>
      </w:r>
    </w:p>
    <w:p>
      <w:pPr>
        <w:pStyle w:val="3"/>
        <w:spacing w:before="120" w:after="120" w:line="600" w:lineRule="exact"/>
        <w:jc w:val="center"/>
        <w:rPr>
          <w:rFonts w:ascii="仿宋_GB2312" w:hAnsi="Times New Roman" w:eastAsia="仿宋_GB2312"/>
        </w:rPr>
      </w:pPr>
      <w:bookmarkStart w:id="59" w:name="_Toc65514285"/>
      <w:r>
        <w:rPr>
          <w:rFonts w:hint="eastAsia" w:ascii="仿宋_GB2312" w:hAnsi="Times New Roman" w:eastAsia="仿宋_GB2312"/>
        </w:rPr>
        <w:t>第四节 实施乡村建设行动</w:t>
      </w:r>
      <w:bookmarkEnd w:id="59"/>
    </w:p>
    <w:p>
      <w:pPr>
        <w:spacing w:line="60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坚持美丽乡村工作“三个基本标准和遵循”，按照“</w:t>
      </w:r>
      <w:r>
        <w:rPr>
          <w:rFonts w:ascii="Times New Roman" w:hAnsi="Times New Roman" w:eastAsia="仿宋_GB2312"/>
          <w:sz w:val="32"/>
          <w:szCs w:val="32"/>
        </w:rPr>
        <w:t>12345</w:t>
      </w:r>
      <w:r>
        <w:rPr>
          <w:rFonts w:hint="eastAsia" w:ascii="仿宋_GB2312" w:hAnsi="Times New Roman" w:eastAsia="仿宋_GB2312"/>
          <w:sz w:val="32"/>
          <w:szCs w:val="32"/>
        </w:rPr>
        <w:t>+”工作要求，有序推进乡村建设行动，努力建设宜居宜业宜游美丽乡村。</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加强村庄规划管理</w:t>
      </w:r>
      <w:r>
        <w:rPr>
          <w:rFonts w:hint="eastAsia" w:ascii="楷体_GB2312" w:hAnsi="Times New Roman" w:eastAsia="楷体_GB2312"/>
          <w:sz w:val="32"/>
          <w:szCs w:val="32"/>
        </w:rPr>
        <w:t>。</w:t>
      </w:r>
      <w:r>
        <w:rPr>
          <w:rFonts w:hint="eastAsia" w:ascii="仿宋_GB2312" w:hAnsi="Times New Roman" w:eastAsia="仿宋_GB2312"/>
          <w:sz w:val="32"/>
          <w:szCs w:val="32"/>
        </w:rPr>
        <w:t>加快推进实用性村庄规划编制实施以“六村共建”为抓手，优化村庄功能布局，注重保护乡村特色风貌，</w:t>
      </w:r>
      <w:r>
        <w:rPr>
          <w:rFonts w:ascii="Times New Roman" w:hAnsi="Times New Roman" w:eastAsia="仿宋_GB2312"/>
          <w:spacing w:val="6"/>
          <w:sz w:val="32"/>
          <w:szCs w:val="32"/>
        </w:rPr>
        <w:t>坚持</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农村庭院、街道店铺以外的空间都是公共资源，任何人不得占用</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不能用干部的引导帮扶替代群众打造美好家园的义务</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农村环境治理要七分管理三分建设，不能以单纯强调建设而取代管理</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三个方面的工作标准遵循和</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农村居民的文明素质与城市居民是一样的</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理念，打造一批乡村振兴示范村、样板村、标杆村，以点带面、以量变促质变。</w:t>
      </w:r>
      <w:r>
        <w:rPr>
          <w:rFonts w:hint="eastAsia" w:ascii="仿宋_GB2312" w:hAnsi="Times New Roman" w:eastAsia="仿宋_GB2312"/>
          <w:sz w:val="32"/>
          <w:szCs w:val="32"/>
        </w:rPr>
        <w:t>引导人口适当向乡镇所在地、旅游景点、产业园区集中，公共服务优先向拓展提升类、特色保护类、城郊融合类村庄配套。加强乡村建设规划许可管理，建立健全违法用地和建设查处机制。</w:t>
      </w:r>
    </w:p>
    <w:p>
      <w:pPr>
        <w:autoSpaceDE w:val="0"/>
        <w:autoSpaceDN w:val="0"/>
        <w:adjustRightInd w:val="0"/>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sz w:val="32"/>
          <w:szCs w:val="32"/>
        </w:rPr>
        <w:t>推动农村基础设施和公共服务设施提档升级。</w:t>
      </w:r>
      <w:r>
        <w:rPr>
          <w:rFonts w:hint="eastAsia" w:ascii="仿宋_GB2312" w:hAnsi="Times New Roman" w:eastAsia="仿宋_GB2312"/>
          <w:sz w:val="32"/>
          <w:szCs w:val="32"/>
        </w:rPr>
        <w:t>实施村庄基础设施改善工程，巩固提升农村供水保障能力，扎实推进“四好农村公路”建设，提档升级乡村电、气、通信、广播电视、物流等基础设施，健全运营管护长效机制。推进县乡村公共服务设施一体化发展，加强乡村小规模学校和农村寄宿制学校建设，推动乡镇卫生院、社区卫生服务中心、村卫生室建设和服务能力全部达标，发展多种形式的乡镇养老服务机构。加强乡村综合文化服务中心建设，推动乡村健身设施全覆盖。</w:t>
      </w:r>
    </w:p>
    <w:p>
      <w:pPr>
        <w:autoSpaceDE w:val="0"/>
        <w:autoSpaceDN w:val="0"/>
        <w:adjustRightInd w:val="0"/>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sz w:val="32"/>
          <w:szCs w:val="32"/>
        </w:rPr>
        <w:t>改善提升农村人居环境。</w:t>
      </w:r>
      <w:r>
        <w:rPr>
          <w:rFonts w:hint="eastAsia" w:ascii="仿宋_GB2312" w:hAnsi="Times New Roman" w:eastAsia="仿宋_GB2312"/>
          <w:sz w:val="32"/>
          <w:szCs w:val="32"/>
        </w:rPr>
        <w:t>持续开展农村人居环境“千村示范、万村整治”工程，统筹推进“一村万树”“一宅变四园”等工作，打造林海果海花海，建设“乡村大花园”，全面改善村容村貌。推挤农村生活垃圾就地分类和资源化利用，完善村分拣收集、乡镇回收清运、县统一处理、有机垃圾生态处理的分类收集处理体系。因地制宜推进农村改厕，以乡镇政府驻地和中心城为重点梯次推进农村生活污水治理，加强改厕与污水管网和处理设施有机衔接，实施农村河湖水系综合整治。提升农房建设治理，推进宜居型示范农房建设，注重乡村特色风貌，打造一批具有示范引领作用的“中原新民居村落”。</w:t>
      </w:r>
    </w:p>
    <w:p>
      <w:pPr>
        <w:autoSpaceDE w:val="0"/>
        <w:autoSpaceDN w:val="0"/>
        <w:adjustRightInd w:val="0"/>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sz w:val="32"/>
          <w:szCs w:val="32"/>
        </w:rPr>
        <w:t>建设文明善治乡村。</w:t>
      </w:r>
      <w:r>
        <w:rPr>
          <w:rFonts w:hint="eastAsia" w:ascii="仿宋_GB2312" w:hAnsi="Times New Roman" w:eastAsia="仿宋_GB2312"/>
          <w:sz w:val="32"/>
          <w:szCs w:val="32"/>
        </w:rPr>
        <w:t>加强农村基层党组织建设，选好配强农村党组织书记，健全选派驻村第一书记长效机制，持续整顿软弱涣散村党组织。深化拓展“四议两公开”工作法，健全党组织领导下的村级议事协商制度，加强村级权力有效监督。持续推进移风易俗，推动“一约四会”普遍覆盖，弘扬优秀民间文化，到</w:t>
      </w:r>
      <w:r>
        <w:rPr>
          <w:rFonts w:ascii="Times New Roman" w:hAnsi="Times New Roman" w:eastAsia="仿宋_GB2312"/>
          <w:sz w:val="32"/>
          <w:szCs w:val="32"/>
        </w:rPr>
        <w:t>2025</w:t>
      </w:r>
      <w:r>
        <w:rPr>
          <w:rFonts w:hint="eastAsia" w:ascii="仿宋_GB2312" w:hAnsi="Times New Roman" w:eastAsia="仿宋_GB2312"/>
          <w:sz w:val="32"/>
          <w:szCs w:val="32"/>
        </w:rPr>
        <w:t>年实现</w:t>
      </w:r>
      <w:r>
        <w:rPr>
          <w:rFonts w:ascii="Times New Roman" w:hAnsi="Times New Roman" w:eastAsia="仿宋_GB2312"/>
          <w:sz w:val="32"/>
          <w:szCs w:val="32"/>
        </w:rPr>
        <w:t>80%</w:t>
      </w:r>
      <w:r>
        <w:rPr>
          <w:rFonts w:hint="eastAsia" w:ascii="仿宋_GB2312" w:hAnsi="Times New Roman" w:eastAsia="仿宋_GB2312"/>
          <w:sz w:val="32"/>
          <w:szCs w:val="32"/>
        </w:rPr>
        <w:t>以上的乡镇和行政村达到县级以上文明村镇标准。推动乡村振兴讲堂和乡村文化礼堂建设，提高农民科技文化素质和实用技能培育造就高素质农民队伍。加强平安乡村建设，持续开展法治乡镇、民主法治村（社区）创建，依法管理农村宗教事务。</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推进“数字乡村”建设。</w:t>
      </w:r>
      <w:r>
        <w:rPr>
          <w:rFonts w:hint="eastAsia" w:ascii="仿宋_GB2312" w:hAnsi="Times New Roman" w:eastAsia="仿宋_GB2312"/>
          <w:sz w:val="32"/>
          <w:szCs w:val="32"/>
        </w:rPr>
        <w:t>推动实施</w:t>
      </w:r>
      <w:r>
        <w:rPr>
          <w:rFonts w:hint="eastAsia" w:ascii="Times New Roman" w:hAnsi="Times New Roman" w:eastAsia="仿宋_GB2312"/>
          <w:sz w:val="32"/>
          <w:szCs w:val="32"/>
        </w:rPr>
        <w:t>“数字乡村”战略，加快推进“光纤进村、宽带入户”工程，引导村级信息服务站规范运行。依托“数字西华”建设，全面提升和强化农业信息服务三农的能力，推动信息技术在农村生活、农业生产等领域的应用，鼓励开发适应“三农”特点的信息技术、产品应用和服务。支持创建“宽带乡村”“互联网电视乡村”“电子商务乡村”“电子政务乡村”“智慧教育乡村”等农村信息社会化应用示范工程，推广普及远程医疗和在线教育等线上服务。</w:t>
      </w:r>
    </w:p>
    <w:p>
      <w:pPr>
        <w:pStyle w:val="3"/>
        <w:spacing w:before="120" w:after="120" w:line="600" w:lineRule="exact"/>
        <w:jc w:val="center"/>
        <w:rPr>
          <w:rFonts w:ascii="仿宋_GB2312" w:hAnsi="Times New Roman" w:eastAsia="仿宋_GB2312"/>
        </w:rPr>
      </w:pPr>
      <w:bookmarkStart w:id="60" w:name="_Toc65514286"/>
      <w:r>
        <w:rPr>
          <w:rFonts w:hint="eastAsia" w:ascii="仿宋_GB2312" w:hAnsi="Times New Roman" w:eastAsia="仿宋_GB2312"/>
        </w:rPr>
        <w:t>第五节 实现巩固脱贫攻坚成果同乡村振兴有效衔接</w:t>
      </w:r>
      <w:bookmarkEnd w:id="60"/>
    </w:p>
    <w:p>
      <w:pPr>
        <w:spacing w:line="600" w:lineRule="exact"/>
        <w:ind w:firstLine="640" w:firstLineChars="200"/>
        <w:rPr>
          <w:rFonts w:ascii="Times New Roman" w:hAnsi="Times New Roman" w:eastAsia="仿宋_GB2312"/>
          <w:sz w:val="32"/>
          <w:szCs w:val="32"/>
        </w:rPr>
      </w:pPr>
      <w:r>
        <w:rPr>
          <w:rFonts w:hint="eastAsia" w:ascii="仿宋_GB2312" w:hAnsi="Times New Roman" w:eastAsia="仿宋_GB2312"/>
          <w:sz w:val="32"/>
          <w:szCs w:val="32"/>
        </w:rPr>
        <w:t>巩固提升脱贫攻坚成果，统筹运用脱贫攻坚成功经验推动乡村振兴，推进规划、政策、产业、组织和人才等有效衔接，完善返贫帮扶机制和相对贫困治理机制。</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推进乡村振兴与全面脱贫有效衔接。</w:t>
      </w:r>
      <w:r>
        <w:rPr>
          <w:rFonts w:hint="eastAsia" w:ascii="仿宋_GB2312" w:hAnsi="Times New Roman" w:eastAsia="仿宋_GB2312"/>
          <w:sz w:val="32"/>
          <w:szCs w:val="32"/>
        </w:rPr>
        <w:t>认真落实中央关于</w:t>
      </w:r>
      <w:r>
        <w:rPr>
          <w:rFonts w:hint="eastAsia" w:ascii="Times New Roman" w:hAnsi="Times New Roman" w:eastAsia="仿宋_GB2312"/>
          <w:sz w:val="32"/>
          <w:szCs w:val="32"/>
        </w:rPr>
        <w:t>“对脱贫县从脱贫之日起设立5</w:t>
      </w:r>
      <w:r>
        <w:rPr>
          <w:rFonts w:hint="eastAsia" w:ascii="仿宋_GB2312" w:hAnsi="Times New Roman" w:eastAsia="仿宋_GB2312"/>
          <w:sz w:val="32"/>
          <w:szCs w:val="32"/>
        </w:rPr>
        <w:t>年过渡期”的要求，严格落实“四个不摘”，进一步完善提升“四个一并”“八个一批”“十大增收”等在脱贫攻坚中形成的好经验好做法，做好脱贫后续帮扶工作，确保已脱贫人口不返贫、边缘人口不入贫。推进乡村产业发展衔接，强化对已建成的产业扶贫项目的运行监测和效益分析，强化扶贫资产管理，坚持长短结合，推动扶贫产业由短平快为主的特色种养产业向以二三产业为牵引的长效产业发展，着力延伸乡村产业链条，培育长效扶贫产业，因地制宜发展农产品产地加工、乡村休闲旅游和农村电商。加强消费扶贫，拓宽扶贫产品销售渠道。推进基础设施建设衔接，拓展村庄覆盖面，推动饮水、电力、交通、网络通讯等基础设施提档升级。推进公共服务供给衔接，持续改善乡村教育、医疗卫生、社会保障水平，逐步降低农村居民医疗费自付比例，逐步提高农村基础养老金标准和特困人员供养水平。提升村集体经济，增加农村低收入人群收入，确保不出现规模性返贫和新致贫，巩固拓展脱贫攻坚成果。</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完善防止返贫监测帮扶机制。</w:t>
      </w:r>
      <w:r>
        <w:rPr>
          <w:rFonts w:hint="eastAsia" w:ascii="仿宋_GB2312" w:hAnsi="Times New Roman" w:eastAsia="仿宋_GB2312"/>
          <w:sz w:val="32"/>
          <w:szCs w:val="32"/>
        </w:rPr>
        <w:t>加强对易返贫致贫人口常态化的监测和针对性帮扶，完善长期监测和实时动态预警机制，确保不出现规模性返贫和新致贫。落实贫困户扶贫小额信贷政策，强化对易贫户的扶贫小额信贷政策落实。将符合条件的低收入人口纳入农村最低生活保障，扩大产业项目向农村低收入户覆盖。将产业扶贫项目向具有返贫风险和易致贫户等农村低收入人群倾斜，确保收入稳定增长。充分发挥创业致富带头人和农村产业发展指导员作用，对返贫风险和边缘易致贫户强化产业技术指导，引导农村低收入人群自主参与产业发展。加强技能培训，积极拓宽就地就业渠道，促进贫困人口稳定。健全农村社会保障和救助制度，对特殊困难群体实行兜底保障。</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创新相对贫困治理机制。</w:t>
      </w:r>
      <w:r>
        <w:rPr>
          <w:rFonts w:hint="eastAsia" w:ascii="仿宋_GB2312" w:hAnsi="Times New Roman" w:eastAsia="仿宋_GB2312"/>
          <w:sz w:val="32"/>
          <w:szCs w:val="32"/>
        </w:rPr>
        <w:t>探索</w:t>
      </w:r>
      <w:r>
        <w:rPr>
          <w:rFonts w:hint="eastAsia" w:ascii="Times New Roman" w:hAnsi="Times New Roman" w:eastAsia="仿宋_GB2312"/>
          <w:sz w:val="32"/>
          <w:szCs w:val="32"/>
        </w:rPr>
        <w:t>“近贫预警、有贫帮扶、脱贫保稳”的精准防贫保险机制，化解致贫返贫风险。细化相对贫困标准，有效整合各类资源，建立健全包容性扶贫政策体系和相对贫困治理体系。坚持开发式帮扶和保障性兜底相结合，扩大以工代赈实施范围，强化产业扶贫、就业扶贫。</w:t>
      </w:r>
    </w:p>
    <w:tbl>
      <w:tblPr>
        <w:tblStyle w:val="11"/>
        <w:tblW w:w="8522" w:type="dxa"/>
        <w:jc w:val="center"/>
        <w:tblLayout w:type="fixed"/>
        <w:tblCellMar>
          <w:top w:w="0" w:type="dxa"/>
          <w:left w:w="108" w:type="dxa"/>
          <w:bottom w:w="0" w:type="dxa"/>
          <w:right w:w="108" w:type="dxa"/>
        </w:tblCellMar>
      </w:tblPr>
      <w:tblGrid>
        <w:gridCol w:w="8522"/>
      </w:tblGrid>
      <w:tr>
        <w:tblPrEx>
          <w:tblCellMar>
            <w:top w:w="0" w:type="dxa"/>
            <w:left w:w="108" w:type="dxa"/>
            <w:bottom w:w="0" w:type="dxa"/>
            <w:right w:w="108" w:type="dxa"/>
          </w:tblCellMar>
        </w:tblPrEx>
        <w:trPr>
          <w:trHeight w:val="510" w:hRule="atLeast"/>
          <w:jc w:val="center"/>
        </w:trPr>
        <w:tc>
          <w:tcPr>
            <w:tcW w:w="8522" w:type="dxa"/>
            <w:tcBorders>
              <w:top w:val="single" w:color="auto" w:sz="4" w:space="0"/>
              <w:left w:val="single" w:color="auto" w:sz="4" w:space="0"/>
              <w:bottom w:val="single" w:color="auto" w:sz="4" w:space="0"/>
              <w:right w:val="single" w:color="auto" w:sz="4" w:space="0"/>
            </w:tcBorders>
            <w:shd w:val="clear" w:color="auto" w:fill="339966"/>
            <w:vAlign w:val="center"/>
          </w:tcPr>
          <w:p>
            <w:pPr>
              <w:pStyle w:val="10"/>
              <w:spacing w:line="360" w:lineRule="auto"/>
              <w:rPr>
                <w:rFonts w:ascii="Times New Roman" w:hAnsi="Times New Roman" w:cs="Times New Roman"/>
                <w:sz w:val="26"/>
                <w:szCs w:val="26"/>
              </w:rPr>
            </w:pPr>
            <w:r>
              <w:rPr>
                <w:rFonts w:hint="eastAsia" w:ascii="Times New Roman" w:hAnsi="Times New Roman" w:cs="Times New Roman"/>
                <w:b/>
                <w:bCs/>
                <w:color w:val="FFFFFF" w:themeColor="background1"/>
                <w:sz w:val="26"/>
                <w:szCs w:val="26"/>
                <w14:textFill>
                  <w14:solidFill>
                    <w14:schemeClr w14:val="bg1"/>
                  </w14:solidFill>
                </w14:textFill>
              </w:rPr>
              <w:t>专栏3</w:t>
            </w:r>
            <w:r>
              <w:rPr>
                <w:rFonts w:hint="eastAsia" w:cs="Times New Roman"/>
                <w:b/>
                <w:bCs/>
                <w:color w:val="FFFFFF" w:themeColor="background1"/>
                <w:sz w:val="26"/>
                <w:szCs w:val="26"/>
                <w14:textFill>
                  <w14:solidFill>
                    <w14:schemeClr w14:val="bg1"/>
                  </w14:solidFill>
                </w14:textFill>
              </w:rPr>
              <w:t>：乡村振兴重点建设项目</w:t>
            </w:r>
          </w:p>
        </w:tc>
      </w:tr>
      <w:tr>
        <w:tblPrEx>
          <w:tblCellMar>
            <w:top w:w="0" w:type="dxa"/>
            <w:left w:w="108" w:type="dxa"/>
            <w:bottom w:w="0" w:type="dxa"/>
            <w:right w:w="108" w:type="dxa"/>
          </w:tblCellMar>
        </w:tblPrEx>
        <w:trPr>
          <w:trHeight w:val="529" w:hRule="atLeast"/>
          <w:jc w:val="center"/>
        </w:trPr>
        <w:tc>
          <w:tcPr>
            <w:tcW w:w="8522" w:type="dxa"/>
            <w:tcBorders>
              <w:top w:val="single" w:color="auto" w:sz="4" w:space="0"/>
              <w:left w:val="single" w:color="auto" w:sz="4" w:space="0"/>
              <w:bottom w:val="single" w:color="auto" w:sz="4" w:space="0"/>
              <w:right w:val="single" w:color="auto" w:sz="4" w:space="0"/>
            </w:tcBorders>
            <w:vAlign w:val="center"/>
          </w:tcPr>
          <w:p>
            <w:pPr>
              <w:spacing w:line="300" w:lineRule="auto"/>
              <w:ind w:firstLine="482" w:firstLineChars="200"/>
              <w:jc w:val="left"/>
              <w:rPr>
                <w:rFonts w:ascii="Times New Roman" w:hAnsi="Times New Roman"/>
                <w:b/>
                <w:bCs/>
                <w:sz w:val="24"/>
              </w:rPr>
            </w:pPr>
            <w:r>
              <w:rPr>
                <w:rFonts w:hint="eastAsia" w:ascii="Times New Roman" w:hAnsi="Times New Roman"/>
                <w:b/>
                <w:bCs/>
                <w:sz w:val="24"/>
              </w:rPr>
              <w:t>特色农业。</w:t>
            </w:r>
            <w:r>
              <w:rPr>
                <w:rFonts w:hint="eastAsia" w:ascii="Times New Roman" w:hAnsi="Times New Roman"/>
                <w:bCs/>
                <w:sz w:val="24"/>
              </w:rPr>
              <w:t>重点推进西华县优质花生基地建设项目、西华牧原农牧有限公司年存栏50万头生猪养殖项目、"西华县恒瑞农牧有限公司种养一体化建设项目"、西华县食用菌基地建设项目、西华县菊花艾草种植基地建设项目、西华县优质小辣椒现代农业产业园、西华县优质小麦现代农业产业园、西华县优质果林种植项目、西华县肉牛养殖立体循环经济等项目建设。</w:t>
            </w:r>
          </w:p>
          <w:p>
            <w:pPr>
              <w:spacing w:line="300" w:lineRule="auto"/>
              <w:ind w:firstLine="482" w:firstLineChars="200"/>
              <w:jc w:val="left"/>
              <w:rPr>
                <w:rFonts w:ascii="Times New Roman" w:hAnsi="Times New Roman"/>
                <w:b/>
                <w:bCs/>
                <w:sz w:val="24"/>
              </w:rPr>
            </w:pPr>
            <w:r>
              <w:rPr>
                <w:rFonts w:hint="eastAsia" w:ascii="Times New Roman" w:hAnsi="Times New Roman"/>
                <w:b/>
                <w:bCs/>
                <w:sz w:val="24"/>
              </w:rPr>
              <w:t>农业生产。</w:t>
            </w:r>
            <w:r>
              <w:rPr>
                <w:rFonts w:hint="eastAsia" w:ascii="Times New Roman" w:hAnsi="Times New Roman"/>
                <w:bCs/>
                <w:sz w:val="24"/>
              </w:rPr>
              <w:t>重点推进西华县循环农业（有机肥、秸秆综合利用、畜禽粪便综合利用等）、西华县农业绿色发展先行区项目、西华县秸秆综合利用项目、西华县设施种植数字信息化建设项目、西华县高标准农田提质改造项目、西华县农业绿色生产技术创新集成示范项目、西华县基于炭吸附聚谷氨酸化肥减量增效技术的耕地质量提升项目等项目建设。</w:t>
            </w:r>
          </w:p>
          <w:p>
            <w:pPr>
              <w:spacing w:line="300" w:lineRule="auto"/>
              <w:ind w:firstLine="482" w:firstLineChars="200"/>
              <w:jc w:val="left"/>
              <w:rPr>
                <w:rFonts w:ascii="Times New Roman" w:hAnsi="Times New Roman"/>
                <w:b/>
                <w:bCs/>
                <w:sz w:val="24"/>
              </w:rPr>
            </w:pPr>
            <w:r>
              <w:rPr>
                <w:rFonts w:hint="eastAsia" w:ascii="Times New Roman" w:hAnsi="Times New Roman"/>
                <w:b/>
                <w:bCs/>
                <w:sz w:val="24"/>
              </w:rPr>
              <w:t>农村一二三产融合。</w:t>
            </w:r>
            <w:r>
              <w:rPr>
                <w:rFonts w:hint="eastAsia" w:ascii="Times New Roman" w:hAnsi="Times New Roman"/>
                <w:bCs/>
                <w:sz w:val="24"/>
              </w:rPr>
              <w:t>重点推进西华县农业产业融合发展示范区建设、河南省西华县国家农村产业融合发展示范园、西华县东王营田园综合体建设项目、西华县皮营千亩芦笋基地建设项目、西华县杜岗贾鲁河田园综合体建设项目、西华双汇肉鸡养殖产业化项目等项目建设。</w:t>
            </w:r>
          </w:p>
          <w:p>
            <w:pPr>
              <w:spacing w:line="300" w:lineRule="auto"/>
              <w:ind w:firstLine="482" w:firstLineChars="200"/>
              <w:jc w:val="left"/>
              <w:rPr>
                <w:rFonts w:ascii="Times New Roman" w:hAnsi="Times New Roman"/>
                <w:sz w:val="24"/>
              </w:rPr>
            </w:pPr>
            <w:r>
              <w:rPr>
                <w:rFonts w:hint="eastAsia" w:ascii="Times New Roman" w:hAnsi="Times New Roman"/>
                <w:b/>
                <w:bCs/>
                <w:sz w:val="24"/>
              </w:rPr>
              <w:t>乡村建设。</w:t>
            </w:r>
            <w:r>
              <w:rPr>
                <w:rFonts w:hint="eastAsia" w:ascii="Times New Roman" w:hAnsi="Times New Roman"/>
                <w:bCs/>
                <w:sz w:val="24"/>
              </w:rPr>
              <w:t>重点推进西华县农村户厕建设及后期管护项目、西华县农村垃圾中转站项目、西华县污水收集处理项目、西华县农村环境综合整治（含美化、亮化、绿化、净化和道路硬化等）、西华县乡村雨污分流项目、西华县农村废旧坑塘整治项目、西华县三条林旅大走廊项目（林网绿道、湿地公园、各类绿廊等）等项目建设。</w:t>
            </w:r>
          </w:p>
        </w:tc>
      </w:tr>
    </w:tbl>
    <w:p>
      <w:pPr>
        <w:pStyle w:val="2"/>
        <w:spacing w:before="240" w:after="240" w:line="600" w:lineRule="exact"/>
        <w:ind w:right="-340" w:rightChars="-162"/>
        <w:jc w:val="center"/>
        <w:rPr>
          <w:rFonts w:ascii="黑体" w:hAnsi="黑体" w:eastAsia="黑体"/>
          <w:b w:val="0"/>
          <w:sz w:val="32"/>
          <w:szCs w:val="32"/>
        </w:rPr>
      </w:pPr>
      <w:bookmarkStart w:id="61" w:name="_Toc65514287"/>
      <w:r>
        <w:rPr>
          <w:rFonts w:hint="eastAsia" w:ascii="黑体" w:hAnsi="黑体" w:eastAsia="黑体"/>
          <w:b w:val="0"/>
          <w:sz w:val="32"/>
          <w:szCs w:val="32"/>
        </w:rPr>
        <w:t>第八章 推进新型城镇化，着力促进城乡融合发展</w:t>
      </w:r>
      <w:bookmarkEnd w:id="61"/>
    </w:p>
    <w:p>
      <w:pPr>
        <w:spacing w:line="60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坚持共商共建共享发展理念，持续提升城市规划、设计、建设、管理、经营水平，强化中心城区带动和小城镇支撑作用，构建城乡一体、区域融合的发展格局。</w:t>
      </w:r>
    </w:p>
    <w:p>
      <w:pPr>
        <w:pStyle w:val="3"/>
        <w:spacing w:before="120" w:after="120" w:line="600" w:lineRule="exact"/>
        <w:jc w:val="center"/>
        <w:rPr>
          <w:rFonts w:ascii="仿宋_GB2312" w:eastAsia="仿宋_GB2312"/>
        </w:rPr>
      </w:pPr>
      <w:bookmarkStart w:id="62" w:name="_Toc65514288"/>
      <w:r>
        <w:rPr>
          <w:rFonts w:hint="eastAsia" w:ascii="仿宋_GB2312" w:eastAsia="仿宋_GB2312"/>
        </w:rPr>
        <w:t>第一节 优化城乡空间布局</w:t>
      </w:r>
      <w:bookmarkEnd w:id="62"/>
    </w:p>
    <w:p>
      <w:pPr>
        <w:spacing w:line="600" w:lineRule="exact"/>
        <w:ind w:firstLine="640" w:firstLineChars="200"/>
        <w:jc w:val="left"/>
        <w:rPr>
          <w:rFonts w:ascii="仿宋_GB2312" w:hAnsi="Times New Roman" w:eastAsia="仿宋_GB2312"/>
          <w:sz w:val="32"/>
          <w:szCs w:val="32"/>
        </w:rPr>
      </w:pPr>
      <w:r>
        <w:rPr>
          <w:rFonts w:hint="eastAsia" w:ascii="仿宋_GB2312" w:hAnsi="Times New Roman" w:eastAsia="仿宋_GB2312"/>
          <w:sz w:val="32"/>
          <w:szCs w:val="32"/>
        </w:rPr>
        <w:t>发挥国土空间规划基础性、龙头性、约束性作用</w:t>
      </w:r>
      <w:r>
        <w:rPr>
          <w:rFonts w:ascii="仿宋_GB2312" w:hAnsi="Times New Roman" w:eastAsia="仿宋_GB2312"/>
          <w:sz w:val="32"/>
          <w:szCs w:val="32"/>
        </w:rPr>
        <w:t>，以周西一体化建设为重点，科学布局生产、生活、生态空间，调整优化空间格局、经济格局、城乡格局和区域协调格局，着力</w:t>
      </w:r>
      <w:r>
        <w:rPr>
          <w:rFonts w:hint="eastAsia" w:ascii="仿宋_GB2312" w:hAnsi="Times New Roman" w:eastAsia="仿宋_GB2312"/>
          <w:sz w:val="32"/>
          <w:szCs w:val="32"/>
        </w:rPr>
        <w:t>形成“一主一副、两轴三点”城乡空间结构体系。</w:t>
      </w:r>
    </w:p>
    <w:p>
      <w:pPr>
        <w:spacing w:line="600" w:lineRule="exact"/>
        <w:ind w:firstLine="643" w:firstLineChars="200"/>
        <w:jc w:val="left"/>
        <w:rPr>
          <w:rFonts w:ascii="Times New Roman" w:hAnsi="Times New Roman" w:eastAsia="仿宋_GB2312"/>
          <w:spacing w:val="6"/>
          <w:sz w:val="32"/>
          <w:szCs w:val="32"/>
        </w:rPr>
      </w:pPr>
      <w:r>
        <w:rPr>
          <w:rFonts w:hint="eastAsia" w:ascii="Times New Roman" w:eastAsia="仿宋_GB2312"/>
          <w:b/>
          <w:bCs/>
          <w:sz w:val="32"/>
          <w:szCs w:val="32"/>
        </w:rPr>
        <w:t>“一主一副”。</w:t>
      </w:r>
      <w:r>
        <w:rPr>
          <w:rFonts w:hint="eastAsia" w:ascii="Times New Roman" w:eastAsia="仿宋_GB2312"/>
          <w:sz w:val="32"/>
          <w:szCs w:val="32"/>
        </w:rPr>
        <w:t>“一主”即做大做强中心城区规模和城市品质，提升中心城区的服务能级，强化</w:t>
      </w:r>
      <w:r>
        <w:rPr>
          <w:rFonts w:hint="eastAsia" w:ascii="仿宋_GB2312" w:hAnsi="Times New Roman" w:eastAsia="仿宋_GB2312"/>
          <w:kern w:val="0"/>
          <w:sz w:val="32"/>
          <w:szCs w:val="32"/>
        </w:rPr>
        <w:t>中心城区引领辐射带动作用；“一副”即以小城市建设标准建设逍遥镇，完善其产业和农村服务两大职能，加强其与逍遥镇的联系，共同推动逍遥镇成为县域副中心。</w:t>
      </w:r>
    </w:p>
    <w:p>
      <w:pPr>
        <w:spacing w:line="600" w:lineRule="exact"/>
        <w:ind w:firstLine="643" w:firstLineChars="200"/>
        <w:jc w:val="left"/>
        <w:rPr>
          <w:rFonts w:ascii="仿宋_GB2312" w:hAnsi="Times New Roman" w:eastAsia="仿宋_GB2312"/>
          <w:sz w:val="32"/>
          <w:szCs w:val="32"/>
        </w:rPr>
      </w:pPr>
      <w:r>
        <w:rPr>
          <w:rFonts w:hint="eastAsia" w:ascii="仿宋_GB2312" w:hAnsi="仿宋" w:eastAsia="仿宋_GB2312" w:cs="宋体"/>
          <w:b/>
          <w:bCs/>
          <w:sz w:val="32"/>
          <w:szCs w:val="32"/>
        </w:rPr>
        <w:t>“两轴三点”。</w:t>
      </w:r>
      <w:r>
        <w:rPr>
          <w:rFonts w:hint="eastAsia" w:ascii="仿宋_GB2312" w:hAnsi="仿宋" w:eastAsia="仿宋_GB2312" w:cs="宋体"/>
          <w:sz w:val="32"/>
          <w:szCs w:val="32"/>
        </w:rPr>
        <w:t>“两轴”</w:t>
      </w:r>
      <w:r>
        <w:rPr>
          <w:rFonts w:hint="eastAsia" w:ascii="仿宋_GB2312" w:hAnsi="Times New Roman" w:eastAsia="仿宋_GB2312"/>
          <w:sz w:val="32"/>
          <w:szCs w:val="32"/>
        </w:rPr>
        <w:t>即以S329和S102（周郑高速）为轴打造东西（址坊-逍遥-清河驿）和南北（大王庄乡-县城-红花镇）“十字型”两大发展主轴。东西主轴西联漯河，东联淮阳，将中心城区及其他重点产业发展区相串联，形成县域经济发展和城镇建设的重点地区；南北主轴重点打通县域与中原经济区集群城市以及空港区域的联动，促进轴线周边区域发展。“三点”即以红花、聂堆、大王庄为三个公共服务支点，加强城乡公共设施建设，积极发展教育、科技、文化、卫生、体育等公共事业，为县域范围内社会经济、政治、文化活动等提供保障，形成县域“两冀齐飞、全域共进”的发展格局。</w:t>
      </w:r>
    </w:p>
    <w:p>
      <w:pPr>
        <w:pStyle w:val="3"/>
        <w:spacing w:before="120" w:after="120" w:line="600" w:lineRule="exact"/>
        <w:jc w:val="center"/>
        <w:rPr>
          <w:rFonts w:ascii="仿宋_GB2312" w:eastAsia="仿宋_GB2312"/>
        </w:rPr>
      </w:pPr>
      <w:bookmarkStart w:id="63" w:name="_Toc65514289"/>
      <w:r>
        <w:rPr>
          <w:rFonts w:hint="eastAsia" w:ascii="仿宋_GB2312" w:eastAsia="仿宋_GB2312"/>
        </w:rPr>
        <w:t>第二节 做优做强中心城区</w:t>
      </w:r>
      <w:bookmarkEnd w:id="63"/>
    </w:p>
    <w:p>
      <w:pPr>
        <w:spacing w:line="600" w:lineRule="exact"/>
        <w:ind w:firstLine="640" w:firstLineChars="200"/>
        <w:jc w:val="left"/>
        <w:rPr>
          <w:rFonts w:ascii="仿宋_GB2312" w:eastAsia="仿宋_GB2312"/>
          <w:sz w:val="32"/>
          <w:szCs w:val="32"/>
        </w:rPr>
      </w:pPr>
      <w:r>
        <w:rPr>
          <w:rFonts w:hint="eastAsia" w:ascii="仿宋_GB2312" w:eastAsia="仿宋_GB2312"/>
          <w:sz w:val="32"/>
          <w:szCs w:val="32"/>
        </w:rPr>
        <w:t>抢抓周口中心城区东扩北拓的发展机遇，加强深度对接，做大城市规模、做优城市品质、做强城市功能，大力提升中心城区集聚、辐射和带动能力，着力打造宜居宜业宜游生态之城。</w:t>
      </w:r>
    </w:p>
    <w:p>
      <w:pPr>
        <w:spacing w:line="600" w:lineRule="exact"/>
        <w:ind w:firstLine="643" w:firstLineChars="200"/>
        <w:jc w:val="left"/>
        <w:rPr>
          <w:rFonts w:ascii="仿宋_GB2312" w:eastAsia="仿宋_GB2312"/>
          <w:sz w:val="32"/>
          <w:szCs w:val="32"/>
        </w:rPr>
      </w:pPr>
      <w:r>
        <w:rPr>
          <w:rFonts w:hint="eastAsia" w:ascii="楷体_GB2312" w:eastAsia="楷体_GB2312"/>
          <w:b/>
          <w:sz w:val="32"/>
          <w:szCs w:val="32"/>
        </w:rPr>
        <w:t>优化中心城区空间布局。</w:t>
      </w:r>
      <w:r>
        <w:rPr>
          <w:rFonts w:hint="eastAsia" w:ascii="仿宋_GB2312" w:eastAsia="仿宋_GB2312"/>
          <w:sz w:val="32"/>
          <w:szCs w:val="32"/>
        </w:rPr>
        <w:t>大力发展临空经济、高铁经济，强力推进临空经济实验区、高铁新城区和经济技术开发区叠加聚变、融合发展，不断增强中心城区承载辐射带动能力。加快县城东部发展。依托经济开发区、临空经济实验区、特色商业区等产业发展平台，主攻主导产业和现代服务业，推动产业大发展、快发展，以产业发展促进人口集聚、加快新型城镇化进程。推进县城西部开发。依托安罗高速西华西站、县人民医院新院区和静脉产业园，重点发展交通物流、医疗康养、循环经济等产业，建设西部新城区。推动县城南融周口。围绕周口市“一中心、四组团”城市发展定位，推进县城区与周口中心城区的道路连接、生态对接、产业承接，加速融入周口中心城区。涵养县城北部生态。依托县城北部文化资源、水资源、森林资源优势，加快推进创世文化产业园区建设，着力打造文化旅游地、生态涵养区，提升中心城区品质。</w:t>
      </w:r>
    </w:p>
    <w:p>
      <w:pPr>
        <w:spacing w:line="600" w:lineRule="exact"/>
        <w:ind w:firstLine="643" w:firstLineChars="200"/>
        <w:jc w:val="left"/>
        <w:rPr>
          <w:rFonts w:ascii="Times New Roman" w:hAnsi="Times New Roman" w:eastAsia="仿宋_GB2312"/>
          <w:spacing w:val="6"/>
          <w:sz w:val="32"/>
          <w:szCs w:val="32"/>
        </w:rPr>
      </w:pPr>
      <w:r>
        <w:rPr>
          <w:rFonts w:hint="eastAsia" w:ascii="楷体_GB2312" w:eastAsia="楷体_GB2312"/>
          <w:b/>
          <w:sz w:val="32"/>
          <w:szCs w:val="32"/>
        </w:rPr>
        <w:t>推进城市有机更新。</w:t>
      </w:r>
      <w:r>
        <w:rPr>
          <w:rFonts w:ascii="Times New Roman" w:hAnsi="Times New Roman" w:eastAsia="仿宋_GB2312"/>
          <w:spacing w:val="6"/>
          <w:sz w:val="32"/>
          <w:szCs w:val="32"/>
        </w:rPr>
        <w:t>围绕</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以水润城、以绿荫城、以文化城、以业兴城</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，持续实施</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两院两桥二十路、三场五中心三十小区、五河五湖五园五十校、十城十馆百游园</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等一系列惠民生利长远的基础工程</w:t>
      </w:r>
      <w:r>
        <w:rPr>
          <w:rFonts w:hint="eastAsia" w:ascii="Times New Roman" w:hAnsi="Times New Roman" w:eastAsia="仿宋_GB2312"/>
          <w:spacing w:val="6"/>
          <w:sz w:val="32"/>
          <w:szCs w:val="32"/>
        </w:rPr>
        <w:t>，提升城市经营管理水平，</w:t>
      </w:r>
      <w:r>
        <w:rPr>
          <w:rFonts w:hint="eastAsia" w:ascii="仿宋_GB2312" w:hAnsi="Times New Roman" w:eastAsia="仿宋_GB2312"/>
          <w:sz w:val="32"/>
          <w:szCs w:val="32"/>
        </w:rPr>
        <w:t>努力建设韧性城市、智慧城市、人文城市和活力城市，不断提升城市人居环境质量、人民生活质量、城市竞争力。</w:t>
      </w:r>
    </w:p>
    <w:p>
      <w:pPr>
        <w:spacing w:line="600" w:lineRule="exact"/>
        <w:ind w:firstLine="643" w:firstLineChars="200"/>
        <w:jc w:val="left"/>
        <w:rPr>
          <w:rFonts w:ascii="Times New Roman" w:hAnsi="Times New Roman" w:eastAsia="仿宋_GB2312"/>
          <w:sz w:val="32"/>
          <w:szCs w:val="32"/>
        </w:rPr>
      </w:pPr>
      <w:r>
        <w:rPr>
          <w:rFonts w:ascii="Times New Roman" w:hAnsi="Times New Roman" w:eastAsia="仿宋_GB2312"/>
          <w:b/>
          <w:bCs/>
          <w:sz w:val="32"/>
          <w:szCs w:val="32"/>
        </w:rPr>
        <w:t>——</w:t>
      </w:r>
      <w:r>
        <w:rPr>
          <w:rFonts w:hint="eastAsia" w:ascii="仿宋_GB2312" w:hAnsi="Times New Roman" w:eastAsia="仿宋_GB2312"/>
          <w:b/>
          <w:bCs/>
          <w:sz w:val="32"/>
          <w:szCs w:val="32"/>
        </w:rPr>
        <w:t>建设韧性城市。</w:t>
      </w:r>
      <w:r>
        <w:rPr>
          <w:rFonts w:hint="eastAsia" w:ascii="仿宋_GB2312" w:hAnsi="Times New Roman" w:eastAsia="仿宋_GB2312"/>
          <w:sz w:val="32"/>
          <w:szCs w:val="32"/>
        </w:rPr>
        <w:t>大力实施百城建设提质工程，围绕着国家园林城市创建，高标准高质量实施城建重点项目，增强城市综合服务功能和承载能力，与文明城市创建同向发力。大力实施城市“路网工程”，全面修补中心城区“鱼翅路”“破损路”，打通富华路东段、女娲大道北段、奉母路西段等“断头路”，加快推进华泰路贾鲁河大桥附属道路、中州大道南延工程等道路项目建设，对主要交通路口进行导流岛改造，打造交通圈、商业圈、生活圈</w:t>
      </w:r>
      <w:r>
        <w:rPr>
          <w:rFonts w:hint="eastAsia" w:ascii="Times New Roman" w:hAnsi="Times New Roman" w:eastAsia="仿宋_GB2312"/>
          <w:sz w:val="32"/>
          <w:szCs w:val="32"/>
        </w:rPr>
        <w:t>“多圈合一”的功能区块。</w:t>
      </w:r>
      <w:r>
        <w:rPr>
          <w:rFonts w:hint="eastAsia" w:ascii="仿宋_GB2312" w:hAnsi="微软雅黑" w:eastAsia="仿宋_GB2312"/>
          <w:sz w:val="32"/>
          <w:szCs w:val="32"/>
          <w:shd w:val="clear" w:color="auto" w:fill="FFFFFF"/>
        </w:rPr>
        <w:t>推进城区公交场站建设，优化公交线路。加强交通堵点畅通，优化公厕、垃圾站、红绿灯设置，推进城区停车场等配套设施建设。</w:t>
      </w:r>
      <w:r>
        <w:rPr>
          <w:rFonts w:hint="eastAsia" w:ascii="Times New Roman" w:hAnsi="Times New Roman" w:eastAsia="仿宋_GB2312"/>
          <w:sz w:val="32"/>
          <w:szCs w:val="32"/>
        </w:rPr>
        <w:t>推进城区地下综合管沟建设，</w:t>
      </w:r>
      <w:r>
        <w:rPr>
          <w:rFonts w:hint="eastAsia" w:ascii="仿宋_GB2312" w:hAnsi="微软雅黑" w:eastAsia="仿宋_GB2312"/>
          <w:sz w:val="32"/>
          <w:szCs w:val="32"/>
          <w:shd w:val="clear" w:color="auto" w:fill="FFFFFF"/>
        </w:rPr>
        <w:t>加强排水管网等基础设施建设，逐步实现“雨污分流”“弱电入地”。</w:t>
      </w:r>
      <w:r>
        <w:rPr>
          <w:rFonts w:hint="eastAsia" w:ascii="Times New Roman" w:hAnsi="Times New Roman" w:eastAsia="仿宋_GB2312"/>
          <w:sz w:val="32"/>
          <w:szCs w:val="32"/>
        </w:rPr>
        <w:t>稳步提升供气、供热、排水、污水垃圾处理能力。加快推进南水北调供水工程、</w:t>
      </w:r>
      <w:r>
        <w:rPr>
          <w:rFonts w:hint="eastAsia" w:ascii="仿宋_GB2312" w:hAnsi="微软雅黑" w:eastAsia="仿宋_GB2312"/>
          <w:sz w:val="32"/>
          <w:szCs w:val="32"/>
          <w:shd w:val="clear" w:color="auto" w:fill="FFFFFF"/>
        </w:rPr>
        <w:t>地热集中供暖建设、浅层地热能及污水热能利用设施建设、燃气三联供系统建设等项目建设。</w:t>
      </w:r>
      <w:r>
        <w:rPr>
          <w:rFonts w:hint="eastAsia" w:ascii="仿宋_GB2312" w:hAnsi="Times New Roman" w:eastAsia="仿宋_GB2312"/>
          <w:sz w:val="32"/>
          <w:szCs w:val="32"/>
        </w:rPr>
        <w:t>完善城区生活垃圾分级分类体系，</w:t>
      </w:r>
      <w:r>
        <w:rPr>
          <w:rFonts w:hint="eastAsia" w:ascii="仿宋_GB2312" w:hAnsi="微软雅黑" w:eastAsia="仿宋_GB2312"/>
          <w:sz w:val="32"/>
          <w:szCs w:val="32"/>
          <w:shd w:val="clear" w:color="auto" w:fill="FFFFFF"/>
        </w:rPr>
        <w:t>在城区人口密集路段及主要住宅小区建设引导性垃圾分类收集站。</w:t>
      </w:r>
      <w:r>
        <w:rPr>
          <w:rFonts w:hint="eastAsia" w:ascii="仿宋_GB2312" w:hAnsi="Times New Roman" w:eastAsia="仿宋_GB2312"/>
          <w:sz w:val="32"/>
          <w:szCs w:val="32"/>
        </w:rPr>
        <w:t>持续实施老旧小区、老旧街区改造提升，分类推进棚户区改造，加快推进西湖棚户区、华泰棚户区改造项目建设。推进海绵城市建设，综合采取</w:t>
      </w:r>
      <w:r>
        <w:rPr>
          <w:rFonts w:hint="eastAsia" w:ascii="Times New Roman" w:hAnsi="Times New Roman" w:eastAsia="仿宋_GB2312"/>
          <w:sz w:val="32"/>
          <w:szCs w:val="32"/>
        </w:rPr>
        <w:t>“渗滞蓄净用排”等措施，大幅度减少城市硬覆盖地面，推广透水建材铺装，推广雨水花园、储水池塘、湿地公园、下沉式绿地等雨水滞留设施建设。</w:t>
      </w:r>
    </w:p>
    <w:p>
      <w:pPr>
        <w:spacing w:line="600" w:lineRule="exact"/>
        <w:ind w:firstLine="616" w:firstLineChars="200"/>
        <w:jc w:val="left"/>
        <w:rPr>
          <w:rFonts w:ascii="仿宋_GB2312" w:hAnsi="微软雅黑" w:eastAsia="仿宋_GB2312"/>
          <w:sz w:val="32"/>
          <w:szCs w:val="32"/>
          <w:shd w:val="clear" w:color="auto" w:fill="FFFFFF"/>
        </w:rPr>
      </w:pPr>
      <w:r>
        <w:rPr>
          <w:rFonts w:hint="eastAsia" w:ascii="仿宋_GB2312" w:hAnsi="Times New Roman" w:eastAsia="仿宋_GB2312"/>
          <w:spacing w:val="-6"/>
          <w:sz w:val="32"/>
          <w:szCs w:val="32"/>
        </w:rPr>
        <w:t>——</w:t>
      </w:r>
      <w:r>
        <w:rPr>
          <w:rFonts w:hint="eastAsia" w:ascii="仿宋_GB2312" w:hAnsi="仿宋_GB2312" w:eastAsia="仿宋_GB2312" w:cs="仿宋_GB2312"/>
          <w:b/>
          <w:bCs/>
          <w:sz w:val="32"/>
          <w:szCs w:val="32"/>
        </w:rPr>
        <w:t>建设绿化模范城市。</w:t>
      </w:r>
      <w:r>
        <w:rPr>
          <w:rFonts w:hint="eastAsia" w:ascii="仿宋_GB2312" w:hAnsi="仿宋_GB2312" w:eastAsia="仿宋_GB2312" w:cs="仿宋_GB2312"/>
          <w:sz w:val="32"/>
          <w:szCs w:val="32"/>
        </w:rPr>
        <w:t>推进生态园林城市建设提升行动，按照城郊森林化、城区园林化、城外田园化的思路，加快园林绿地、立体绿化、城市绿道景观、水景观、生态走廊建设，做到300米见绿、500米见园，构筑城乡一体、结构合理、植物多样、文化蕴涵丰富的城市绿地系统。</w:t>
      </w:r>
      <w:r>
        <w:rPr>
          <w:rFonts w:hint="eastAsia" w:ascii="仿宋_GB2312" w:hAnsi="微软雅黑" w:eastAsia="仿宋_GB2312"/>
          <w:sz w:val="32"/>
          <w:szCs w:val="32"/>
          <w:shd w:val="clear" w:color="auto" w:fill="FFFFFF"/>
        </w:rPr>
        <w:t>持续提升公园游园管理水平，继续抓好“百里绿道”建设和“百万乔木”栽植。</w:t>
      </w:r>
      <w:r>
        <w:rPr>
          <w:rFonts w:hint="eastAsia" w:ascii="仿宋_GB2312" w:hAnsi="仿宋_GB2312" w:eastAsia="仿宋_GB2312" w:cs="仿宋_GB2312"/>
          <w:sz w:val="32"/>
          <w:szCs w:val="32"/>
        </w:rPr>
        <w:t>依托贾鲁河、双狼沟、东风运河、大沙沟等河流体系，统筹推进“五河五湖”生态治理和滨河（滨湖）公园建设，做到水相通、路相连、景相融，着力打造“生态水城”。</w:t>
      </w:r>
    </w:p>
    <w:p>
      <w:pPr>
        <w:spacing w:line="600" w:lineRule="exact"/>
        <w:ind w:firstLine="640" w:firstLineChars="200"/>
        <w:jc w:val="left"/>
        <w:rPr>
          <w:rFonts w:ascii="仿宋_GB2312" w:hAnsi="微软雅黑" w:eastAsia="仿宋_GB2312"/>
          <w:sz w:val="32"/>
          <w:szCs w:val="32"/>
          <w:shd w:val="clear" w:color="auto" w:fill="FFFFFF"/>
        </w:rPr>
      </w:pPr>
      <w:r>
        <w:rPr>
          <w:rFonts w:ascii="Times New Roman" w:hAnsi="Times New Roman" w:eastAsia="仿宋_GB2312"/>
          <w:sz w:val="32"/>
          <w:szCs w:val="32"/>
        </w:rPr>
        <w:t>——</w:t>
      </w:r>
      <w:r>
        <w:rPr>
          <w:rFonts w:hint="eastAsia" w:ascii="仿宋_GB2312" w:hAnsi="Times New Roman" w:eastAsia="仿宋_GB2312"/>
          <w:b/>
          <w:bCs/>
          <w:sz w:val="32"/>
          <w:szCs w:val="32"/>
        </w:rPr>
        <w:t>建设人文城市。</w:t>
      </w:r>
      <w:r>
        <w:rPr>
          <w:rFonts w:hint="eastAsia" w:ascii="仿宋_GB2312" w:hAnsi="Times New Roman" w:eastAsia="仿宋_GB2312"/>
          <w:bCs/>
          <w:sz w:val="32"/>
          <w:szCs w:val="32"/>
        </w:rPr>
        <w:t>培育城市文化，壮大志愿者队伍，引导群众规范文明行为，切实营造文明、整洁、优美、健康的城市环境。大力</w:t>
      </w:r>
      <w:r>
        <w:rPr>
          <w:rFonts w:hint="eastAsia" w:ascii="仿宋_GB2312" w:hAnsi="Times New Roman" w:eastAsia="仿宋_GB2312"/>
          <w:sz w:val="32"/>
          <w:szCs w:val="32"/>
        </w:rPr>
        <w:t>开展国家级文明城市创建，注重城市规划建设管理，把盘古女娲创世文化、鸿沟文化、曲艺文化、美食文化等西华</w:t>
      </w:r>
      <w:r>
        <w:rPr>
          <w:rFonts w:hint="eastAsia" w:ascii="Times New Roman" w:hAnsi="Times New Roman" w:eastAsia="仿宋_GB2312"/>
          <w:sz w:val="32"/>
          <w:szCs w:val="32"/>
        </w:rPr>
        <w:t>文化元素融入城市，打造一批游园、街头景致、街景小品等，提升城市文化品位。加快推进西华县十大地标性文化主题工程建设项目建设</w:t>
      </w:r>
      <w:r>
        <w:rPr>
          <w:rFonts w:hint="eastAsia" w:ascii="仿宋_GB2312" w:hAnsi="Times New Roman" w:eastAsia="仿宋_GB2312"/>
          <w:kern w:val="0"/>
          <w:sz w:val="32"/>
          <w:szCs w:val="32"/>
        </w:rPr>
        <w:t>。</w:t>
      </w:r>
      <w:r>
        <w:rPr>
          <w:rFonts w:hint="eastAsia" w:ascii="仿宋_GB2312" w:hAnsi="Times New Roman" w:eastAsia="仿宋_GB2312"/>
          <w:sz w:val="32"/>
          <w:szCs w:val="32"/>
        </w:rPr>
        <w:t>完善公共服务配套建设，加快推进</w:t>
      </w:r>
      <w:r>
        <w:rPr>
          <w:rFonts w:hint="eastAsia" w:ascii="Times New Roman" w:hAnsi="Times New Roman" w:eastAsia="仿宋_GB2312"/>
          <w:sz w:val="32"/>
          <w:szCs w:val="32"/>
        </w:rPr>
        <w:t>公共文化数字化建设，逐步完善文化体育、医疗卫生、教育养老、社保就业、社区服务等基本公共服务设施，打造“</w:t>
      </w:r>
      <w:r>
        <w:rPr>
          <w:rFonts w:ascii="Times New Roman" w:hAnsi="Times New Roman" w:eastAsia="仿宋_GB2312"/>
          <w:sz w:val="32"/>
          <w:szCs w:val="32"/>
        </w:rPr>
        <w:t>10</w:t>
      </w:r>
      <w:r>
        <w:rPr>
          <w:rFonts w:hint="eastAsia" w:ascii="仿宋_GB2312" w:hAnsi="Times New Roman" w:eastAsia="仿宋_GB2312"/>
          <w:sz w:val="32"/>
          <w:szCs w:val="32"/>
        </w:rPr>
        <w:t>分钟生活圈</w:t>
      </w:r>
      <w:r>
        <w:rPr>
          <w:rFonts w:hint="eastAsia" w:ascii="Times New Roman" w:hAnsi="Times New Roman" w:eastAsia="仿宋_GB2312"/>
          <w:sz w:val="32"/>
          <w:szCs w:val="32"/>
        </w:rPr>
        <w:t>”。</w:t>
      </w:r>
      <w:r>
        <w:rPr>
          <w:rFonts w:hint="eastAsia" w:ascii="仿宋_GB2312" w:hAnsi="Times New Roman" w:eastAsia="仿宋_GB2312"/>
          <w:sz w:val="32"/>
          <w:szCs w:val="32"/>
        </w:rPr>
        <w:t>坚持老城区商业住宅和机关单位“只拆不建或多拆少建”，统筹利用腾退空间，规划建设一批停车场、幼儿园、“两小市场”的公共服务设施，改善城区居民人居环境。</w:t>
      </w:r>
    </w:p>
    <w:p>
      <w:pPr>
        <w:spacing w:line="600" w:lineRule="exact"/>
        <w:ind w:firstLine="643" w:firstLineChars="200"/>
        <w:jc w:val="left"/>
        <w:rPr>
          <w:rFonts w:ascii="仿宋_GB2312" w:hAnsi="微软雅黑" w:eastAsia="仿宋_GB2312"/>
          <w:sz w:val="32"/>
          <w:szCs w:val="32"/>
          <w:shd w:val="clear" w:color="auto" w:fill="FFFFFF"/>
        </w:rPr>
      </w:pPr>
      <w:r>
        <w:rPr>
          <w:rFonts w:ascii="Times New Roman" w:hAnsi="Times New Roman" w:eastAsia="仿宋_GB2312"/>
          <w:b/>
          <w:bCs/>
          <w:sz w:val="32"/>
          <w:szCs w:val="32"/>
        </w:rPr>
        <w:t>——</w:t>
      </w:r>
      <w:r>
        <w:rPr>
          <w:rFonts w:hint="eastAsia" w:ascii="仿宋_GB2312" w:hAnsi="Times New Roman" w:eastAsia="仿宋_GB2312"/>
          <w:b/>
          <w:bCs/>
          <w:sz w:val="32"/>
          <w:szCs w:val="32"/>
        </w:rPr>
        <w:t>建设智慧城市。</w:t>
      </w:r>
      <w:r>
        <w:rPr>
          <w:rFonts w:hint="eastAsia" w:ascii="仿宋_GB2312" w:hAnsi="Times New Roman" w:eastAsia="仿宋_GB2312"/>
          <w:sz w:val="32"/>
          <w:szCs w:val="32"/>
        </w:rPr>
        <w:t>加快新型智慧城市建设，以</w:t>
      </w:r>
      <w:r>
        <w:rPr>
          <w:rFonts w:ascii="Times New Roman" w:hAnsi="Times New Roman" w:eastAsia="仿宋_GB2312"/>
          <w:sz w:val="32"/>
          <w:szCs w:val="32"/>
        </w:rPr>
        <w:t>5G</w:t>
      </w:r>
      <w:r>
        <w:rPr>
          <w:rFonts w:hint="eastAsia" w:ascii="仿宋_GB2312" w:hAnsi="Times New Roman" w:eastAsia="仿宋_GB2312"/>
          <w:sz w:val="32"/>
          <w:szCs w:val="32"/>
        </w:rPr>
        <w:t>网络、物联网、工业互联网、大数据中心建设为抓手，完善信息基础设施，建设新型智慧城市中枢平台，完善城市通信网和城市物联网，建设城市运营中心、城市数据中心，开展智慧金融、智慧社区、智慧养老、智慧文旅等智慧城市场景应用，加快形成覆盖城乡的智慧社会。以信息化全面提升城市规划、建设和治理水平，推进城市市政公共基础设施数字化改造，加快城市环境质量监测网络建设，强化城市全周期管理，推动城市治理向科学化、精细化、智能化发展。到</w:t>
      </w:r>
      <w:r>
        <w:rPr>
          <w:rFonts w:ascii="Times New Roman" w:hAnsi="Times New Roman" w:eastAsia="仿宋_GB2312"/>
          <w:sz w:val="32"/>
          <w:szCs w:val="32"/>
        </w:rPr>
        <w:t>2025</w:t>
      </w:r>
      <w:r>
        <w:rPr>
          <w:rFonts w:hint="eastAsia" w:ascii="仿宋_GB2312" w:hAnsi="Times New Roman" w:eastAsia="仿宋_GB2312"/>
          <w:sz w:val="32"/>
          <w:szCs w:val="32"/>
        </w:rPr>
        <w:t>年，超过</w:t>
      </w:r>
      <w:r>
        <w:rPr>
          <w:rFonts w:ascii="Times New Roman" w:hAnsi="Times New Roman" w:eastAsia="仿宋_GB2312"/>
          <w:sz w:val="32"/>
          <w:szCs w:val="32"/>
        </w:rPr>
        <w:t>80%</w:t>
      </w:r>
      <w:r>
        <w:rPr>
          <w:rFonts w:hint="eastAsia" w:ascii="仿宋_GB2312" w:hAnsi="Times New Roman" w:eastAsia="仿宋_GB2312"/>
          <w:sz w:val="32"/>
          <w:szCs w:val="32"/>
        </w:rPr>
        <w:t>的城市治理领域智慧应用实现与“城市大脑”连通，重点公共区域高清视频监控联网共享率达到</w:t>
      </w:r>
      <w:r>
        <w:rPr>
          <w:rFonts w:ascii="Times New Roman" w:hAnsi="Times New Roman" w:eastAsia="仿宋_GB2312"/>
          <w:sz w:val="32"/>
          <w:szCs w:val="32"/>
        </w:rPr>
        <w:t>100%</w:t>
      </w:r>
      <w:r>
        <w:rPr>
          <w:rFonts w:hint="eastAsia" w:ascii="仿宋_GB2312" w:hAnsi="Times New Roman" w:eastAsia="仿宋_GB2312"/>
          <w:sz w:val="32"/>
          <w:szCs w:val="32"/>
        </w:rPr>
        <w:t>，国家重点监管食品产品溯源率达到</w:t>
      </w:r>
      <w:r>
        <w:rPr>
          <w:rFonts w:ascii="Times New Roman" w:hAnsi="Times New Roman" w:eastAsia="仿宋_GB2312"/>
          <w:sz w:val="32"/>
          <w:szCs w:val="32"/>
        </w:rPr>
        <w:t>100%</w:t>
      </w:r>
      <w:r>
        <w:rPr>
          <w:rFonts w:hint="eastAsia" w:ascii="仿宋_GB2312" w:hAnsi="Times New Roman" w:eastAsia="仿宋_GB2312"/>
          <w:sz w:val="32"/>
          <w:szCs w:val="32"/>
        </w:rPr>
        <w:t>。</w:t>
      </w:r>
    </w:p>
    <w:p>
      <w:pPr>
        <w:spacing w:line="600" w:lineRule="exact"/>
        <w:ind w:firstLine="640" w:firstLineChars="200"/>
        <w:jc w:val="left"/>
        <w:rPr>
          <w:rFonts w:ascii="仿宋_GB2312" w:hAnsi="微软雅黑" w:eastAsia="仿宋_GB2312"/>
          <w:sz w:val="32"/>
          <w:szCs w:val="32"/>
          <w:shd w:val="clear" w:color="auto" w:fill="FFFFFF"/>
        </w:rPr>
      </w:pPr>
      <w:r>
        <w:rPr>
          <w:rFonts w:ascii="Times New Roman" w:hAnsi="Times New Roman" w:eastAsia="仿宋_GB2312"/>
          <w:sz w:val="32"/>
          <w:szCs w:val="32"/>
        </w:rPr>
        <w:t>——</w:t>
      </w:r>
      <w:r>
        <w:rPr>
          <w:rFonts w:hint="eastAsia" w:ascii="仿宋_GB2312" w:hAnsi="Times New Roman" w:eastAsia="仿宋_GB2312"/>
          <w:b/>
          <w:bCs/>
          <w:sz w:val="32"/>
          <w:szCs w:val="32"/>
        </w:rPr>
        <w:t>建设魅力活力城市。</w:t>
      </w:r>
      <w:r>
        <w:rPr>
          <w:rFonts w:hint="eastAsia" w:ascii="Times New Roman" w:hAnsi="Times New Roman" w:eastAsia="仿宋_GB2312"/>
          <w:sz w:val="32"/>
          <w:szCs w:val="32"/>
        </w:rPr>
        <w:t>注重生态绿色发展和满足不同人群的多元需求，以健康养生、文化旅游、创新创意、夜间经济等为重点，加快绿色空间的保护增值和创新空间的培育壮大，引导区域发展从追求生产价值转向生活价值、从经济导向转向人本导向，推动中心城区的功能组织方式从“生产型”向“生产消费复合型”转型，培育未来区域繁荣振兴的城市活力新地标。</w:t>
      </w:r>
    </w:p>
    <w:p>
      <w:pPr>
        <w:spacing w:line="600" w:lineRule="exact"/>
        <w:ind w:firstLine="643" w:firstLineChars="200"/>
        <w:jc w:val="left"/>
        <w:rPr>
          <w:rFonts w:ascii="Times New Roman" w:hAnsi="Times New Roman" w:eastAsia="仿宋_GB2312"/>
          <w:sz w:val="32"/>
          <w:szCs w:val="32"/>
        </w:rPr>
      </w:pPr>
      <w:r>
        <w:rPr>
          <w:rFonts w:hint="eastAsia" w:ascii="楷体_GB2312" w:hAnsi="Times New Roman" w:eastAsia="楷体_GB2312"/>
          <w:b/>
          <w:bCs/>
          <w:sz w:val="32"/>
          <w:szCs w:val="32"/>
        </w:rPr>
        <w:t>提升城市经营管理水平。</w:t>
      </w:r>
      <w:r>
        <w:rPr>
          <w:rFonts w:hint="eastAsia" w:ascii="仿宋_GB2312" w:hAnsi="Times New Roman" w:eastAsia="仿宋_GB2312"/>
          <w:sz w:val="32"/>
          <w:szCs w:val="32"/>
        </w:rPr>
        <w:t>深入开展城市清洁行动，扎实推进城市精细化管理，加大市场秩序、交通秩序和环境卫生整治力度，巩固提升“四城联创”成果</w:t>
      </w:r>
      <w:r>
        <w:rPr>
          <w:rFonts w:hint="eastAsia" w:ascii="Times New Roman" w:hAnsi="Times New Roman" w:eastAsia="仿宋_GB2312"/>
          <w:sz w:val="32"/>
          <w:szCs w:val="32"/>
        </w:rPr>
        <w:t>。以经营城市的理念推进城市建设，引导各类社会投资主体参与城市建管，实现资源配置容量和效益最大化、最优化。围绕“城市四治”，全面推进城市“治污”“治堵”“治脏”“治差”</w:t>
      </w:r>
      <w:r>
        <w:rPr>
          <w:rFonts w:hint="eastAsia" w:ascii="仿宋_GB2312" w:hAnsi="Times New Roman" w:eastAsia="仿宋_GB2312"/>
          <w:sz w:val="32"/>
          <w:szCs w:val="32"/>
        </w:rPr>
        <w:t>。</w:t>
      </w:r>
      <w:r>
        <w:rPr>
          <w:rFonts w:hint="eastAsia" w:ascii="仿宋_GB2312" w:hAnsi="微软雅黑" w:eastAsia="仿宋_GB2312"/>
          <w:sz w:val="32"/>
          <w:szCs w:val="32"/>
          <w:shd w:val="clear" w:color="auto" w:fill="FFFFFF"/>
        </w:rPr>
        <w:t>牢固树立“经营城市、经营土地、经营资产”理念，将土地的收储、出让、经营与百城建设提质项目紧密结合，统筹谋划、一体推进，确保实现“资金自求平衡、财政要有盈余”</w:t>
      </w:r>
      <w:r>
        <w:rPr>
          <w:rFonts w:hint="eastAsia" w:ascii="仿宋_GB2312" w:hAnsi="Times New Roman" w:eastAsia="仿宋_GB2312"/>
          <w:sz w:val="32"/>
          <w:szCs w:val="32"/>
        </w:rPr>
        <w:t>。全面推进县城区环境面貌综合整治，依托城市</w:t>
      </w:r>
      <w:r>
        <w:rPr>
          <w:rFonts w:hint="eastAsia" w:ascii="Times New Roman" w:hAnsi="Times New Roman" w:eastAsia="仿宋_GB2312"/>
          <w:sz w:val="32"/>
          <w:szCs w:val="32"/>
        </w:rPr>
        <w:t>“双违”治理工作，加大对城区建筑市场、在建工地违法违章建筑的治理力度，加强渣土运输管理，积极开展环境卫生整治集中行动，全面打赢大气污染防治攻坚战。</w:t>
      </w:r>
    </w:p>
    <w:p>
      <w:pPr>
        <w:pStyle w:val="3"/>
        <w:spacing w:before="120" w:after="120" w:line="600" w:lineRule="exact"/>
        <w:jc w:val="center"/>
        <w:rPr>
          <w:rFonts w:ascii="仿宋_GB2312" w:eastAsia="仿宋_GB2312"/>
        </w:rPr>
      </w:pPr>
      <w:bookmarkStart w:id="64" w:name="_Toc65514290"/>
      <w:r>
        <w:rPr>
          <w:rFonts w:hint="eastAsia" w:ascii="仿宋_GB2312" w:eastAsia="仿宋_GB2312"/>
        </w:rPr>
        <w:t>第三节 做精做细特色城镇</w:t>
      </w:r>
      <w:bookmarkEnd w:id="64"/>
    </w:p>
    <w:p>
      <w:pPr>
        <w:spacing w:line="60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科学编制特色小镇和特色小城镇产业发展、空间布局、基础设施、公共服务等“多规合一”发展规划。打造一批产业突出、公共服务功能完善的特色小城镇和特色小镇，建设成为服务“三农”的区域性中心和统筹城乡发展的重要节点。</w:t>
      </w:r>
    </w:p>
    <w:p>
      <w:pPr>
        <w:spacing w:line="600" w:lineRule="exact"/>
        <w:ind w:firstLine="643" w:firstLineChars="200"/>
        <w:rPr>
          <w:rFonts w:ascii="仿宋_GB2312" w:hAnsi="Times New Roman" w:eastAsia="仿宋_GB2312" w:cs="??????"/>
          <w:kern w:val="0"/>
          <w:sz w:val="32"/>
          <w:szCs w:val="32"/>
        </w:rPr>
      </w:pPr>
      <w:r>
        <w:rPr>
          <w:rFonts w:hint="eastAsia" w:ascii="楷体_GB2312" w:hAnsi="Times New Roman" w:eastAsia="楷体_GB2312"/>
          <w:b/>
          <w:bCs/>
          <w:sz w:val="32"/>
          <w:szCs w:val="32"/>
        </w:rPr>
        <w:t>培育发展特色小城镇。</w:t>
      </w:r>
      <w:r>
        <w:rPr>
          <w:rFonts w:hint="eastAsia" w:ascii="仿宋_GB2312" w:hAnsi="Times New Roman" w:eastAsia="仿宋_GB2312"/>
          <w:sz w:val="32"/>
          <w:szCs w:val="32"/>
        </w:rPr>
        <w:t>充分发挥小城镇的桥梁纽带作用，围绕“三结合”重大要求，加快推进乡镇“就地城镇化”进程，以现代城市理念规划建设小城镇、管理小城镇，打造相比于县城差异化的优势。把小城镇开发建设与美丽乡村建设有机结合起来，</w:t>
      </w:r>
      <w:r>
        <w:rPr>
          <w:rFonts w:hint="eastAsia" w:ascii="仿宋_GB2312" w:hAnsi="Times New Roman" w:eastAsia="仿宋_GB2312" w:cs="??????"/>
          <w:kern w:val="0"/>
          <w:sz w:val="32"/>
          <w:szCs w:val="32"/>
        </w:rPr>
        <w:t>加强乡镇基础设施和公共服务设施配套，提高乡镇生活服务便利化程度，着力构建以乡镇政府驻地为中心的农村居民半小时生产生活圈，</w:t>
      </w:r>
      <w:r>
        <w:rPr>
          <w:rFonts w:hint="eastAsia" w:ascii="仿宋_GB2312" w:hAnsi="仿宋_GB2312" w:eastAsia="仿宋_GB2312" w:cs="仿宋_GB2312"/>
          <w:sz w:val="32"/>
          <w:szCs w:val="32"/>
        </w:rPr>
        <w:t>打造成与县城一样的，环境优美、功能齐全的新时代美丽城镇，打造成乡村振兴的战略支点、城乡融合发展的战略节点、服务农业农村农民的区域中心。</w:t>
      </w:r>
      <w:r>
        <w:rPr>
          <w:rFonts w:hint="eastAsia" w:ascii="仿宋_GB2312" w:hAnsi="Times New Roman" w:eastAsia="仿宋_GB2312" w:cs="??????"/>
          <w:kern w:val="0"/>
          <w:sz w:val="32"/>
          <w:szCs w:val="32"/>
        </w:rPr>
        <w:t>推动城乡一体化发展，以镇带村、以村促镇，推动镇村联动发展。</w:t>
      </w:r>
    </w:p>
    <w:p>
      <w:pPr>
        <w:spacing w:line="600" w:lineRule="exact"/>
        <w:ind w:firstLine="643" w:firstLineChars="200"/>
        <w:jc w:val="left"/>
        <w:rPr>
          <w:rFonts w:ascii="仿宋_GB2312" w:hAnsi="Times New Roman" w:eastAsia="仿宋_GB2312" w:cs="??????"/>
          <w:kern w:val="0"/>
          <w:sz w:val="32"/>
          <w:szCs w:val="32"/>
        </w:rPr>
      </w:pPr>
      <w:r>
        <w:rPr>
          <w:rFonts w:hint="eastAsia" w:ascii="楷体_GB2312" w:hAnsi="Times New Roman" w:eastAsia="楷体_GB2312"/>
          <w:b/>
          <w:bCs/>
          <w:kern w:val="0"/>
          <w:sz w:val="32"/>
          <w:szCs w:val="32"/>
        </w:rPr>
        <w:t>规范健康发展特色小镇。</w:t>
      </w:r>
      <w:r>
        <w:rPr>
          <w:rFonts w:hint="eastAsia" w:ascii="仿宋_GB2312" w:hAnsi="Times New Roman" w:eastAsia="仿宋_GB2312" w:cs="??????"/>
          <w:kern w:val="0"/>
          <w:sz w:val="32"/>
          <w:szCs w:val="32"/>
        </w:rPr>
        <w:t>优化村镇发展布局，因地制宜发展特色鲜明、产城融合、充满魅力的特色小镇。重点加快推进“尚善云居”康养小镇、</w:t>
      </w:r>
      <w:r>
        <w:rPr>
          <w:rFonts w:hint="eastAsia" w:ascii="Times New Roman" w:hAnsi="Times New Roman" w:eastAsia="仿宋_GB2312"/>
          <w:spacing w:val="6"/>
          <w:sz w:val="32"/>
          <w:szCs w:val="32"/>
        </w:rPr>
        <w:t>聂堆镇特色小镇、逍遥镇特色小镇</w:t>
      </w:r>
      <w:r>
        <w:rPr>
          <w:rFonts w:hint="eastAsia" w:ascii="仿宋_GB2312" w:hAnsi="Times New Roman" w:eastAsia="仿宋_GB2312" w:cs="??????"/>
          <w:kern w:val="0"/>
          <w:sz w:val="32"/>
          <w:szCs w:val="32"/>
        </w:rPr>
        <w:t>等特色小镇建设，着力培育特色产业，搭建“双创”平台，营造宜居环境，创新监管模式，加快建设一批产业“特而强”、功能“聚而合”、形态“小而美”、机制“新而活”的新型特色小镇。</w:t>
      </w:r>
      <w:r>
        <w:rPr>
          <w:rFonts w:hint="eastAsia" w:ascii="仿宋_GB2312" w:hAnsi="Times New Roman" w:eastAsia="仿宋_GB2312"/>
          <w:kern w:val="0"/>
          <w:sz w:val="32"/>
          <w:szCs w:val="32"/>
        </w:rPr>
        <w:t>到</w:t>
      </w:r>
      <w:r>
        <w:rPr>
          <w:rFonts w:ascii="Times New Roman" w:hAnsi="Times New Roman" w:eastAsia="仿宋_GB2312"/>
          <w:kern w:val="0"/>
          <w:sz w:val="32"/>
          <w:szCs w:val="32"/>
        </w:rPr>
        <w:t>2025</w:t>
      </w:r>
      <w:r>
        <w:rPr>
          <w:rFonts w:hint="eastAsia" w:ascii="仿宋_GB2312" w:hAnsi="Times New Roman" w:eastAsia="仿宋_GB2312"/>
          <w:kern w:val="0"/>
          <w:sz w:val="32"/>
          <w:szCs w:val="32"/>
        </w:rPr>
        <w:t>年，力争创建</w:t>
      </w:r>
      <w:r>
        <w:rPr>
          <w:rFonts w:ascii="Times New Roman" w:hAnsi="Times New Roman" w:eastAsia="仿宋_GB2312"/>
          <w:kern w:val="0"/>
          <w:sz w:val="32"/>
          <w:szCs w:val="32"/>
        </w:rPr>
        <w:t>2-3</w:t>
      </w:r>
      <w:r>
        <w:rPr>
          <w:rFonts w:hint="eastAsia" w:ascii="仿宋_GB2312" w:hAnsi="Times New Roman" w:eastAsia="仿宋_GB2312"/>
          <w:kern w:val="0"/>
          <w:sz w:val="32"/>
          <w:szCs w:val="32"/>
        </w:rPr>
        <w:t>个</w:t>
      </w:r>
      <w:r>
        <w:rPr>
          <w:rFonts w:hint="eastAsia" w:ascii="仿宋_GB2312" w:hAnsi="Times New Roman" w:eastAsia="仿宋_GB2312" w:cs="??????"/>
          <w:kern w:val="0"/>
          <w:sz w:val="32"/>
          <w:szCs w:val="32"/>
        </w:rPr>
        <w:t>在全省乃至全国有较强影响力的特色小镇。</w:t>
      </w:r>
    </w:p>
    <w:p>
      <w:pPr>
        <w:pStyle w:val="3"/>
        <w:spacing w:before="120" w:after="120" w:line="600" w:lineRule="exact"/>
        <w:jc w:val="center"/>
        <w:rPr>
          <w:rFonts w:ascii="仿宋_GB2312" w:eastAsia="仿宋_GB2312"/>
        </w:rPr>
      </w:pPr>
      <w:bookmarkStart w:id="65" w:name="_Toc65514291"/>
      <w:r>
        <w:rPr>
          <w:rFonts w:hint="eastAsia" w:ascii="仿宋_GB2312" w:eastAsia="仿宋_GB2312"/>
        </w:rPr>
        <w:t>第四节 完善城乡融合体制机制</w:t>
      </w:r>
      <w:bookmarkEnd w:id="65"/>
    </w:p>
    <w:p>
      <w:pPr>
        <w:spacing w:line="600" w:lineRule="exact"/>
        <w:ind w:firstLine="640" w:firstLineChars="200"/>
        <w:rPr>
          <w:rFonts w:ascii="Times New Roman" w:hAnsi="Times New Roman" w:eastAsia="仿宋_GB2312"/>
          <w:sz w:val="32"/>
          <w:szCs w:val="32"/>
        </w:rPr>
      </w:pPr>
      <w:r>
        <w:rPr>
          <w:rFonts w:hint="eastAsia" w:ascii="仿宋_GB2312" w:hAnsi="Times New Roman" w:eastAsia="仿宋_GB2312"/>
          <w:sz w:val="32"/>
          <w:szCs w:val="32"/>
        </w:rPr>
        <w:t>坚持核心带动、组团发展、城乡一体，促进城乡要素自由流动、平等交换和公共资源合理配置，</w:t>
      </w:r>
      <w:r>
        <w:rPr>
          <w:rFonts w:hint="eastAsia" w:ascii="仿宋_GB2312" w:hAnsi="Times New Roman" w:eastAsia="仿宋_GB2312"/>
          <w:kern w:val="0"/>
          <w:sz w:val="32"/>
          <w:szCs w:val="32"/>
        </w:rPr>
        <w:t>提高农业转移人口市民化质量</w:t>
      </w:r>
      <w:r>
        <w:rPr>
          <w:rFonts w:hint="eastAsia" w:ascii="仿宋_GB2312" w:hAnsi="Times New Roman" w:eastAsia="仿宋_GB2312"/>
          <w:sz w:val="32"/>
          <w:szCs w:val="32"/>
        </w:rPr>
        <w:t>，推动城乡深度融合发展。</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提高农业转移人口市民化质量。</w:t>
      </w:r>
      <w:r>
        <w:rPr>
          <w:rFonts w:hint="eastAsia" w:ascii="仿宋_GB2312" w:hAnsi="Times New Roman" w:eastAsia="仿宋_GB2312"/>
          <w:sz w:val="32"/>
          <w:szCs w:val="32"/>
        </w:rPr>
        <w:t>深化户籍制度改革，全面落实落户零门槛政策，实行户籍迁移全省范围内的</w:t>
      </w:r>
      <w:r>
        <w:rPr>
          <w:rFonts w:hint="eastAsia" w:ascii="Times New Roman" w:hAnsi="Times New Roman" w:eastAsia="仿宋_GB2312"/>
          <w:sz w:val="32"/>
          <w:szCs w:val="32"/>
        </w:rPr>
        <w:t>“一站式”办理，探索推动城镇常住人口在城市公共户口落户。健全农业转移人口“三权”维护和退出机制，推动户籍变动与农村“三权”脱钩，引导农民依法自愿有偿转让或保留各类农村权益。健全基本公共服务提供机制，完善农业转移人口就业帮扶、公共服务、子女教育、住房保障等配套政策，促进农业转移人口全面融入城市。强化激励保障政策配套，探索实行城镇建设用地增加规模与吸纳农业转移人口落户数量挂钩政策。</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促进城乡生产要素自由流动。</w:t>
      </w:r>
      <w:r>
        <w:rPr>
          <w:rFonts w:hint="eastAsia" w:ascii="仿宋_GB2312" w:hAnsi="Times New Roman" w:eastAsia="仿宋_GB2312"/>
          <w:sz w:val="32"/>
          <w:szCs w:val="32"/>
        </w:rPr>
        <w:t>落实农村集体经营性建设用地入市制度，稳妥有序推进农村土地征收制度改革和农村宅基地</w:t>
      </w:r>
      <w:r>
        <w:rPr>
          <w:rFonts w:hint="eastAsia" w:ascii="Times New Roman" w:hAnsi="Times New Roman" w:eastAsia="仿宋_GB2312"/>
          <w:sz w:val="32"/>
          <w:szCs w:val="32"/>
        </w:rPr>
        <w:t>“三权分置”改革，深入推进农村集体产权制度改革，创新完善土地复垦券政策，积极发展多种形式的适度规模经营。全面完成农业水价综合改革。建立城乡区域人才对口服务和全县专业人才统筹使用机制，允许农村集体经济组织探索人才加入机制，</w:t>
      </w:r>
      <w:r>
        <w:rPr>
          <w:rFonts w:hint="eastAsia" w:ascii="仿宋_GB2312" w:hAnsi="Times New Roman" w:eastAsia="仿宋_GB2312"/>
          <w:sz w:val="32"/>
          <w:szCs w:val="32"/>
        </w:rPr>
        <w:t>吸引各类人才返乡创业。完善乡村金融服务体系和技术转移服务网络，完善农村产权抵押担保权能，推进农村信用体系建设，引导县级土地储备公司和融资平台公司参与相关农村产权流转及抵押。</w:t>
      </w:r>
    </w:p>
    <w:p>
      <w:pPr>
        <w:spacing w:line="600" w:lineRule="exact"/>
        <w:ind w:firstLine="643" w:firstLineChars="200"/>
        <w:jc w:val="left"/>
      </w:pPr>
      <w:r>
        <w:rPr>
          <w:rFonts w:hint="eastAsia" w:ascii="仿宋_GB2312" w:eastAsia="仿宋_GB2312"/>
          <w:b/>
          <w:bCs/>
          <w:kern w:val="0"/>
          <w:sz w:val="32"/>
          <w:szCs w:val="32"/>
        </w:rPr>
        <w:t>推进城乡服务设施一体化布局。</w:t>
      </w:r>
      <w:r>
        <w:rPr>
          <w:rFonts w:hint="eastAsia" w:ascii="仿宋_GB2312" w:eastAsia="仿宋_GB2312"/>
          <w:kern w:val="0"/>
          <w:sz w:val="32"/>
          <w:szCs w:val="32"/>
        </w:rPr>
        <w:t>按照“政府主导、市场参与，适度超前、梯度推进”的原则，建立城乡基础设施统一规划、统一建设、统一管护机制，构建分级分类投入机制。持续实施“四好农村路”建设，大力推进城乡环境卫生一体化、城乡饮水供水一体化、城乡污水处理一体化、城乡供气设施一体化，有力有序推动城镇基础设施向乡村延伸</w:t>
      </w:r>
      <w:r>
        <w:rPr>
          <w:rFonts w:hint="eastAsia" w:ascii="仿宋_GB2312" w:eastAsia="仿宋_GB2312"/>
          <w:sz w:val="32"/>
          <w:szCs w:val="32"/>
        </w:rPr>
        <w:t>、公共服务向乡村覆盖、现代文明向乡村辐射。巩固提升城乡环境卫生一体化建设成果，加快推进实施城乡污水处理一体化工程，对城区污水处理厂设施进行改造，改造城区混接、错接污水管网，完成全县乡（镇）污水处理工程项目建设；推进实施城乡供水一体化项目工程，对城区供水管网进行改造，换装智能水表，全面完成全农村供水工程升级改造项目建设；推进实施城乡供气设施一体化工程，加上实施气化乡村项目建设，</w:t>
      </w:r>
      <w:r>
        <w:rPr>
          <w:rFonts w:ascii="Times New Roman" w:hAnsi="Times New Roman" w:eastAsia="仿宋_GB2312"/>
          <w:sz w:val="32"/>
          <w:szCs w:val="32"/>
        </w:rPr>
        <w:t>到2025年全县天然气覆盖率达到100%。</w:t>
      </w:r>
      <w:r>
        <w:rPr>
          <w:rFonts w:ascii="Times New Roman" w:hAnsi="Times New Roman" w:eastAsia="仿宋_GB2312"/>
          <w:kern w:val="0"/>
          <w:sz w:val="32"/>
          <w:szCs w:val="32"/>
        </w:rPr>
        <w:t>推动公共服务向农村延伸、社会事业向农村覆盖，建立城乡教育资源均衡</w:t>
      </w:r>
      <w:r>
        <w:rPr>
          <w:rFonts w:hint="eastAsia" w:ascii="仿宋_GB2312" w:eastAsia="仿宋_GB2312"/>
          <w:kern w:val="0"/>
          <w:sz w:val="32"/>
          <w:szCs w:val="32"/>
        </w:rPr>
        <w:t>配置机制，健全城乡医疗卫生、公共文化、社会保险、社会救助等基本公共服务体系，推进城乡基本公共服务标准统一、制度并轨。</w:t>
      </w:r>
    </w:p>
    <w:tbl>
      <w:tblPr>
        <w:tblStyle w:val="11"/>
        <w:tblW w:w="8522" w:type="dxa"/>
        <w:jc w:val="center"/>
        <w:tblLayout w:type="fixed"/>
        <w:tblCellMar>
          <w:top w:w="0" w:type="dxa"/>
          <w:left w:w="108" w:type="dxa"/>
          <w:bottom w:w="0" w:type="dxa"/>
          <w:right w:w="108" w:type="dxa"/>
        </w:tblCellMar>
      </w:tblPr>
      <w:tblGrid>
        <w:gridCol w:w="8522"/>
      </w:tblGrid>
      <w:tr>
        <w:tblPrEx>
          <w:tblCellMar>
            <w:top w:w="0" w:type="dxa"/>
            <w:left w:w="108" w:type="dxa"/>
            <w:bottom w:w="0" w:type="dxa"/>
            <w:right w:w="108" w:type="dxa"/>
          </w:tblCellMar>
        </w:tblPrEx>
        <w:trPr>
          <w:trHeight w:val="510" w:hRule="atLeast"/>
          <w:tblHeader/>
          <w:jc w:val="center"/>
        </w:trPr>
        <w:tc>
          <w:tcPr>
            <w:tcW w:w="8522" w:type="dxa"/>
            <w:tcBorders>
              <w:top w:val="single" w:color="auto" w:sz="4" w:space="0"/>
              <w:left w:val="single" w:color="auto" w:sz="4" w:space="0"/>
              <w:bottom w:val="single" w:color="auto" w:sz="4" w:space="0"/>
              <w:right w:val="single" w:color="auto" w:sz="4" w:space="0"/>
            </w:tcBorders>
            <w:shd w:val="clear" w:color="auto" w:fill="339966"/>
            <w:vAlign w:val="center"/>
          </w:tcPr>
          <w:p>
            <w:pPr>
              <w:pStyle w:val="10"/>
              <w:spacing w:line="360" w:lineRule="auto"/>
              <w:rPr>
                <w:rFonts w:ascii="Times New Roman" w:hAnsi="Times New Roman" w:cs="Times New Roman"/>
                <w:sz w:val="26"/>
                <w:szCs w:val="26"/>
              </w:rPr>
            </w:pPr>
            <w:r>
              <w:rPr>
                <w:rFonts w:hint="eastAsia" w:ascii="Times New Roman" w:hAnsi="Times New Roman" w:cs="Times New Roman"/>
                <w:b/>
                <w:bCs/>
                <w:color w:val="FFFFFF" w:themeColor="background1"/>
                <w:sz w:val="26"/>
                <w:szCs w:val="26"/>
                <w14:textFill>
                  <w14:solidFill>
                    <w14:schemeClr w14:val="bg1"/>
                  </w14:solidFill>
                </w14:textFill>
              </w:rPr>
              <w:t>专栏4</w:t>
            </w:r>
            <w:r>
              <w:rPr>
                <w:rFonts w:hint="eastAsia" w:cs="Times New Roman"/>
                <w:b/>
                <w:bCs/>
                <w:color w:val="FFFFFF" w:themeColor="background1"/>
                <w:sz w:val="26"/>
                <w:szCs w:val="26"/>
                <w14:textFill>
                  <w14:solidFill>
                    <w14:schemeClr w14:val="bg1"/>
                  </w14:solidFill>
                </w14:textFill>
              </w:rPr>
              <w:t>：新型城镇化重点建设项目</w:t>
            </w:r>
          </w:p>
        </w:tc>
      </w:tr>
      <w:tr>
        <w:tblPrEx>
          <w:tblCellMar>
            <w:top w:w="0" w:type="dxa"/>
            <w:left w:w="108" w:type="dxa"/>
            <w:bottom w:w="0" w:type="dxa"/>
            <w:right w:w="108" w:type="dxa"/>
          </w:tblCellMar>
        </w:tblPrEx>
        <w:trPr>
          <w:trHeight w:val="529" w:hRule="atLeast"/>
          <w:jc w:val="center"/>
        </w:trPr>
        <w:tc>
          <w:tcPr>
            <w:tcW w:w="8522" w:type="dxa"/>
            <w:tcBorders>
              <w:top w:val="single" w:color="auto" w:sz="4" w:space="0"/>
              <w:left w:val="single" w:color="auto" w:sz="4" w:space="0"/>
              <w:bottom w:val="single" w:color="auto" w:sz="4" w:space="0"/>
              <w:right w:val="single" w:color="auto" w:sz="4" w:space="0"/>
            </w:tcBorders>
            <w:vAlign w:val="center"/>
          </w:tcPr>
          <w:p>
            <w:pPr>
              <w:spacing w:line="300" w:lineRule="auto"/>
              <w:ind w:firstLine="482" w:firstLineChars="200"/>
              <w:jc w:val="left"/>
              <w:rPr>
                <w:rFonts w:ascii="Times New Roman" w:hAnsi="Times New Roman"/>
                <w:bCs/>
                <w:sz w:val="24"/>
              </w:rPr>
            </w:pPr>
            <w:r>
              <w:rPr>
                <w:rFonts w:hint="eastAsia" w:ascii="Times New Roman" w:hAnsi="Times New Roman"/>
                <w:b/>
                <w:bCs/>
                <w:sz w:val="24"/>
              </w:rPr>
              <w:t>道路交通设施。</w:t>
            </w:r>
            <w:r>
              <w:rPr>
                <w:rFonts w:hint="eastAsia" w:ascii="Times New Roman" w:hAnsi="Times New Roman"/>
                <w:bCs/>
                <w:sz w:val="24"/>
              </w:rPr>
              <w:t>重点推进华泰路贾鲁河大桥附属道路、五路建设项目、中州大道南延工程建设项目、西华县停车场建设项目、西华城区快慢车道维修工程、西华城区人行道改造工程、中州大道北延工程项目、北华路建设项目（北环路）、南环西环路改造工程、安罗高速西华北站到中州大道连接线建设项目西华县段等项目建设。</w:t>
            </w:r>
          </w:p>
          <w:p>
            <w:pPr>
              <w:spacing w:line="300" w:lineRule="auto"/>
              <w:ind w:firstLine="482" w:firstLineChars="200"/>
              <w:jc w:val="left"/>
              <w:rPr>
                <w:rFonts w:ascii="Times New Roman" w:hAnsi="Times New Roman"/>
                <w:bCs/>
                <w:sz w:val="24"/>
              </w:rPr>
            </w:pPr>
            <w:r>
              <w:rPr>
                <w:rFonts w:hint="eastAsia" w:ascii="Times New Roman" w:hAnsi="Times New Roman"/>
                <w:b/>
                <w:bCs/>
                <w:sz w:val="24"/>
              </w:rPr>
              <w:t>基础设施建设。</w:t>
            </w:r>
            <w:r>
              <w:rPr>
                <w:rFonts w:hint="eastAsia" w:ascii="Times New Roman" w:hAnsi="Times New Roman"/>
                <w:bCs/>
                <w:sz w:val="24"/>
              </w:rPr>
              <w:t>重点推进城区垃圾中转站及处理厂封顶建设项目、西华县南水北调供水工程、西华县乡镇天然气建设项目、特色商业区道路及管网等基础设施建设基目、西华县城镇充电桩建设项目、、海绵城市打造工程、西华县地热集中供暖建设项目、西华县泛能站建设项目、西华县浅层地热能及污水热能利用设施建设项目、西华县燃气三联供系统建设项目、西华县电力配套设施及管线建设项目等项目建设。</w:t>
            </w:r>
          </w:p>
          <w:p>
            <w:pPr>
              <w:spacing w:line="300" w:lineRule="auto"/>
              <w:ind w:firstLine="482" w:firstLineChars="200"/>
              <w:jc w:val="left"/>
              <w:rPr>
                <w:rFonts w:ascii="Times New Roman" w:hAnsi="Times New Roman"/>
                <w:bCs/>
                <w:sz w:val="24"/>
              </w:rPr>
            </w:pPr>
            <w:r>
              <w:rPr>
                <w:rFonts w:hint="eastAsia" w:ascii="Times New Roman" w:hAnsi="Times New Roman"/>
                <w:b/>
                <w:bCs/>
                <w:sz w:val="24"/>
              </w:rPr>
              <w:t>公共服务设施建设。</w:t>
            </w:r>
            <w:r>
              <w:rPr>
                <w:rFonts w:hint="eastAsia" w:ascii="Times New Roman" w:hAnsi="Times New Roman"/>
                <w:bCs/>
                <w:sz w:val="24"/>
              </w:rPr>
              <w:t>重点推进西华•美好生活家园、海绵城市建设系统产品生产与研发中心项目、西华县科技展览青少年活动中心、综合档案馆等项目建设等项目建设。</w:t>
            </w:r>
          </w:p>
          <w:p>
            <w:pPr>
              <w:spacing w:line="300" w:lineRule="auto"/>
              <w:ind w:firstLine="482" w:firstLineChars="200"/>
              <w:jc w:val="left"/>
              <w:rPr>
                <w:rFonts w:ascii="Times New Roman" w:hAnsi="Times New Roman"/>
                <w:bCs/>
                <w:sz w:val="24"/>
              </w:rPr>
            </w:pPr>
            <w:r>
              <w:rPr>
                <w:rFonts w:hint="eastAsia" w:ascii="Times New Roman" w:hAnsi="Times New Roman"/>
                <w:b/>
                <w:bCs/>
                <w:sz w:val="24"/>
              </w:rPr>
              <w:t>老旧小区改造及安置房建设。</w:t>
            </w:r>
            <w:r>
              <w:rPr>
                <w:rFonts w:hint="eastAsia" w:ascii="Times New Roman" w:hAnsi="Times New Roman"/>
                <w:bCs/>
                <w:sz w:val="24"/>
              </w:rPr>
              <w:t>重点推进华泰棚户区改造项目、牛营棚户区改造项目、周楼棚户区改造项目、西华县保障性住房配套基础设施建设项目、西湖棚户区建设项目、西华县老旧小区改造等项目建设。</w:t>
            </w:r>
          </w:p>
          <w:p>
            <w:pPr>
              <w:spacing w:line="300" w:lineRule="auto"/>
              <w:ind w:firstLine="482" w:firstLineChars="200"/>
              <w:jc w:val="left"/>
              <w:rPr>
                <w:rFonts w:ascii="Times New Roman" w:hAnsi="Times New Roman"/>
                <w:bCs/>
                <w:sz w:val="24"/>
              </w:rPr>
            </w:pPr>
            <w:r>
              <w:rPr>
                <w:rFonts w:hint="eastAsia" w:ascii="Times New Roman" w:hAnsi="Times New Roman"/>
                <w:b/>
                <w:bCs/>
                <w:sz w:val="24"/>
              </w:rPr>
              <w:t>生态修复。</w:t>
            </w:r>
            <w:r>
              <w:rPr>
                <w:rFonts w:hint="eastAsia" w:ascii="Times New Roman" w:hAnsi="Times New Roman"/>
                <w:bCs/>
                <w:sz w:val="24"/>
              </w:rPr>
              <w:t>重点推进女娲湖景区建设项目、南水北调供水工程等项目建设。</w:t>
            </w:r>
          </w:p>
          <w:p>
            <w:pPr>
              <w:spacing w:line="300" w:lineRule="auto"/>
              <w:ind w:firstLine="482" w:firstLineChars="200"/>
              <w:jc w:val="left"/>
              <w:rPr>
                <w:rFonts w:ascii="Times New Roman" w:hAnsi="Times New Roman"/>
                <w:sz w:val="24"/>
              </w:rPr>
            </w:pPr>
            <w:r>
              <w:rPr>
                <w:rFonts w:hint="eastAsia" w:ascii="Times New Roman" w:hAnsi="Times New Roman"/>
                <w:b/>
                <w:bCs/>
                <w:sz w:val="24"/>
              </w:rPr>
              <w:t>特色城镇。</w:t>
            </w:r>
            <w:r>
              <w:rPr>
                <w:rFonts w:hint="eastAsia" w:ascii="Times New Roman" w:hAnsi="Times New Roman"/>
                <w:bCs/>
                <w:sz w:val="24"/>
              </w:rPr>
              <w:t>重点推进聂堆镇特色小镇建设项目、逍遥镇特色小镇建设项目等项目建设。</w:t>
            </w:r>
          </w:p>
        </w:tc>
      </w:tr>
    </w:tbl>
    <w:p>
      <w:pPr>
        <w:pStyle w:val="2"/>
        <w:spacing w:before="240" w:after="240" w:line="600" w:lineRule="exact"/>
        <w:ind w:left="-424" w:leftChars="-202" w:right="-1050" w:rightChars="-500"/>
        <w:jc w:val="center"/>
        <w:rPr>
          <w:rFonts w:ascii="黑体" w:hAnsi="黑体" w:eastAsia="黑体"/>
          <w:b w:val="0"/>
          <w:sz w:val="32"/>
          <w:szCs w:val="32"/>
        </w:rPr>
      </w:pPr>
      <w:bookmarkStart w:id="66" w:name="_Toc65514292"/>
      <w:r>
        <w:rPr>
          <w:rFonts w:hint="eastAsia" w:ascii="黑体" w:hAnsi="黑体" w:eastAsia="黑体"/>
          <w:b w:val="0"/>
          <w:sz w:val="32"/>
          <w:szCs w:val="32"/>
        </w:rPr>
        <w:t>第九章 促进文化繁荣发展，凝聚“四个西华”高质量发展精神力量</w:t>
      </w:r>
      <w:bookmarkEnd w:id="66"/>
    </w:p>
    <w:p>
      <w:pPr>
        <w:spacing w:line="600" w:lineRule="exact"/>
        <w:ind w:firstLine="640" w:firstLineChars="200"/>
        <w:rPr>
          <w:rFonts w:ascii="仿宋_GB2312" w:eastAsia="仿宋_GB2312"/>
          <w:sz w:val="32"/>
          <w:szCs w:val="32"/>
        </w:rPr>
      </w:pPr>
      <w:r>
        <w:rPr>
          <w:rFonts w:hint="eastAsia" w:ascii="仿宋_GB2312" w:eastAsia="仿宋_GB2312"/>
          <w:sz w:val="32"/>
          <w:szCs w:val="32"/>
        </w:rPr>
        <w:t>坚持以社会主义核心价值观为引领，加强社会主义精神文明建设，展现新时代精神风貌、文明风尚，推动优秀传统文化创造性转化、创新性发展，以盘古女娲创世文化为引领，推动文化事业发展高质量。</w:t>
      </w:r>
    </w:p>
    <w:p>
      <w:pPr>
        <w:pStyle w:val="3"/>
        <w:spacing w:before="120" w:after="120" w:line="600" w:lineRule="exact"/>
        <w:jc w:val="center"/>
        <w:rPr>
          <w:rFonts w:ascii="仿宋_GB2312" w:eastAsia="仿宋_GB2312"/>
        </w:rPr>
      </w:pPr>
      <w:bookmarkStart w:id="67" w:name="_Toc65514293"/>
      <w:r>
        <w:rPr>
          <w:rFonts w:hint="eastAsia" w:ascii="仿宋_GB2312" w:eastAsia="仿宋_GB2312"/>
        </w:rPr>
        <w:t>第一节 提升社会文明程度</w:t>
      </w:r>
      <w:bookmarkEnd w:id="67"/>
    </w:p>
    <w:p>
      <w:pPr>
        <w:spacing w:line="600" w:lineRule="exact"/>
        <w:ind w:firstLine="640" w:firstLineChars="200"/>
        <w:jc w:val="left"/>
        <w:rPr>
          <w:rFonts w:ascii="仿宋_GB2312" w:eastAsia="仿宋_GB2312"/>
          <w:kern w:val="0"/>
          <w:sz w:val="32"/>
          <w:szCs w:val="32"/>
        </w:rPr>
      </w:pPr>
      <w:r>
        <w:rPr>
          <w:rFonts w:hint="eastAsia" w:ascii="仿宋_GB2312" w:eastAsia="仿宋_GB2312"/>
          <w:kern w:val="0"/>
          <w:sz w:val="32"/>
          <w:szCs w:val="32"/>
        </w:rPr>
        <w:t>坚持不懈用习近平新时代中国特色社会主义思想武装干部群众，弘扬主旋律和社会正气，以社会主义核心价值观为引领，以融媒体中心建设为抓手，持续推进精神文明建设，不断提高社会文明程度。</w:t>
      </w:r>
    </w:p>
    <w:p>
      <w:pPr>
        <w:spacing w:line="600" w:lineRule="exact"/>
        <w:ind w:firstLine="643" w:firstLineChars="200"/>
        <w:jc w:val="left"/>
        <w:rPr>
          <w:rFonts w:ascii="仿宋_GB2312" w:eastAsia="仿宋_GB2312"/>
          <w:kern w:val="0"/>
          <w:sz w:val="32"/>
          <w:szCs w:val="32"/>
        </w:rPr>
      </w:pPr>
      <w:r>
        <w:rPr>
          <w:rFonts w:hint="eastAsia" w:ascii="楷体_GB2312" w:eastAsia="楷体_GB2312" w:cs="仿宋_GB2312"/>
          <w:b/>
          <w:bCs/>
          <w:kern w:val="0"/>
          <w:sz w:val="32"/>
          <w:szCs w:val="32"/>
        </w:rPr>
        <w:t>巩固壮大主流思想舆论。</w:t>
      </w:r>
      <w:r>
        <w:rPr>
          <w:rFonts w:hint="eastAsia" w:ascii="仿宋_GB2312" w:eastAsia="仿宋_GB2312"/>
          <w:kern w:val="0"/>
          <w:sz w:val="32"/>
          <w:szCs w:val="32"/>
        </w:rPr>
        <w:t>加强理论武装，深入开展习近平新时代中国特色社会主义思想学习教育，推动学习贯彻习近平新时代中国特色社会主义思想走深走心走实。推动理想信念教育常态化制度化，守好学校意识形态阵地，完善领导干部讲思想政治课制度，建立全员、全程、全方位育人体制机制。深入开展“四史”教育，加强爱国主义、集体主义、社会主义教育。加快推进县融媒体中心建设，建立全媒体传播体系，构建网上网下一体、内宣外宣联动的主流舆论格局，展示西华绚丽多彩形象，讲好“西华故事”。</w:t>
      </w:r>
    </w:p>
    <w:p>
      <w:pPr>
        <w:spacing w:line="600" w:lineRule="exact"/>
        <w:ind w:firstLine="643" w:firstLineChars="200"/>
        <w:jc w:val="left"/>
        <w:rPr>
          <w:rFonts w:ascii="仿宋_GB2312" w:eastAsia="仿宋_GB2312"/>
          <w:kern w:val="0"/>
          <w:sz w:val="32"/>
          <w:szCs w:val="32"/>
        </w:rPr>
      </w:pPr>
      <w:r>
        <w:rPr>
          <w:rFonts w:hint="eastAsia" w:ascii="楷体_GB2312" w:eastAsia="楷体_GB2312" w:cs="仿宋_GB2312"/>
          <w:b/>
          <w:bCs/>
          <w:kern w:val="0"/>
          <w:sz w:val="32"/>
          <w:szCs w:val="32"/>
        </w:rPr>
        <w:t>深入推进新时代文明实践中心（所、站）建设。</w:t>
      </w:r>
      <w:r>
        <w:rPr>
          <w:rFonts w:hint="eastAsia" w:ascii="仿宋_GB2312" w:eastAsia="仿宋_GB2312"/>
          <w:kern w:val="0"/>
          <w:sz w:val="32"/>
          <w:szCs w:val="32"/>
        </w:rPr>
        <w:t>着眼凝聚群众、引导群众，以文化人、成风化俗，调动各方力量，整合各种资源，创新方式方法，加快推进新时代文明实践中心建设。坚持示范先行、逐步推进、全面覆盖的方式，县建设新时代文明实践中心，乡镇办、行政村（社区）分别组建所、站，打造兼具思想政治引领、传播党的声音、传承优秀文化、培育文明新风、提供惠民服务等多种功能的综合性宣传教育阵地，动员和激励广大人民群众知行合一、自觉践行，积极投身社会主义现代化建设。</w:t>
      </w:r>
    </w:p>
    <w:p>
      <w:pPr>
        <w:spacing w:line="600" w:lineRule="exact"/>
        <w:ind w:firstLine="643" w:firstLineChars="200"/>
        <w:jc w:val="left"/>
        <w:rPr>
          <w:rFonts w:ascii="仿宋_GB2312" w:eastAsia="仿宋_GB2312"/>
          <w:kern w:val="0"/>
          <w:sz w:val="32"/>
          <w:szCs w:val="32"/>
        </w:rPr>
      </w:pPr>
      <w:r>
        <w:rPr>
          <w:rFonts w:hint="eastAsia" w:ascii="楷体_GB2312" w:eastAsia="楷体_GB2312" w:cs="仿宋_GB2312"/>
          <w:b/>
          <w:bCs/>
          <w:kern w:val="0"/>
          <w:sz w:val="32"/>
          <w:szCs w:val="32"/>
        </w:rPr>
        <w:t>全面提升公众文明素养。</w:t>
      </w:r>
      <w:r>
        <w:rPr>
          <w:rFonts w:hint="eastAsia" w:ascii="仿宋_GB2312" w:eastAsia="仿宋_GB2312"/>
          <w:kern w:val="0"/>
          <w:sz w:val="32"/>
          <w:szCs w:val="32"/>
        </w:rPr>
        <w:t>完善文明城市建设长效机制，巩固文明创建成果。加强社会公德、职业道德、家庭美德、个人品德建设，引导人民增强道德判断力和道德荣誉感，营造知荣辱、讲正气、作奉献、促和谐的良好风尚和“做文明人、办文明事”的浓厚氛围。深入开展文明单位、文明村镇创建和“三好两户”“最美西华人”评选表彰工作，弘扬中华优秀传统文化，传承传统美德。完善舆论监督制度，加强网络文明建设，全面提高网络治理能力，营造清朗网络空间。弘扬诚信文化，推进诚信建设。完善志愿服务体系，实施服务水平提质工程，广泛开展志愿服务关爱行动。健全文明乡风管理机制和工作制度，积极倡导婚事新办、丧事简办、孝亲敬老，持续推进殡葬改革和移风易俗。</w:t>
      </w:r>
    </w:p>
    <w:p>
      <w:pPr>
        <w:pStyle w:val="3"/>
        <w:spacing w:before="120" w:after="120" w:line="600" w:lineRule="exact"/>
        <w:jc w:val="center"/>
        <w:rPr>
          <w:rFonts w:ascii="Times New Roman" w:hAnsi="Times New Roman" w:eastAsia="仿宋_GB2312"/>
        </w:rPr>
      </w:pPr>
      <w:bookmarkStart w:id="68" w:name="_Toc65514294"/>
      <w:r>
        <w:rPr>
          <w:rFonts w:hint="eastAsia" w:ascii="仿宋_GB2312" w:hAnsi="Times New Roman" w:eastAsia="仿宋_GB2312"/>
        </w:rPr>
        <w:t>第二节 构筑新时代西华文化高地</w:t>
      </w:r>
      <w:bookmarkEnd w:id="68"/>
    </w:p>
    <w:p>
      <w:pPr>
        <w:pStyle w:val="15"/>
        <w:spacing w:line="600" w:lineRule="exact"/>
        <w:ind w:firstLine="640" w:firstLineChars="200"/>
        <w:jc w:val="both"/>
        <w:rPr>
          <w:rFonts w:ascii="仿宋_GB2312" w:hAnsi="Times New Roman" w:eastAsia="仿宋_GB2312" w:cs="Calibri"/>
          <w:color w:val="auto"/>
          <w:sz w:val="32"/>
          <w:szCs w:val="32"/>
        </w:rPr>
      </w:pPr>
      <w:r>
        <w:rPr>
          <w:rFonts w:hint="eastAsia" w:ascii="仿宋_GB2312" w:hAnsi="Times New Roman" w:eastAsia="仿宋_GB2312" w:cs="Calibri"/>
          <w:color w:val="auto"/>
          <w:sz w:val="32"/>
          <w:szCs w:val="32"/>
        </w:rPr>
        <w:t>围绕着盘古女娲创世文化、鸿沟文化、杂技文化、红色文化、美食文化等诸多文化遗产，加大发掘、保护、传承、利用力度，彰显传统文化资源的精神内核和时代价值，</w:t>
      </w:r>
      <w:r>
        <w:rPr>
          <w:rFonts w:ascii="Times New Roman" w:hAnsi="Times New Roman" w:eastAsia="仿宋_GB2312"/>
          <w:color w:val="auto"/>
          <w:spacing w:val="6"/>
          <w:sz w:val="32"/>
          <w:szCs w:val="32"/>
        </w:rPr>
        <w:t>打造展示西华文化的窗口。</w:t>
      </w:r>
    </w:p>
    <w:p>
      <w:pPr>
        <w:pStyle w:val="15"/>
        <w:spacing w:line="600" w:lineRule="exact"/>
        <w:ind w:firstLine="643" w:firstLineChars="200"/>
        <w:jc w:val="both"/>
        <w:rPr>
          <w:rFonts w:ascii="仿宋_GB2312" w:hAnsi="Times New Roman" w:eastAsia="仿宋_GB2312" w:cs="Calibri"/>
          <w:bCs/>
          <w:color w:val="auto"/>
          <w:sz w:val="32"/>
          <w:szCs w:val="32"/>
        </w:rPr>
      </w:pPr>
      <w:r>
        <w:rPr>
          <w:rFonts w:hint="eastAsia" w:ascii="楷体_GB2312" w:hAnsi="Times New Roman" w:eastAsia="楷体_GB2312" w:cs="Calibri"/>
          <w:b/>
          <w:bCs/>
          <w:color w:val="auto"/>
          <w:sz w:val="32"/>
          <w:szCs w:val="32"/>
        </w:rPr>
        <w:t>做强创世文化。</w:t>
      </w:r>
      <w:r>
        <w:rPr>
          <w:rFonts w:hint="eastAsia" w:ascii="仿宋_GB2312" w:hAnsi="Times New Roman" w:eastAsia="仿宋_GB2312" w:cs="Calibri"/>
          <w:bCs/>
          <w:color w:val="auto"/>
          <w:sz w:val="32"/>
          <w:szCs w:val="32"/>
        </w:rPr>
        <w:t>深</w:t>
      </w:r>
      <w:r>
        <w:rPr>
          <w:rFonts w:hint="eastAsia" w:ascii="仿宋_GB2312" w:hAnsi="Times New Roman" w:eastAsia="仿宋_GB2312"/>
          <w:color w:val="auto"/>
          <w:spacing w:val="6"/>
          <w:sz w:val="32"/>
          <w:szCs w:val="32"/>
        </w:rPr>
        <w:t>入研究阐释“盘古女娲创世文化”文化蕴含的优秀文化基因思想精髓、道德追求、人文精神。</w:t>
      </w:r>
      <w:r>
        <w:rPr>
          <w:rFonts w:hint="eastAsia" w:ascii="仿宋_GB2312" w:hAnsi="Times New Roman" w:eastAsia="仿宋_GB2312" w:cs="Calibri"/>
          <w:bCs/>
          <w:color w:val="auto"/>
          <w:sz w:val="32"/>
          <w:szCs w:val="32"/>
        </w:rPr>
        <w:t>加快推进盘古女娲创世文化园的规划、设计与建设，全面深化盘古女娲创世文化的研究、保护与传承，让全世界沿着文化的桥梁走向西华，让西华映着文化的光辉走向世界。</w:t>
      </w:r>
    </w:p>
    <w:p>
      <w:pPr>
        <w:pStyle w:val="15"/>
        <w:spacing w:line="600" w:lineRule="exact"/>
        <w:ind w:firstLine="643" w:firstLineChars="200"/>
        <w:jc w:val="both"/>
        <w:rPr>
          <w:rFonts w:ascii="仿宋_GB2312" w:hAnsi="Times New Roman" w:eastAsia="仿宋_GB2312" w:cs="Calibri"/>
          <w:color w:val="auto"/>
          <w:sz w:val="32"/>
          <w:szCs w:val="32"/>
        </w:rPr>
      </w:pPr>
      <w:r>
        <w:rPr>
          <w:rFonts w:hint="eastAsia" w:ascii="楷体_GB2312" w:hAnsi="Times New Roman" w:eastAsia="楷体_GB2312" w:cs="Calibri"/>
          <w:b/>
          <w:bCs/>
          <w:color w:val="auto"/>
          <w:sz w:val="32"/>
          <w:szCs w:val="32"/>
        </w:rPr>
        <w:t>做好红色文化。</w:t>
      </w:r>
      <w:r>
        <w:rPr>
          <w:rFonts w:hint="eastAsia" w:ascii="仿宋_GB2312" w:hAnsi="Times New Roman" w:eastAsia="仿宋_GB2312" w:cs="Calibri"/>
          <w:bCs/>
          <w:color w:val="auto"/>
          <w:sz w:val="32"/>
          <w:szCs w:val="32"/>
        </w:rPr>
        <w:t>围绕全国革命文物保护利用片区建设，</w:t>
      </w:r>
      <w:r>
        <w:rPr>
          <w:rFonts w:hint="eastAsia" w:ascii="仿宋_GB2312" w:hAnsi="Times New Roman" w:eastAsia="仿宋_GB2312" w:cs="Calibri"/>
          <w:color w:val="auto"/>
          <w:sz w:val="32"/>
          <w:szCs w:val="32"/>
        </w:rPr>
        <w:t>大力传承和弘扬红色文化，加强红色文化资源的保护和利用，</w:t>
      </w:r>
      <w:r>
        <w:rPr>
          <w:rFonts w:hint="eastAsia" w:ascii="仿宋_GB2312" w:eastAsia="仿宋_GB2312"/>
          <w:color w:val="auto"/>
          <w:sz w:val="32"/>
          <w:szCs w:val="32"/>
        </w:rPr>
        <w:t>建成一支高素质专业化的红色基因库管理守护队伍和红色基因传承人队伍，提升爱国主义教育示范基地建设水平。</w:t>
      </w:r>
      <w:r>
        <w:rPr>
          <w:rFonts w:ascii="Times New Roman" w:hAnsi="Times New Roman" w:eastAsia="仿宋_GB2312"/>
          <w:color w:val="auto"/>
          <w:spacing w:val="6"/>
          <w:sz w:val="32"/>
          <w:szCs w:val="32"/>
        </w:rPr>
        <w:t>加强杜岗会师纪念馆、</w:t>
      </w:r>
      <w:r>
        <w:rPr>
          <w:rFonts w:hint="eastAsia" w:ascii="Times New Roman" w:hAnsi="Times New Roman" w:eastAsia="仿宋_GB2312"/>
          <w:color w:val="auto"/>
          <w:spacing w:val="6"/>
          <w:sz w:val="32"/>
          <w:szCs w:val="32"/>
        </w:rPr>
        <w:t>“</w:t>
      </w:r>
      <w:r>
        <w:rPr>
          <w:rFonts w:ascii="Times New Roman" w:hAnsi="Times New Roman" w:eastAsia="仿宋_GB2312"/>
          <w:color w:val="auto"/>
          <w:spacing w:val="6"/>
          <w:sz w:val="32"/>
          <w:szCs w:val="32"/>
        </w:rPr>
        <w:t>五七</w:t>
      </w:r>
      <w:r>
        <w:rPr>
          <w:rFonts w:hint="eastAsia" w:ascii="Times New Roman" w:hAnsi="Times New Roman" w:eastAsia="仿宋_GB2312"/>
          <w:color w:val="auto"/>
          <w:spacing w:val="6"/>
          <w:sz w:val="32"/>
          <w:szCs w:val="32"/>
        </w:rPr>
        <w:t>”</w:t>
      </w:r>
      <w:r>
        <w:rPr>
          <w:rFonts w:ascii="Times New Roman" w:hAnsi="Times New Roman" w:eastAsia="仿宋_GB2312"/>
          <w:color w:val="auto"/>
          <w:spacing w:val="6"/>
          <w:sz w:val="32"/>
          <w:szCs w:val="32"/>
        </w:rPr>
        <w:t>干校旧址、豫东特委旧址、三岗革命根据地、周口第一个农村党支部（奉母岗张村党支部）等红色文化资源的保护利用，深入挖掘研究黄泛区农场中央党校五七干校和我县国家计委经委五七干校、国家农业部五七干校这一段特殊的革命历史文化，发扬西华人民坚韧不拔、自主创新、自力更生的革命精神，激励全县人民奋力走好新征程。</w:t>
      </w:r>
    </w:p>
    <w:p>
      <w:pPr>
        <w:pStyle w:val="15"/>
        <w:spacing w:line="600" w:lineRule="exact"/>
        <w:ind w:firstLine="643" w:firstLineChars="200"/>
        <w:jc w:val="both"/>
        <w:rPr>
          <w:rFonts w:ascii="仿宋_GB2312" w:hAnsi="Times New Roman" w:eastAsia="仿宋_GB2312" w:cs="Calibri"/>
          <w:color w:val="auto"/>
          <w:sz w:val="32"/>
          <w:szCs w:val="32"/>
        </w:rPr>
      </w:pPr>
      <w:r>
        <w:rPr>
          <w:rFonts w:hint="eastAsia" w:ascii="楷体_GB2312" w:hAnsi="Times New Roman" w:eastAsia="楷体_GB2312" w:cs="Calibri"/>
          <w:b/>
          <w:bCs/>
          <w:color w:val="auto"/>
          <w:sz w:val="32"/>
          <w:szCs w:val="32"/>
        </w:rPr>
        <w:t>做优胡辣汤美食文化。</w:t>
      </w:r>
      <w:r>
        <w:rPr>
          <w:rFonts w:hint="eastAsia" w:ascii="Times New Roman" w:hAnsi="Times New Roman" w:eastAsia="仿宋_GB2312"/>
          <w:color w:val="auto"/>
          <w:spacing w:val="6"/>
          <w:sz w:val="32"/>
          <w:szCs w:val="32"/>
        </w:rPr>
        <w:t>充分利用好胡辣汤这块金字招牌，</w:t>
      </w:r>
      <w:r>
        <w:rPr>
          <w:rFonts w:hint="eastAsia" w:ascii="仿宋_GB2312" w:eastAsia="仿宋_GB2312"/>
          <w:color w:val="auto"/>
          <w:sz w:val="32"/>
          <w:szCs w:val="32"/>
        </w:rPr>
        <w:t>打造千亿级胡辣汤产业，推进实施“九个一”工程，扶持一批胡辣汤关联企业，装修一批富有西华特色的形象店，打造一批驰名（著名）商标，培育一批专业化从业人员，每两年举办一届胡辣汤烹饪大赛，创建一个穿越古今的胡辣汤美食文化博物馆，引进一个冷链物流公司，设计一套专用带汤器具，研制一系列胡辣汤专用面粉，强力推动胡辣汤产业向特色种植养殖、高端汤料和方便食品加工、非物质文化遗产展演、个性化定制餐饮服务、饮食文化和特色旅游多方位融合发展，“让胡辣汤走向世界，让世界爱上胡辣汤”。</w:t>
      </w:r>
    </w:p>
    <w:p>
      <w:pPr>
        <w:pStyle w:val="15"/>
        <w:spacing w:line="600" w:lineRule="exact"/>
        <w:ind w:firstLine="643" w:firstLineChars="200"/>
        <w:jc w:val="both"/>
        <w:rPr>
          <w:rFonts w:ascii="仿宋_GB2312" w:eastAsia="仿宋_GB2312"/>
          <w:color w:val="auto"/>
          <w:sz w:val="32"/>
          <w:szCs w:val="32"/>
        </w:rPr>
      </w:pPr>
      <w:r>
        <w:rPr>
          <w:rFonts w:hint="eastAsia" w:ascii="楷体_GB2312" w:eastAsia="楷体_GB2312"/>
          <w:b/>
          <w:color w:val="auto"/>
          <w:sz w:val="32"/>
          <w:szCs w:val="32"/>
        </w:rPr>
        <w:t>做大曲艺文化。</w:t>
      </w:r>
      <w:r>
        <w:rPr>
          <w:rFonts w:hint="eastAsia" w:ascii="仿宋_GB2312" w:hAnsi="仿宋_GB2312" w:eastAsia="仿宋_GB2312" w:cs="仿宋_GB2312"/>
          <w:color w:val="auto"/>
          <w:sz w:val="32"/>
          <w:szCs w:val="32"/>
        </w:rPr>
        <w:t>充分利用已经建成的全省县级规模最大功能最完善的体育馆、群艺馆，争取国家级杂技赛事在西华举行，打造与“河北吴桥”齐名的河南杂技品牌。加快推进杂技园区建设。</w:t>
      </w:r>
    </w:p>
    <w:p>
      <w:pPr>
        <w:pStyle w:val="15"/>
        <w:spacing w:line="600" w:lineRule="exact"/>
        <w:ind w:firstLine="643" w:firstLineChars="200"/>
        <w:jc w:val="both"/>
        <w:rPr>
          <w:rFonts w:ascii="仿宋_GB2312" w:eastAsia="仿宋_GB2312"/>
          <w:color w:val="auto"/>
          <w:sz w:val="32"/>
          <w:szCs w:val="32"/>
        </w:rPr>
      </w:pPr>
      <w:r>
        <w:rPr>
          <w:rFonts w:hint="eastAsia" w:ascii="楷体_GB2312" w:eastAsia="楷体_GB2312"/>
          <w:b/>
          <w:color w:val="auto"/>
          <w:sz w:val="32"/>
          <w:szCs w:val="32"/>
        </w:rPr>
        <w:t>做足观光农业文化。</w:t>
      </w:r>
      <w:r>
        <w:rPr>
          <w:rFonts w:hint="eastAsia" w:ascii="仿宋_GB2312" w:eastAsia="仿宋_GB2312"/>
          <w:color w:val="auto"/>
          <w:sz w:val="32"/>
          <w:szCs w:val="32"/>
        </w:rPr>
        <w:t>抓住黄桥万亩桃园获批全国农村产业融合发展示范园的机遇，持续发展“桃”产业，做好“桃”文章，办好桃园相亲大会、戏曲摄影书法诗词联赛、桃园快闪和网上直播等系列活动，全面推动一二三产业融合发展。</w:t>
      </w:r>
    </w:p>
    <w:p>
      <w:pPr>
        <w:pStyle w:val="15"/>
        <w:spacing w:line="600" w:lineRule="exact"/>
        <w:ind w:firstLine="643" w:firstLineChars="200"/>
        <w:jc w:val="both"/>
        <w:rPr>
          <w:rFonts w:ascii="仿宋_GB2312" w:eastAsia="仿宋_GB2312"/>
          <w:color w:val="auto"/>
          <w:sz w:val="32"/>
          <w:szCs w:val="32"/>
        </w:rPr>
      </w:pPr>
      <w:r>
        <w:rPr>
          <w:rFonts w:hint="eastAsia" w:ascii="楷体_GB2312" w:eastAsia="楷体_GB2312"/>
          <w:b/>
          <w:color w:val="auto"/>
          <w:sz w:val="32"/>
          <w:szCs w:val="32"/>
        </w:rPr>
        <w:t>做实鸿沟文化。</w:t>
      </w:r>
      <w:r>
        <w:rPr>
          <w:rFonts w:hint="eastAsia" w:ascii="仿宋_GB2312" w:eastAsia="仿宋_GB2312"/>
          <w:color w:val="auto"/>
          <w:sz w:val="32"/>
          <w:szCs w:val="32"/>
        </w:rPr>
        <w:t>围绕“鸿沟”（贾鲁河）这个著名的文化IP做文章，依托贾鲁河生态滨河公园和润天湖滨湖生态园，在沿河两岸打造生态景观时光走廊，引入“时光博物馆”理念，融入盘古女娲创世文化、武丁文化、箕子文化、漕运文化、红色文化、城市文化、农耕民俗以及孝文化等元素，把西华的过去、现在和将来连在一起，把西华的“时光博物馆”沿着贾鲁河与周口森林公园、动物园连在一起，把古今文化元素共同呈现于同一空间，让千万周口人沿着贾鲁河穿越到金戈铁马的楚汉争霸时代。</w:t>
      </w:r>
    </w:p>
    <w:p>
      <w:pPr>
        <w:pStyle w:val="3"/>
        <w:spacing w:before="120" w:after="120" w:line="600" w:lineRule="exact"/>
        <w:jc w:val="center"/>
        <w:rPr>
          <w:rFonts w:ascii="仿宋_GB2312" w:hAnsi="Times New Roman" w:eastAsia="仿宋_GB2312"/>
        </w:rPr>
      </w:pPr>
      <w:bookmarkStart w:id="69" w:name="_Toc65514295"/>
      <w:r>
        <w:rPr>
          <w:rFonts w:hint="eastAsia" w:ascii="仿宋_GB2312" w:hAnsi="Times New Roman" w:eastAsia="仿宋_GB2312"/>
        </w:rPr>
        <w:t>第三节 提升公共文化服务水平</w:t>
      </w:r>
      <w:bookmarkEnd w:id="69"/>
    </w:p>
    <w:p>
      <w:pPr>
        <w:spacing w:line="600" w:lineRule="exact"/>
        <w:ind w:firstLine="640" w:firstLineChars="200"/>
        <w:jc w:val="left"/>
        <w:rPr>
          <w:rFonts w:ascii="Times New Roman" w:hAnsi="Times New Roman" w:eastAsia="仿宋_GB2312"/>
          <w:kern w:val="0"/>
          <w:sz w:val="32"/>
          <w:szCs w:val="32"/>
        </w:rPr>
      </w:pPr>
      <w:r>
        <w:rPr>
          <w:rFonts w:hint="eastAsia" w:ascii="仿宋_GB2312" w:hAnsi="Times New Roman" w:eastAsia="仿宋_GB2312"/>
          <w:kern w:val="0"/>
          <w:sz w:val="32"/>
          <w:szCs w:val="32"/>
        </w:rPr>
        <w:t>坚持公共文化服务公益性导向，深入推进文化体制改革，统筹推进公共文化服务均衡发展，积极构建覆盖城乡、便捷高效、均衡发展的现代公共文化服务体系，更好满足人民群众高品质文化需求。</w:t>
      </w:r>
    </w:p>
    <w:p>
      <w:pPr>
        <w:spacing w:line="600" w:lineRule="exact"/>
        <w:ind w:firstLine="643" w:firstLineChars="200"/>
        <w:rPr>
          <w:rFonts w:ascii="Times New Roman" w:hAnsi="Times New Roman" w:eastAsia="仿宋_GB2312"/>
          <w:kern w:val="0"/>
          <w:sz w:val="32"/>
          <w:szCs w:val="32"/>
        </w:rPr>
      </w:pPr>
      <w:r>
        <w:rPr>
          <w:rFonts w:hint="eastAsia" w:ascii="楷体_GB2312" w:hAnsi="Times New Roman" w:eastAsia="楷体_GB2312"/>
          <w:b/>
          <w:bCs/>
          <w:sz w:val="32"/>
          <w:szCs w:val="32"/>
        </w:rPr>
        <w:t>完善公共文化服务网络建设。</w:t>
      </w:r>
      <w:r>
        <w:rPr>
          <w:rFonts w:hint="eastAsia" w:ascii="仿宋_GB2312" w:hAnsi="Times New Roman" w:eastAsia="仿宋_GB2312"/>
          <w:sz w:val="32"/>
          <w:szCs w:val="32"/>
        </w:rPr>
        <w:t>加快实施公共文化服务效能提升工作，加大公共文化服务体系建设投入，创新公共文化供给方式，搭建公共文化活动平台，促进基本公共文化服务标准化、均等化。推进公共文化设施网络建设，完善县、乡、村三级文化服务中心体系，县有图书馆、文化馆总馆，乡镇有文化馆、图书馆分馆，村有综合文化服务中心</w:t>
      </w:r>
      <w:r>
        <w:rPr>
          <w:rFonts w:hint="eastAsia" w:ascii="Times New Roman" w:hAnsi="Times New Roman" w:eastAsia="仿宋_GB2312"/>
          <w:kern w:val="0"/>
          <w:sz w:val="32"/>
          <w:szCs w:val="32"/>
        </w:rPr>
        <w:t>，做好“文化共享工程”和“总分馆制建设”基层服务点工作。</w:t>
      </w:r>
      <w:r>
        <w:rPr>
          <w:rFonts w:hint="eastAsia" w:ascii="仿宋_GB2312" w:hAnsi="Times New Roman" w:eastAsia="仿宋_GB2312"/>
          <w:kern w:val="0"/>
          <w:sz w:val="32"/>
          <w:szCs w:val="32"/>
        </w:rPr>
        <w:t>完善数字公共文化服务平台功能，加大力度推广图书馆、文化馆总分馆网站和微信公众号，走好网上群众路线，把图书馆、文化馆总分馆网站和微信公众号打造成为联系和服务群众的重要手段</w:t>
      </w:r>
      <w:r>
        <w:rPr>
          <w:rFonts w:hint="eastAsia" w:ascii="仿宋_GB2312" w:hAnsi="Times New Roman" w:eastAsia="仿宋_GB2312"/>
          <w:sz w:val="32"/>
          <w:szCs w:val="32"/>
        </w:rPr>
        <w:t>，打通服务群众</w:t>
      </w:r>
      <w:r>
        <w:rPr>
          <w:rFonts w:hint="eastAsia" w:ascii="Times New Roman" w:hAnsi="Times New Roman" w:eastAsia="仿宋_GB2312"/>
          <w:sz w:val="32"/>
          <w:szCs w:val="32"/>
        </w:rPr>
        <w:t>“最后一公里”。推进智慧广电工程、应急广播体系建设。加强“网上文艺之家”建设，探索“互联网+文联”“互联网+协会”的基础性、技术性、平台型建设，使其成为文艺工作者传播党的声音，讲好西华故事的网络载体。</w:t>
      </w:r>
    </w:p>
    <w:p>
      <w:pPr>
        <w:spacing w:line="600" w:lineRule="exact"/>
        <w:ind w:firstLine="643" w:firstLineChars="200"/>
        <w:rPr>
          <w:rFonts w:ascii="Times New Roman" w:hAnsi="Times New Roman" w:eastAsia="仿宋_GB2312"/>
          <w:kern w:val="0"/>
          <w:sz w:val="32"/>
          <w:szCs w:val="32"/>
        </w:rPr>
      </w:pPr>
      <w:r>
        <w:rPr>
          <w:rFonts w:hint="eastAsia" w:ascii="楷体_GB2312" w:hAnsi="Times New Roman" w:eastAsia="楷体_GB2312"/>
          <w:b/>
          <w:kern w:val="0"/>
          <w:sz w:val="32"/>
          <w:szCs w:val="32"/>
        </w:rPr>
        <w:t>打造高素质文艺和文化服务队伍。</w:t>
      </w:r>
      <w:r>
        <w:rPr>
          <w:rFonts w:hint="eastAsia" w:ascii="Times New Roman" w:hAnsi="Times New Roman" w:eastAsia="仿宋_GB2312"/>
          <w:sz w:val="32"/>
          <w:szCs w:val="32"/>
        </w:rPr>
        <w:t>探索创新文学艺术界联管理机制，以所属文艺家协会为平台，加强文艺骨干队伍建设，每年举办2期以上文艺骨干培训班；通过每年举办4期乡镇</w:t>
      </w:r>
      <w:r>
        <w:rPr>
          <w:rFonts w:hint="eastAsia" w:ascii="Times New Roman" w:hAnsi="Times New Roman" w:eastAsia="仿宋_GB2312"/>
          <w:kern w:val="0"/>
          <w:sz w:val="32"/>
          <w:szCs w:val="32"/>
        </w:rPr>
        <w:t>（街道）文旅干部业务培训班，举办2期村级综合性文化服务中心骨干培训班，每年培训行政村(社区）文化骨干1000人左右，培训文化志愿者3000人次以上，不断提高文化服务水平。加强在职人员业务培训、进修和再教育工作，提高专业人才综合业务素质。打造一支高素质的文艺人才队伍，提高创作能力和服务水平。</w:t>
      </w:r>
    </w:p>
    <w:p>
      <w:pPr>
        <w:spacing w:line="600" w:lineRule="exact"/>
        <w:ind w:firstLine="643" w:firstLineChars="200"/>
        <w:rPr>
          <w:rFonts w:ascii="Times New Roman" w:hAnsi="Times New Roman" w:eastAsia="仿宋_GB2312"/>
          <w:kern w:val="0"/>
          <w:sz w:val="32"/>
          <w:szCs w:val="32"/>
        </w:rPr>
      </w:pPr>
      <w:r>
        <w:rPr>
          <w:rFonts w:hint="eastAsia" w:ascii="楷体_GB2312" w:hAnsi="Times New Roman" w:eastAsia="楷体_GB2312"/>
          <w:b/>
          <w:kern w:val="0"/>
          <w:sz w:val="32"/>
          <w:szCs w:val="32"/>
        </w:rPr>
        <w:t>实施文化惠民工程。</w:t>
      </w:r>
      <w:r>
        <w:rPr>
          <w:rFonts w:hint="eastAsia" w:ascii="Times New Roman" w:hAnsi="Times New Roman" w:eastAsia="仿宋_GB2312"/>
          <w:kern w:val="0"/>
          <w:sz w:val="32"/>
          <w:szCs w:val="32"/>
        </w:rPr>
        <w:t>推进</w:t>
      </w:r>
      <w:r>
        <w:rPr>
          <w:rFonts w:hint="eastAsia" w:ascii="仿宋_GB2312" w:hAnsi="Times New Roman" w:eastAsia="仿宋_GB2312"/>
          <w:kern w:val="0"/>
          <w:sz w:val="32"/>
          <w:szCs w:val="32"/>
        </w:rPr>
        <w:t>乡镇公共文化服务标准化建设工作，鼓励支持各乡镇举办有地方特色的群众文化活动，充分利用乡镇文化服务中心和村级综合性文化服务中心主阵地，打造形式多样的乡村文化活动品牌，积极开展面向广大群众的公益性图书阅读、艺术培训、文化展演活动，保障农村群众文化需求。持续开展“广场文化”活动、</w:t>
      </w:r>
      <w:r>
        <w:rPr>
          <w:rFonts w:hint="eastAsia" w:ascii="仿宋_GB2312" w:hAnsi="仿宋_GB2312" w:eastAsia="仿宋_GB2312" w:cs="仿宋_GB2312"/>
          <w:sz w:val="32"/>
          <w:szCs w:val="32"/>
        </w:rPr>
        <w:t>文化下乡活动，打造文艺精品力作。联合高校利用本地丰富的文化遗产推出一批展示时代风貌、富有本土特色的文艺精品。创作排演和提升1-2台富有思想内涵，有较强市场价值的精品剧目，参加全省乃至全国性艺术展演评比。</w:t>
      </w:r>
    </w:p>
    <w:p>
      <w:pPr>
        <w:spacing w:line="600" w:lineRule="exact"/>
        <w:ind w:firstLine="643" w:firstLineChars="200"/>
        <w:rPr>
          <w:rFonts w:ascii="Times New Roman" w:hAnsi="Times New Roman" w:eastAsia="仿宋_GB2312"/>
          <w:kern w:val="0"/>
          <w:sz w:val="32"/>
          <w:szCs w:val="32"/>
        </w:rPr>
      </w:pPr>
      <w:r>
        <w:rPr>
          <w:rFonts w:hint="eastAsia" w:ascii="楷体_GB2312" w:hAnsi="Times New Roman" w:eastAsia="楷体_GB2312"/>
          <w:b/>
          <w:bCs/>
          <w:kern w:val="0"/>
          <w:sz w:val="32"/>
          <w:szCs w:val="32"/>
        </w:rPr>
        <w:t>创新公共文化管理体制和运行机制。</w:t>
      </w:r>
      <w:r>
        <w:rPr>
          <w:rFonts w:hint="eastAsia" w:ascii="仿宋_GB2312" w:hAnsi="Times New Roman" w:eastAsia="仿宋_GB2312"/>
          <w:kern w:val="0"/>
          <w:sz w:val="32"/>
          <w:szCs w:val="32"/>
        </w:rPr>
        <w:t>建立健全党委领导、政府管理、部门协同的公共文化服务体系建设协调机制，建立事业单位法人治理结构，推动各级公共图书馆、文化馆、博物馆、档案馆等组建理事会，健全决策、执行和监督机制。创新建设运营机制，运用市场手段引入社会力量，增强公共文化设施的吸引力，持续改造提升图书馆、文化馆、博物馆、档案馆等公共文化服务设施效能水平和设施运营管理。发挥城乡基层群众性自治组织的作用，推动开展公共文化服务参与式管理，健全民意表达和监督机制，引导城乡居民参与公共文化服务项目规划、建设、管理和监督，扎实推进文化志愿服务，制定政府公共文化服务考核指标，作为考核评价领导班子和领导干部政绩的重要内容。</w:t>
      </w:r>
    </w:p>
    <w:p>
      <w:pPr>
        <w:pStyle w:val="3"/>
        <w:spacing w:before="120" w:after="120" w:line="600" w:lineRule="exact"/>
        <w:jc w:val="center"/>
        <w:rPr>
          <w:rFonts w:ascii="仿宋_GB2312" w:hAnsi="Times New Roman" w:eastAsia="仿宋_GB2312"/>
        </w:rPr>
      </w:pPr>
      <w:bookmarkStart w:id="70" w:name="_Toc65514296"/>
      <w:r>
        <w:rPr>
          <w:rFonts w:hint="eastAsia" w:ascii="仿宋_GB2312" w:hAnsi="Times New Roman" w:eastAsia="仿宋_GB2312"/>
        </w:rPr>
        <w:t>第四节 健全现代文化产业体系</w:t>
      </w:r>
      <w:bookmarkEnd w:id="70"/>
    </w:p>
    <w:p>
      <w:pPr>
        <w:pStyle w:val="15"/>
        <w:spacing w:line="600" w:lineRule="exact"/>
        <w:ind w:firstLine="640" w:firstLineChars="200"/>
        <w:jc w:val="both"/>
        <w:rPr>
          <w:rFonts w:ascii="仿宋_GB2312" w:eastAsia="仿宋_GB2312"/>
          <w:color w:val="auto"/>
          <w:sz w:val="32"/>
          <w:szCs w:val="32"/>
        </w:rPr>
      </w:pPr>
      <w:r>
        <w:rPr>
          <w:rFonts w:hint="eastAsia" w:ascii="仿宋_GB2312" w:eastAsia="仿宋_GB2312"/>
          <w:color w:val="auto"/>
          <w:sz w:val="32"/>
          <w:szCs w:val="32"/>
        </w:rPr>
        <w:t>聚焦特色文化，坚持文化和旅游融合发展，深入挖掘西华特色文旅元素，推动特色文化资源产业化发展，建设具有西华特色的文旅示范区。</w:t>
      </w:r>
    </w:p>
    <w:p>
      <w:pPr>
        <w:pStyle w:val="15"/>
        <w:spacing w:line="600" w:lineRule="exact"/>
        <w:ind w:firstLine="643" w:firstLineChars="200"/>
        <w:jc w:val="both"/>
        <w:rPr>
          <w:rFonts w:ascii="Times New Roman" w:hAnsi="Times New Roman" w:eastAsia="仿宋_GB2312"/>
          <w:color w:val="auto"/>
          <w:spacing w:val="6"/>
          <w:sz w:val="32"/>
          <w:szCs w:val="32"/>
        </w:rPr>
      </w:pPr>
      <w:r>
        <w:rPr>
          <w:rFonts w:hint="eastAsia" w:ascii="楷体_GB2312" w:hAnsi="仿宋_GB2312" w:eastAsia="楷体_GB2312" w:cs="仿宋_GB2312"/>
          <w:b/>
          <w:color w:val="auto"/>
          <w:sz w:val="32"/>
          <w:szCs w:val="32"/>
        </w:rPr>
        <w:t>加强文化遗产保护。</w:t>
      </w:r>
      <w:r>
        <w:rPr>
          <w:rFonts w:hint="eastAsia" w:ascii="仿宋_GB2312" w:hAnsi="仿宋_GB2312" w:eastAsia="仿宋_GB2312" w:cs="仿宋_GB2312"/>
          <w:color w:val="auto"/>
          <w:sz w:val="32"/>
          <w:szCs w:val="32"/>
        </w:rPr>
        <w:t>建立健全文物和非物质文化遗产保护体系，做好重点文物单位修缮和合理开发利用，分期分批对古建筑、名人故居进行抢救性维护，加强对重点文物的保护。进一步细化非遗保护措施，建立非物质文化遗产传习所，开展非物质文化遗产普查建档工作，绘制全县非物质文化遗产资源分布图，建立非物质文化遗产名录体系，确立非物质文化遗产传承人谱系，建立县乡两级保护体系和非遗数据库。制定传承资助办法，积极组织开展文物保护单位与非遗项目申报工作，到</w:t>
      </w:r>
      <w:r>
        <w:rPr>
          <w:rFonts w:ascii="Times New Roman" w:hAnsi="Times New Roman" w:eastAsia="仿宋_GB2312" w:cs="Times New Roman"/>
          <w:color w:val="auto"/>
          <w:sz w:val="32"/>
          <w:szCs w:val="32"/>
        </w:rPr>
        <w:t>2025年，争取列入省级非物质文化遗产代表作项目达到8项以上，国家非物质文化遗产项目2项以上；省级文物保护单位达15项以上，国家文物保护单位达到2项以上。</w:t>
      </w:r>
    </w:p>
    <w:p>
      <w:pPr>
        <w:pStyle w:val="15"/>
        <w:spacing w:line="600" w:lineRule="exact"/>
        <w:ind w:firstLine="643" w:firstLineChars="200"/>
        <w:jc w:val="both"/>
        <w:rPr>
          <w:rFonts w:ascii="Times New Roman" w:hAnsi="Times New Roman" w:eastAsia="仿宋_GB2312"/>
          <w:color w:val="auto"/>
          <w:spacing w:val="6"/>
          <w:sz w:val="32"/>
          <w:szCs w:val="32"/>
        </w:rPr>
      </w:pPr>
      <w:r>
        <w:rPr>
          <w:rFonts w:hint="eastAsia" w:ascii="楷体_GB2312" w:eastAsia="楷体_GB2312" w:cs="仿宋_GB2312"/>
          <w:b/>
          <w:bCs/>
          <w:color w:val="auto"/>
          <w:sz w:val="32"/>
          <w:szCs w:val="32"/>
        </w:rPr>
        <w:t>提升文化创意产业水平。</w:t>
      </w:r>
      <w:r>
        <w:rPr>
          <w:rFonts w:hint="eastAsia" w:ascii="仿宋_GB2312" w:eastAsia="仿宋_GB2312"/>
          <w:color w:val="auto"/>
          <w:sz w:val="32"/>
          <w:szCs w:val="32"/>
        </w:rPr>
        <w:t>完善文化产业规划和政策，突出数字科技和文化创意牵引，做大做强以创意为内核的文化产业。实施文化产业数字化战略，加快文博行业数字化保护展示进程，促进创意设计与先进制造业、现代服务业融合，推动文化产业与科技、金融、制造、体育等产业融合创新发展，提升壮大创意设计、工艺美术、文娱演艺、文化制造、影视动漫等产业，加快发展新型文化企业、文化业态、文化消费模式。鼓励利用老旧厂房、工业遗址、商业楼宇等区域，建设文化创意空间、城市文化旅游综合体。支持发展数字文旅产业，大力发展以网络数字技术为依托的直播经济、短视频经济、数字传媒等新业态，促进数字文创产业健康快速发展。</w:t>
      </w:r>
    </w:p>
    <w:p>
      <w:pPr>
        <w:pStyle w:val="15"/>
        <w:spacing w:line="600" w:lineRule="exact"/>
        <w:ind w:firstLine="643" w:firstLineChars="200"/>
        <w:jc w:val="both"/>
        <w:rPr>
          <w:rFonts w:ascii="仿宋_GB2312" w:eastAsia="仿宋_GB2312"/>
          <w:color w:val="auto"/>
          <w:sz w:val="32"/>
          <w:szCs w:val="32"/>
        </w:rPr>
      </w:pPr>
      <w:r>
        <w:rPr>
          <w:rFonts w:hint="eastAsia" w:ascii="楷体_GB2312" w:eastAsia="楷体_GB2312" w:cs="仿宋_GB2312"/>
          <w:b/>
          <w:bCs/>
          <w:color w:val="auto"/>
          <w:sz w:val="32"/>
          <w:szCs w:val="32"/>
        </w:rPr>
        <w:t>促进文化旅游融合发展。</w:t>
      </w:r>
      <w:r>
        <w:rPr>
          <w:rFonts w:ascii="Times New Roman" w:hAnsi="Times New Roman" w:eastAsia="仿宋_GB2312"/>
          <w:color w:val="auto"/>
          <w:spacing w:val="6"/>
          <w:sz w:val="32"/>
          <w:szCs w:val="32"/>
        </w:rPr>
        <w:t>加快文化资源创新利用，推动文化和旅游融合发展，以建设盘古女娲创世文化园区为引领，推动各景区提档升级</w:t>
      </w:r>
      <w:r>
        <w:rPr>
          <w:rFonts w:hint="eastAsia" w:ascii="仿宋_GB2312" w:eastAsia="仿宋_GB2312"/>
          <w:color w:val="auto"/>
          <w:sz w:val="32"/>
          <w:szCs w:val="32"/>
        </w:rPr>
        <w:t>。推动文化旅游全域全要素融合发展，做好“文化+”“旅游+”文章，推动文旅与农业、工业、体育、创意、商业、中医药、教育、交通等融合发展，重点发展都市休闲游、乡村旅游、红色旅游、生态旅游、工业旅游、研学旅游、康养旅游等业态。优化文旅化产业发展布局，高水平推进</w:t>
      </w:r>
      <w:r>
        <w:rPr>
          <w:rFonts w:ascii="Times New Roman" w:hAnsi="Times New Roman" w:eastAsia="仿宋_GB2312"/>
          <w:color w:val="auto"/>
          <w:spacing w:val="6"/>
          <w:sz w:val="32"/>
          <w:szCs w:val="32"/>
        </w:rPr>
        <w:t>女娲城申报国家遗址公园、沙颍河水上休闲旅游、两湖历史文化街区等项目建设。推进特色文化主题公园、文化基地建设，让西华特色文化融入百姓生活、嵌入周边环境。</w:t>
      </w:r>
      <w:r>
        <w:rPr>
          <w:rFonts w:hint="eastAsia" w:ascii="仿宋_GB2312" w:eastAsia="仿宋_GB2312"/>
          <w:color w:val="auto"/>
          <w:sz w:val="32"/>
          <w:szCs w:val="32"/>
        </w:rPr>
        <w:t>广泛开展产业招商，吸引国内国际知名文旅企业在西华设立投资基金或地区总部，带动文化旅游产业发展，推进文旅融合发展。</w:t>
      </w:r>
    </w:p>
    <w:p>
      <w:pPr>
        <w:pStyle w:val="15"/>
        <w:spacing w:line="600" w:lineRule="exact"/>
        <w:ind w:firstLine="643" w:firstLineChars="200"/>
        <w:jc w:val="both"/>
        <w:rPr>
          <w:rFonts w:ascii="仿宋_GB2312" w:hAnsi="Times New Roman" w:eastAsia="仿宋_GB2312" w:cs="Calibri"/>
          <w:color w:val="auto"/>
          <w:sz w:val="32"/>
          <w:szCs w:val="32"/>
        </w:rPr>
      </w:pPr>
      <w:r>
        <w:rPr>
          <w:rFonts w:hint="eastAsia" w:ascii="楷体_GB2312" w:hAnsi="Times New Roman" w:eastAsia="楷体_GB2312" w:cs="仿宋_GB2312"/>
          <w:b/>
          <w:bCs/>
          <w:color w:val="auto"/>
          <w:sz w:val="32"/>
          <w:szCs w:val="32"/>
        </w:rPr>
        <w:t>加大西华特色文旅产品宣传力度。</w:t>
      </w:r>
      <w:r>
        <w:rPr>
          <w:rFonts w:hint="eastAsia" w:ascii="仿宋_GB2312" w:hAnsi="Times New Roman" w:eastAsia="仿宋_GB2312" w:cs="Calibri"/>
          <w:color w:val="auto"/>
          <w:sz w:val="32"/>
          <w:szCs w:val="32"/>
        </w:rPr>
        <w:t>充分挖掘西华特色的地域文化特征，高标准制作完成西华文化旅游宣传片、抖音小视频等，通过网络传播及新媒体平台投放，提高西华盘古女娲创世文化、红色文化、鸿沟文化、杂技文化、美食文化等优秀文化的知名度和曝光率，增强西华文化吸引力。坚持办好“</w:t>
      </w:r>
      <w:r>
        <w:rPr>
          <w:rFonts w:hint="eastAsia" w:ascii="仿宋_GB2312" w:hAnsi="仿宋_GB2312" w:eastAsia="仿宋_GB2312" w:cs="仿宋_GB2312"/>
          <w:color w:val="auto"/>
          <w:sz w:val="32"/>
          <w:szCs w:val="32"/>
        </w:rPr>
        <w:t>西华盘古女娲祭拜大典</w:t>
      </w:r>
      <w:r>
        <w:rPr>
          <w:rFonts w:hint="eastAsia" w:ascii="仿宋_GB2312" w:hAnsi="Times New Roman" w:eastAsia="仿宋_GB2312" w:cs="Calibri"/>
          <w:color w:val="auto"/>
          <w:sz w:val="32"/>
          <w:szCs w:val="32"/>
        </w:rPr>
        <w:t>”</w:t>
      </w:r>
      <w:r>
        <w:rPr>
          <w:rFonts w:hint="eastAsia" w:ascii="仿宋_GB2312" w:hAnsi="仿宋_GB2312" w:eastAsia="仿宋_GB2312" w:cs="仿宋_GB2312"/>
          <w:color w:val="auto"/>
          <w:sz w:val="32"/>
          <w:szCs w:val="32"/>
        </w:rPr>
        <w:t>、“盘古女娲创世文化专家研讨会”以及每三年一届的胡辣汤节、每年一届的桃花节</w:t>
      </w:r>
      <w:r>
        <w:rPr>
          <w:rFonts w:hint="eastAsia" w:ascii="仿宋_GB2312" w:hAnsi="Times New Roman" w:eastAsia="仿宋_GB2312" w:cs="Calibri"/>
          <w:color w:val="auto"/>
          <w:sz w:val="32"/>
          <w:szCs w:val="32"/>
        </w:rPr>
        <w:t>等文化旅游节庆活动。</w:t>
      </w:r>
    </w:p>
    <w:tbl>
      <w:tblPr>
        <w:tblStyle w:val="11"/>
        <w:tblW w:w="8522" w:type="dxa"/>
        <w:jc w:val="center"/>
        <w:tblLayout w:type="fixed"/>
        <w:tblCellMar>
          <w:top w:w="0" w:type="dxa"/>
          <w:left w:w="108" w:type="dxa"/>
          <w:bottom w:w="0" w:type="dxa"/>
          <w:right w:w="108" w:type="dxa"/>
        </w:tblCellMar>
      </w:tblPr>
      <w:tblGrid>
        <w:gridCol w:w="8522"/>
      </w:tblGrid>
      <w:tr>
        <w:tblPrEx>
          <w:tblCellMar>
            <w:top w:w="0" w:type="dxa"/>
            <w:left w:w="108" w:type="dxa"/>
            <w:bottom w:w="0" w:type="dxa"/>
            <w:right w:w="108" w:type="dxa"/>
          </w:tblCellMar>
        </w:tblPrEx>
        <w:trPr>
          <w:trHeight w:val="510" w:hRule="atLeast"/>
          <w:tblHeader/>
          <w:jc w:val="center"/>
        </w:trPr>
        <w:tc>
          <w:tcPr>
            <w:tcW w:w="8522" w:type="dxa"/>
            <w:tcBorders>
              <w:top w:val="single" w:color="auto" w:sz="4" w:space="0"/>
              <w:left w:val="single" w:color="auto" w:sz="4" w:space="0"/>
              <w:bottom w:val="single" w:color="auto" w:sz="4" w:space="0"/>
              <w:right w:val="single" w:color="auto" w:sz="4" w:space="0"/>
            </w:tcBorders>
            <w:shd w:val="clear" w:color="auto" w:fill="339966"/>
            <w:vAlign w:val="center"/>
          </w:tcPr>
          <w:p>
            <w:pPr>
              <w:pStyle w:val="10"/>
              <w:spacing w:line="360" w:lineRule="auto"/>
              <w:rPr>
                <w:rFonts w:ascii="Times New Roman" w:hAnsi="Times New Roman" w:cs="Times New Roman"/>
                <w:sz w:val="26"/>
                <w:szCs w:val="26"/>
              </w:rPr>
            </w:pPr>
            <w:r>
              <w:rPr>
                <w:rFonts w:hint="eastAsia" w:ascii="Times New Roman" w:hAnsi="Times New Roman" w:cs="Times New Roman"/>
                <w:b/>
                <w:bCs/>
                <w:color w:val="FFFFFF" w:themeColor="background1"/>
                <w:sz w:val="26"/>
                <w:szCs w:val="26"/>
                <w14:textFill>
                  <w14:solidFill>
                    <w14:schemeClr w14:val="bg1"/>
                  </w14:solidFill>
                </w14:textFill>
              </w:rPr>
              <w:t>专栏5</w:t>
            </w:r>
            <w:r>
              <w:rPr>
                <w:rFonts w:hint="eastAsia" w:cs="Times New Roman"/>
                <w:b/>
                <w:bCs/>
                <w:color w:val="FFFFFF" w:themeColor="background1"/>
                <w:sz w:val="26"/>
                <w:szCs w:val="26"/>
                <w14:textFill>
                  <w14:solidFill>
                    <w14:schemeClr w14:val="bg1"/>
                  </w14:solidFill>
                </w14:textFill>
              </w:rPr>
              <w:t>：繁荣文化事业重点建设项目</w:t>
            </w:r>
          </w:p>
        </w:tc>
      </w:tr>
      <w:tr>
        <w:tblPrEx>
          <w:tblCellMar>
            <w:top w:w="0" w:type="dxa"/>
            <w:left w:w="108" w:type="dxa"/>
            <w:bottom w:w="0" w:type="dxa"/>
            <w:right w:w="108" w:type="dxa"/>
          </w:tblCellMar>
        </w:tblPrEx>
        <w:trPr>
          <w:trHeight w:val="529" w:hRule="atLeast"/>
          <w:jc w:val="center"/>
        </w:trPr>
        <w:tc>
          <w:tcPr>
            <w:tcW w:w="8522" w:type="dxa"/>
            <w:tcBorders>
              <w:top w:val="single" w:color="auto" w:sz="4" w:space="0"/>
              <w:left w:val="single" w:color="auto" w:sz="4" w:space="0"/>
              <w:bottom w:val="single" w:color="auto" w:sz="4" w:space="0"/>
              <w:right w:val="single" w:color="auto" w:sz="4" w:space="0"/>
            </w:tcBorders>
            <w:vAlign w:val="center"/>
          </w:tcPr>
          <w:p>
            <w:pPr>
              <w:spacing w:line="300" w:lineRule="auto"/>
              <w:ind w:firstLine="480" w:firstLineChars="200"/>
              <w:jc w:val="left"/>
              <w:rPr>
                <w:rFonts w:ascii="Times New Roman" w:hAnsi="Times New Roman"/>
                <w:sz w:val="24"/>
              </w:rPr>
            </w:pPr>
            <w:r>
              <w:rPr>
                <w:rFonts w:hint="eastAsia" w:ascii="Times New Roman" w:hAnsi="Times New Roman"/>
                <w:bCs/>
                <w:sz w:val="24"/>
              </w:rPr>
              <w:t>重点推进西华县盘古女娲创世文化旅游产业园建设项目、西华县十大地标性文化主题工程建设项目、西华县三岗革命老区红色基地建设项目、西华县警示教育基地建设项目、国家计委五七干校红色教育基地建设项目、豫东特委旧址建设及周边村落红色旅游景观改造、西华县文化站智能数字化建设项目、西华县创世文苑博物馆群建设项目等项目建设。</w:t>
            </w:r>
          </w:p>
        </w:tc>
      </w:tr>
    </w:tbl>
    <w:p>
      <w:pPr>
        <w:pStyle w:val="2"/>
        <w:spacing w:before="240" w:after="240" w:line="600" w:lineRule="exact"/>
        <w:ind w:right="-340" w:rightChars="-162"/>
        <w:jc w:val="center"/>
        <w:rPr>
          <w:rFonts w:ascii="黑体" w:hAnsi="黑体" w:eastAsia="黑体"/>
          <w:b w:val="0"/>
          <w:sz w:val="32"/>
          <w:szCs w:val="32"/>
        </w:rPr>
      </w:pPr>
      <w:bookmarkStart w:id="71" w:name="_Toc65514297"/>
      <w:r>
        <w:rPr>
          <w:rFonts w:hint="eastAsia" w:ascii="黑体" w:hAnsi="黑体" w:eastAsia="黑体"/>
          <w:b w:val="0"/>
          <w:sz w:val="32"/>
          <w:szCs w:val="32"/>
        </w:rPr>
        <w:t>第十章  坚持绿色发展，加快推进生态文明建设</w:t>
      </w:r>
      <w:bookmarkEnd w:id="71"/>
    </w:p>
    <w:p>
      <w:pPr>
        <w:spacing w:line="60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牢固树立“绿水青山就是金山银山”理念，坚持生态优先、绿色发展，统筹推进“治”“建”“调”，持续推动生态环境大改善，扎实做好碳达峰、碳中和各项工作，促进经济社会发展全面绿色转型，促进人与自然和谐相处、共生共荣。</w:t>
      </w:r>
    </w:p>
    <w:p>
      <w:pPr>
        <w:pStyle w:val="3"/>
        <w:spacing w:before="120" w:after="120" w:line="600" w:lineRule="exact"/>
        <w:jc w:val="center"/>
        <w:rPr>
          <w:rFonts w:ascii="仿宋_GB2312" w:eastAsia="仿宋_GB2312"/>
        </w:rPr>
      </w:pPr>
      <w:bookmarkStart w:id="72" w:name="_Toc65514298"/>
      <w:r>
        <w:rPr>
          <w:rFonts w:hint="eastAsia" w:ascii="仿宋_GB2312" w:eastAsia="仿宋_GB2312"/>
        </w:rPr>
        <w:t>第一节 推进生态保护与修复</w:t>
      </w:r>
      <w:bookmarkEnd w:id="72"/>
    </w:p>
    <w:p>
      <w:pPr>
        <w:spacing w:line="600" w:lineRule="exact"/>
        <w:ind w:firstLine="640" w:firstLineChars="200"/>
        <w:jc w:val="left"/>
        <w:rPr>
          <w:rFonts w:ascii="仿宋_GB2312" w:hAnsi="Times New Roman" w:eastAsia="仿宋_GB2312"/>
          <w:kern w:val="0"/>
          <w:sz w:val="32"/>
          <w:szCs w:val="32"/>
        </w:rPr>
      </w:pPr>
      <w:r>
        <w:rPr>
          <w:rFonts w:hint="eastAsia" w:ascii="仿宋_GB2312" w:hAnsi="Times New Roman" w:eastAsia="仿宋_GB2312"/>
          <w:kern w:val="0"/>
          <w:sz w:val="32"/>
          <w:szCs w:val="32"/>
        </w:rPr>
        <w:t>优化生态安全格局，加强生态空间用途管控，切实推进“三线一单”落地实施走向深入，完善生态系统建设与修复，建立健全生态制度、生态环境、生态经济等生态体系。</w:t>
      </w:r>
    </w:p>
    <w:p>
      <w:pPr>
        <w:spacing w:line="600" w:lineRule="exact"/>
        <w:ind w:firstLine="643" w:firstLineChars="200"/>
        <w:jc w:val="left"/>
        <w:rPr>
          <w:rFonts w:ascii="仿宋_GB2312" w:eastAsia="仿宋_GB2312"/>
          <w:sz w:val="32"/>
          <w:szCs w:val="32"/>
        </w:rPr>
      </w:pPr>
      <w:r>
        <w:rPr>
          <w:rFonts w:hint="eastAsia" w:ascii="楷体_GB2312" w:eastAsia="楷体_GB2312"/>
          <w:b/>
          <w:bCs/>
          <w:sz w:val="32"/>
          <w:szCs w:val="32"/>
        </w:rPr>
        <w:t>加强国土空间开发保护</w:t>
      </w:r>
      <w:r>
        <w:rPr>
          <w:rFonts w:hint="eastAsia" w:ascii="楷体_GB2312" w:hAnsi="Times New Roman" w:eastAsia="楷体_GB2312"/>
          <w:b/>
          <w:bCs/>
          <w:kern w:val="0"/>
          <w:sz w:val="32"/>
          <w:szCs w:val="32"/>
        </w:rPr>
        <w:t>。</w:t>
      </w:r>
      <w:r>
        <w:rPr>
          <w:rFonts w:hint="eastAsia" w:ascii="仿宋_GB2312" w:eastAsia="仿宋_GB2312"/>
          <w:sz w:val="32"/>
          <w:szCs w:val="32"/>
        </w:rPr>
        <w:t>科学编制并严格实施国土空间规划，统筹划定生态保护红线、永久基本农田、城镇开发边界“三条”控制线，加强用途管控，推进国土开发保护和生态修复。</w:t>
      </w:r>
      <w:r>
        <w:rPr>
          <w:rFonts w:hint="eastAsia" w:ascii="仿宋_GB2312" w:hAnsi="Times New Roman" w:eastAsia="仿宋_GB2312"/>
          <w:sz w:val="32"/>
          <w:szCs w:val="32"/>
        </w:rPr>
        <w:t>严格限制生态保护红线区域的开发与建设，除重大道路交通设施、市政公用设施、旅游设施、公园外，禁止在生态保护红线区进行建设。禁止任何形式的毁林开荒、开河采石等破坏植被和侵占水面行为，加强生态公益林、河湖湿地、河道两岸保护，最大限度保留原有自然生态系统。建立生态保护红线监控体系，依据生态保护红线空间特征，搭建生态保护红线动态监管平台，建立生态保护红线数据库，切实加强空间用途管控。</w:t>
      </w:r>
    </w:p>
    <w:p>
      <w:pPr>
        <w:spacing w:line="600" w:lineRule="exact"/>
        <w:ind w:firstLine="643" w:firstLineChars="200"/>
        <w:jc w:val="left"/>
        <w:rPr>
          <w:rFonts w:ascii="仿宋_GB2312" w:eastAsia="仿宋_GB2312"/>
          <w:kern w:val="0"/>
          <w:sz w:val="32"/>
          <w:szCs w:val="32"/>
        </w:rPr>
      </w:pPr>
      <w:r>
        <w:rPr>
          <w:rFonts w:hint="eastAsia" w:ascii="楷体_GB2312" w:hAnsi="Times New Roman" w:eastAsia="楷体_GB2312"/>
          <w:b/>
          <w:bCs/>
          <w:kern w:val="0"/>
          <w:sz w:val="32"/>
          <w:szCs w:val="32"/>
        </w:rPr>
        <w:t>深入开展生态建设与修复。</w:t>
      </w:r>
      <w:r>
        <w:rPr>
          <w:rFonts w:hint="eastAsia" w:ascii="仿宋_GB2312" w:hAnsi="Times New Roman" w:eastAsia="仿宋_GB2312"/>
          <w:sz w:val="32"/>
          <w:szCs w:val="32"/>
        </w:rPr>
        <w:t>统筹推进水林田湖草综合治理、系统治理、源头治理，加快森林、湿地、流域、农田、城市五大生态系统保护与修复。以打造“五河五湖润娲城”大河大湖大水系大园林格局为抓手</w:t>
      </w:r>
      <w:r>
        <w:rPr>
          <w:rFonts w:hint="eastAsia" w:ascii="仿宋_GB2312" w:eastAsia="仿宋_GB2312"/>
          <w:kern w:val="0"/>
          <w:sz w:val="32"/>
          <w:szCs w:val="32"/>
        </w:rPr>
        <w:t>，统筹推进生态建设与修复。开展</w:t>
      </w:r>
      <w:r>
        <w:rPr>
          <w:rFonts w:hint="eastAsia" w:ascii="仿宋_GB2312" w:hAnsi="Times New Roman" w:eastAsia="仿宋_GB2312"/>
          <w:sz w:val="32"/>
          <w:szCs w:val="32"/>
        </w:rPr>
        <w:t>国土绿化提速行动</w:t>
      </w:r>
      <w:r>
        <w:rPr>
          <w:rFonts w:hint="eastAsia" w:ascii="仿宋_GB2312" w:eastAsia="仿宋_GB2312"/>
          <w:kern w:val="0"/>
          <w:sz w:val="32"/>
          <w:szCs w:val="32"/>
        </w:rPr>
        <w:t>，继续推进造林还绿工程，巩固退耕还林成果，高水平建设生态涵养区，全力打造国土绿化、美化样板区。开展生态廊道建设行动，积极推进国储林项目实施，实现生态效益和富民效益“双赢”，</w:t>
      </w:r>
      <w:r>
        <w:rPr>
          <w:rFonts w:hint="eastAsia" w:ascii="仿宋_GB2312" w:hAnsi="Times New Roman" w:eastAsia="仿宋_GB2312"/>
          <w:sz w:val="32"/>
          <w:szCs w:val="32"/>
        </w:rPr>
        <w:t>以</w:t>
      </w:r>
      <w:r>
        <w:rPr>
          <w:rFonts w:hint="eastAsia" w:ascii="仿宋_GB2312" w:hAnsi="宋体" w:eastAsia="仿宋_GB2312"/>
          <w:sz w:val="32"/>
          <w:szCs w:val="32"/>
        </w:rPr>
        <w:t>“五河五湖”</w:t>
      </w:r>
      <w:r>
        <w:rPr>
          <w:rFonts w:hint="eastAsia" w:ascii="仿宋_GB2312" w:eastAsia="仿宋_GB2312"/>
          <w:sz w:val="32"/>
          <w:szCs w:val="32"/>
        </w:rPr>
        <w:t>、高速铁路和公路及国省道</w:t>
      </w:r>
      <w:r>
        <w:rPr>
          <w:rFonts w:hint="eastAsia" w:ascii="仿宋_GB2312" w:hAnsi="Times New Roman" w:eastAsia="仿宋_GB2312"/>
          <w:sz w:val="32"/>
          <w:szCs w:val="32"/>
        </w:rPr>
        <w:t>等为重点，加快实施一批重大生态项目，着力打造“一年四季景不同”的生态廊道网络。</w:t>
      </w:r>
      <w:r>
        <w:rPr>
          <w:rFonts w:hint="eastAsia" w:ascii="仿宋_GB2312" w:hAnsi="Times New Roman" w:eastAsia="仿宋_GB2312"/>
          <w:kern w:val="0"/>
          <w:sz w:val="32"/>
          <w:szCs w:val="32"/>
        </w:rPr>
        <w:t>开展水生态修复行动，</w:t>
      </w:r>
      <w:r>
        <w:rPr>
          <w:rFonts w:hint="eastAsia" w:ascii="仿宋_GB2312" w:eastAsia="仿宋_GB2312"/>
          <w:sz w:val="32"/>
          <w:szCs w:val="32"/>
        </w:rPr>
        <w:t>推进南水北调、沙颍河连通等引调水工程建设，加大引蓄水力度，谋划实施地下水超采区治理，有效压减开采量，遏制地下水水位下降趋势，浅层地下水逐步实现采补平衡。重点推动“周口中心城区——沙河——逍遥古城——颍河——黄桥万亩桃园——东风运河——西华城区箕子西湖——贾鲁河——聂堆女娲城——贾鲁河国家湿地公园——周口植物园——周口中心城区”的环形水上生态观光带建设。</w:t>
      </w:r>
      <w:r>
        <w:rPr>
          <w:rFonts w:hint="eastAsia" w:ascii="仿宋_GB2312" w:hAnsi="Times New Roman" w:eastAsia="仿宋_GB2312"/>
          <w:kern w:val="0"/>
          <w:sz w:val="32"/>
          <w:szCs w:val="32"/>
        </w:rPr>
        <w:t>开展乡村绿化美化建设行动，加强护村林、风水林、景观林保护，完善和提升农田防护林体系，建设森林乡村、森林特色小镇，推动农田和林地集中成片建设，打造“田成方、林成网”的格局。开展城市生态系统建设行动，围绕国家园林城市创建，积极推进森林进城，增加城市绿肺，</w:t>
      </w:r>
      <w:r>
        <w:rPr>
          <w:rFonts w:hint="eastAsia" w:ascii="仿宋_GB2312" w:hAnsi="Times New Roman" w:eastAsia="仿宋_GB2312"/>
          <w:sz w:val="32"/>
          <w:szCs w:val="32"/>
        </w:rPr>
        <w:t>加强城市道路两侧控制绿地、街头绿地随城市道路建设、地块开发的同步建设，以及河道两侧绿地随河道整治与防洪工程同步建设</w:t>
      </w:r>
      <w:r>
        <w:rPr>
          <w:rFonts w:hint="eastAsia" w:ascii="仿宋_GB2312" w:hAnsi="Times New Roman" w:eastAsia="仿宋_GB2312"/>
          <w:kern w:val="0"/>
          <w:sz w:val="32"/>
          <w:szCs w:val="32"/>
        </w:rPr>
        <w:t>，进一步提升城市品位、优化城市生态、美化人居环境。</w:t>
      </w:r>
    </w:p>
    <w:p>
      <w:pPr>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sz w:val="32"/>
          <w:szCs w:val="32"/>
        </w:rPr>
        <w:t>探索推进生态产业化。</w:t>
      </w:r>
      <w:r>
        <w:rPr>
          <w:rFonts w:hint="eastAsia" w:ascii="仿宋_GB2312" w:hAnsi="Times New Roman" w:eastAsia="仿宋_GB2312"/>
          <w:kern w:val="0"/>
          <w:sz w:val="32"/>
          <w:szCs w:val="32"/>
        </w:rPr>
        <w:t>牢固树立“绿色青山就是金山银山”发展理念，</w:t>
      </w:r>
      <w:r>
        <w:rPr>
          <w:rFonts w:hint="eastAsia" w:ascii="仿宋_GB2312" w:hAnsi="Times New Roman" w:eastAsia="仿宋_GB2312"/>
          <w:sz w:val="32"/>
          <w:szCs w:val="32"/>
        </w:rPr>
        <w:t>紧紧抓住城镇居民对生态消费个性需求机遇，深入推进“生态+”，深化与农业、旅游、体育、文化、教育、健康、养老、金融等融合发展，创新发展生态农业、生态旅游、生态康养等新经济、新产业、新业态、新模式，打造一批独具西华地标特色的“生态菜”“生态果”“生态菌”“生态药”“生态游”等生态品牌产品，推动生态产业规模化、品牌化发展，着力将生态优势转化为经济优势，让“绿水青山”源源不断地带来“金山银山”。充分发挥林业产业在生态建设中的优势和潜力，大力发展特色林果、林下经济、森林康养、生物提取等产业，推进林业产业转型升级。落实“碳达峰、碳中和”目标，积极开展碳排放权交易。</w:t>
      </w:r>
    </w:p>
    <w:p>
      <w:pPr>
        <w:pStyle w:val="3"/>
        <w:spacing w:before="120" w:after="120" w:line="600" w:lineRule="exact"/>
        <w:jc w:val="center"/>
        <w:rPr>
          <w:rFonts w:ascii="仿宋_GB2312" w:hAnsi="Times New Roman" w:eastAsia="仿宋_GB2312"/>
        </w:rPr>
      </w:pPr>
      <w:bookmarkStart w:id="73" w:name="_Toc65514299"/>
      <w:r>
        <w:rPr>
          <w:rFonts w:hint="eastAsia" w:ascii="仿宋_GB2312" w:hAnsi="Times New Roman" w:eastAsia="仿宋_GB2312"/>
        </w:rPr>
        <w:t>第二节 全面改善环境质量</w:t>
      </w:r>
      <w:bookmarkEnd w:id="73"/>
    </w:p>
    <w:p>
      <w:pPr>
        <w:spacing w:line="600" w:lineRule="exact"/>
        <w:ind w:firstLine="640" w:firstLineChars="200"/>
        <w:rPr>
          <w:rFonts w:ascii="仿宋_GB2312" w:eastAsia="仿宋_GB2312"/>
          <w:sz w:val="32"/>
          <w:szCs w:val="32"/>
        </w:rPr>
      </w:pPr>
      <w:r>
        <w:rPr>
          <w:rFonts w:hint="eastAsia" w:ascii="仿宋_GB2312" w:eastAsia="仿宋_GB2312"/>
          <w:sz w:val="32"/>
          <w:szCs w:val="32"/>
        </w:rPr>
        <w:t>坚持以铁头、铁嘴、铁腕、铁腿、铁尾的“五铁精神”，狠抓大气、水、土壤污染治理，坚决打赢蓝天、碧水、净土保卫战，有效防范生态环境风险，提升自然生态系统质量和稳定性。</w:t>
      </w:r>
    </w:p>
    <w:p>
      <w:pPr>
        <w:spacing w:line="600" w:lineRule="exact"/>
        <w:ind w:firstLine="643" w:firstLineChars="200"/>
        <w:rPr>
          <w:rFonts w:ascii="仿宋_GB2312" w:eastAsia="仿宋_GB2312"/>
          <w:sz w:val="32"/>
          <w:szCs w:val="32"/>
        </w:rPr>
      </w:pPr>
      <w:r>
        <w:rPr>
          <w:rFonts w:hint="eastAsia" w:ascii="楷体_GB2312" w:eastAsia="楷体_GB2312"/>
          <w:b/>
          <w:bCs/>
          <w:sz w:val="32"/>
          <w:szCs w:val="32"/>
        </w:rPr>
        <w:t>持续加强大气污染防治。</w:t>
      </w:r>
      <w:r>
        <w:rPr>
          <w:rFonts w:hint="eastAsia" w:ascii="仿宋_GB2312" w:hAnsi="Times New Roman" w:eastAsia="仿宋_GB2312"/>
          <w:sz w:val="32"/>
          <w:szCs w:val="32"/>
        </w:rPr>
        <w:t>以区域大气污染和重点行业污染控制为重点，全方位落实好</w:t>
      </w:r>
      <w:r>
        <w:rPr>
          <w:rFonts w:ascii="Times New Roman" w:hAnsi="Times New Roman" w:eastAsia="仿宋_GB2312"/>
          <w:sz w:val="32"/>
          <w:szCs w:val="32"/>
        </w:rPr>
        <w:t>“</w:t>
      </w:r>
      <w:r>
        <w:rPr>
          <w:rFonts w:hint="eastAsia" w:ascii="仿宋_GB2312" w:hAnsi="Times New Roman" w:eastAsia="仿宋_GB2312"/>
          <w:sz w:val="32"/>
          <w:szCs w:val="32"/>
        </w:rPr>
        <w:t>控尘、控煤、控排、控车、控油、控烧</w:t>
      </w:r>
      <w:r>
        <w:rPr>
          <w:rFonts w:ascii="Times New Roman" w:hAnsi="Times New Roman" w:eastAsia="仿宋_GB2312"/>
          <w:sz w:val="32"/>
          <w:szCs w:val="32"/>
        </w:rPr>
        <w:t>”</w:t>
      </w:r>
      <w:r>
        <w:rPr>
          <w:rFonts w:hint="eastAsia" w:ascii="仿宋_GB2312" w:hAnsi="Times New Roman" w:eastAsia="仿宋_GB2312"/>
          <w:sz w:val="32"/>
          <w:szCs w:val="32"/>
        </w:rPr>
        <w:t>措施，降低空气颗粒物浓度，全面改善空气质量，提高全年空气质量优良天数比率。强化城市大气污染防治，加大城市扬尘污染控制力度，推进餐饮油烟治理，扎实开展城市清洁行动，进一步改善城区环境空气质量。加强农村大气污染防治，加大烟花爆竹禁放管理力度，加强秸秆焚烧监管，建立和完善县、乡、村三级控制秸秆焚烧责任体系，推广使用洁净煤，着力建设</w:t>
      </w:r>
      <w:r>
        <w:rPr>
          <w:rFonts w:hint="eastAsia" w:ascii="Times New Roman" w:hAnsi="Times New Roman" w:eastAsia="仿宋_GB2312"/>
          <w:sz w:val="32"/>
          <w:szCs w:val="32"/>
        </w:rPr>
        <w:t>“气化乡村”。</w:t>
      </w:r>
    </w:p>
    <w:p>
      <w:pPr>
        <w:spacing w:line="600" w:lineRule="exact"/>
        <w:ind w:firstLine="643" w:firstLineChars="200"/>
        <w:rPr>
          <w:rFonts w:ascii="仿宋_GB2312" w:hAnsi="Times New Roman" w:eastAsia="仿宋_GB2312"/>
          <w:sz w:val="32"/>
          <w:szCs w:val="32"/>
        </w:rPr>
      </w:pPr>
      <w:r>
        <w:rPr>
          <w:rFonts w:hint="eastAsia" w:ascii="楷体_GB2312" w:eastAsia="楷体_GB2312"/>
          <w:b/>
          <w:bCs/>
          <w:sz w:val="32"/>
          <w:szCs w:val="32"/>
        </w:rPr>
        <w:t>深化水污染综合治理。</w:t>
      </w:r>
      <w:r>
        <w:rPr>
          <w:rFonts w:hint="eastAsia" w:ascii="仿宋_GB2312" w:eastAsia="仿宋_GB2312"/>
          <w:sz w:val="32"/>
          <w:szCs w:val="32"/>
        </w:rPr>
        <w:t>深入实施“河长制”“河长+警长制”“河长+检察长制”，推进“四水同治”行动，促进集中式饮用水水源地整体提质，系</w:t>
      </w:r>
      <w:r>
        <w:rPr>
          <w:rFonts w:hint="eastAsia" w:ascii="仿宋_GB2312" w:hAnsi="Times New Roman" w:eastAsia="仿宋_GB2312"/>
          <w:sz w:val="32"/>
          <w:szCs w:val="32"/>
        </w:rPr>
        <w:t>统推进工业、农业、生活污染治理，推进城镇污水管网全覆盖，全面消除黑臭水体。大力开展城市河流清洁行动，全面消除建城区颍河、贾鲁河、东风运河、双狼河、洼冲河</w:t>
      </w:r>
      <w:r>
        <w:rPr>
          <w:rFonts w:hint="eastAsia" w:ascii="仿宋_GB2312" w:eastAsia="仿宋_GB2312"/>
          <w:sz w:val="32"/>
          <w:szCs w:val="32"/>
        </w:rPr>
        <w:t>等</w:t>
      </w:r>
      <w:r>
        <w:rPr>
          <w:rFonts w:hint="eastAsia" w:ascii="仿宋_GB2312" w:hAnsi="Times New Roman" w:eastAsia="仿宋_GB2312"/>
          <w:sz w:val="32"/>
          <w:szCs w:val="32"/>
        </w:rPr>
        <w:t>河流污水直排现象</w:t>
      </w:r>
      <w:r>
        <w:rPr>
          <w:rFonts w:hint="eastAsia" w:ascii="仿宋_GB2312" w:eastAsia="仿宋_GB2312"/>
          <w:sz w:val="32"/>
          <w:szCs w:val="32"/>
        </w:rPr>
        <w:t>，逐步完成城区河流直排污染源截污纳管工作，实现水体无排污口、河道整洁；加强工业废水治理，深化全县重点工业污染源主要水污染物污染减排，提升经开区污水处理水平，加快推进经开区污水处理厂工程项目</w:t>
      </w:r>
      <w:r>
        <w:rPr>
          <w:rFonts w:hint="eastAsia" w:ascii="仿宋_GB2312" w:hAnsi="Times New Roman" w:eastAsia="仿宋_GB2312"/>
          <w:sz w:val="32"/>
          <w:szCs w:val="32"/>
        </w:rPr>
        <w:t>建设。加强城区生活污水治理，完善提升城区生活污水管网和污水处理设施建设，促进水环境质量有明显改善，加快推进县中水回用工程。完善</w:t>
      </w:r>
      <w:r>
        <w:rPr>
          <w:rFonts w:hint="eastAsia" w:ascii="仿宋_GB2312" w:hAnsi="Times New Roman" w:eastAsia="仿宋_GB2312"/>
          <w:kern w:val="0"/>
          <w:sz w:val="32"/>
          <w:szCs w:val="32"/>
        </w:rPr>
        <w:t>农村生活污水治理设施运维管理体系，持续推进</w:t>
      </w:r>
      <w:r>
        <w:rPr>
          <w:rFonts w:hint="eastAsia" w:ascii="Times New Roman" w:hAnsi="Times New Roman" w:eastAsia="仿宋_GB2312"/>
          <w:kern w:val="0"/>
          <w:sz w:val="32"/>
          <w:szCs w:val="32"/>
        </w:rPr>
        <w:t>“厕所革命”，探索建立厕所粪污治理长效机制。</w:t>
      </w:r>
      <w:r>
        <w:rPr>
          <w:rFonts w:hint="eastAsia" w:ascii="仿宋_GB2312" w:hAnsi="Times New Roman" w:eastAsia="仿宋_GB2312"/>
          <w:sz w:val="32"/>
          <w:szCs w:val="32"/>
        </w:rPr>
        <w:t>加强引用水源地保护，大力推进农村环境保护，加强县城集中饮用水源地和乡镇集中式饮用水源地的保护和监管。</w:t>
      </w:r>
    </w:p>
    <w:p>
      <w:pPr>
        <w:spacing w:line="600" w:lineRule="exact"/>
        <w:ind w:firstLine="643" w:firstLineChars="200"/>
        <w:rPr>
          <w:rFonts w:ascii="仿宋_GB2312" w:hAnsi="Times New Roman" w:eastAsia="仿宋_GB2312"/>
          <w:kern w:val="0"/>
          <w:sz w:val="32"/>
          <w:szCs w:val="32"/>
        </w:rPr>
      </w:pPr>
      <w:r>
        <w:rPr>
          <w:rFonts w:hint="eastAsia" w:ascii="楷体_GB2312" w:eastAsia="楷体_GB2312"/>
          <w:b/>
          <w:bCs/>
          <w:sz w:val="32"/>
          <w:szCs w:val="32"/>
        </w:rPr>
        <w:t>加大土壤污染防治及修复力度。</w:t>
      </w:r>
      <w:r>
        <w:rPr>
          <w:rFonts w:hint="eastAsia" w:ascii="仿宋_GB2312" w:hAnsi="Times New Roman" w:eastAsia="仿宋_GB2312"/>
          <w:sz w:val="32"/>
          <w:szCs w:val="32"/>
        </w:rPr>
        <w:t>抓好农业面源污染治理，推进农药、化肥减量增效和土壤污染综合防治，开展白色污染治理。加强测土配方施肥、水肥一体化、机械深施肥、机械除草、病虫害绿色防控等技术应用，提高化肥农药利用效率。推进农田残留地膜、农药化肥包装物等清理整治和回收利用，严厉打击生产、销售不合格地膜的违法行为，引导使用全生物降解地膜。科学划定禁养区、限养区和适养区，推动畜禽规模养殖场加快建设储粪池、沼气池、输送管网等粪污处理利用设施。加强农用地污染修复治理，开展农用地土壤污染详查和监测，编制受污染耕地土壤环境质量分类清单和安全利用总体方案，推进农用地分类管理，有序推进耕地土壤环境质量类别划分，采取农艺调控、退耕还林还草、用途管制等措施加快治理修复。完善危险废物和医疗废物分类收集处置体系，推进工业固体废物堆</w:t>
      </w:r>
      <w:r>
        <w:rPr>
          <w:rFonts w:hint="eastAsia" w:ascii="仿宋_GB2312" w:hAnsi="Times New Roman" w:eastAsia="仿宋_GB2312"/>
          <w:kern w:val="0"/>
          <w:sz w:val="32"/>
          <w:szCs w:val="32"/>
        </w:rPr>
        <w:t>存场所环境整治，加强建筑垃圾、污泥等大宗固体废弃物协同处置和资源化利用，积极申建“无废”城市。加强塑料污染治理，全面建立生活垃圾分类、投放、收集、处理闭环体系。</w:t>
      </w:r>
    </w:p>
    <w:p>
      <w:pPr>
        <w:spacing w:line="600" w:lineRule="exact"/>
        <w:ind w:firstLine="643" w:firstLineChars="200"/>
        <w:rPr>
          <w:rFonts w:ascii="仿宋_GB2312" w:hAnsi="Times New Roman" w:eastAsia="仿宋_GB2312"/>
          <w:kern w:val="0"/>
          <w:sz w:val="32"/>
          <w:szCs w:val="32"/>
        </w:rPr>
      </w:pPr>
      <w:r>
        <w:rPr>
          <w:rFonts w:hint="eastAsia" w:ascii="楷体_GB2312" w:hAnsi="Times New Roman" w:eastAsia="楷体_GB2312"/>
          <w:b/>
          <w:bCs/>
          <w:kern w:val="0"/>
          <w:sz w:val="32"/>
          <w:szCs w:val="32"/>
        </w:rPr>
        <w:t>有效防范生态环境风险。</w:t>
      </w:r>
      <w:r>
        <w:rPr>
          <w:rFonts w:hint="eastAsia" w:ascii="仿宋_GB2312" w:hAnsi="Times New Roman" w:eastAsia="仿宋_GB2312"/>
          <w:kern w:val="0"/>
          <w:sz w:val="32"/>
          <w:szCs w:val="32"/>
        </w:rPr>
        <w:t>完善以“三线一单”为核心的生态环境分区管控体系和生态文明建设绩效评价体系，加快构建“党委领导、政府主导、企业主体、社会组织和公众参与”的环境治理体系。开展气候资源、环境风险、资源环境承载能力等评估。编制涉饮用水源地“一河一策一图”应急处置预案，强化环境应急队伍建设。全面推进监测、监控、执法等能力标准化建设，加快构建以排污许可制为主、要素全覆盖的固定污染源监管体系，探索实行许可排放量核定方法。严厉打击环境违法犯罪行为，建立健全跨部门跨区域环境应急协同联动机制，做好环境应急物资信息库建设。建立市场化、多元化生态补偿机制，推进排污权、用能权、用水权、碳排放权市场化交易。</w:t>
      </w:r>
    </w:p>
    <w:p>
      <w:pPr>
        <w:pStyle w:val="3"/>
        <w:spacing w:before="120" w:after="120" w:line="600" w:lineRule="exact"/>
        <w:jc w:val="center"/>
        <w:rPr>
          <w:rFonts w:ascii="仿宋_GB2312" w:hAnsi="Times New Roman" w:eastAsia="仿宋_GB2312"/>
        </w:rPr>
      </w:pPr>
      <w:bookmarkStart w:id="74" w:name="_Toc65514300"/>
      <w:r>
        <w:rPr>
          <w:rFonts w:hint="eastAsia" w:ascii="仿宋_GB2312" w:hAnsi="Times New Roman" w:eastAsia="仿宋_GB2312"/>
        </w:rPr>
        <w:t>第三节 提升资源综合利用效率</w:t>
      </w:r>
      <w:bookmarkEnd w:id="74"/>
    </w:p>
    <w:p>
      <w:pPr>
        <w:spacing w:line="600" w:lineRule="exact"/>
        <w:ind w:firstLine="640" w:firstLineChars="200"/>
        <w:rPr>
          <w:rFonts w:ascii="仿宋_GB2312" w:hAnsi="Times New Roman" w:eastAsia="仿宋_GB2312"/>
          <w:kern w:val="0"/>
          <w:sz w:val="32"/>
          <w:szCs w:val="32"/>
        </w:rPr>
      </w:pPr>
      <w:r>
        <w:rPr>
          <w:rFonts w:hint="eastAsia" w:ascii="仿宋_GB2312" w:hAnsi="Times New Roman" w:eastAsia="仿宋_GB2312"/>
          <w:kern w:val="0"/>
          <w:sz w:val="32"/>
          <w:szCs w:val="32"/>
        </w:rPr>
        <w:t>贯彻落实《黄河流域生态保护和高质量发展规划纲要》的相关要求，提升水资源节约集约利用水平，加强土地保护和高效利用，聚焦碳达峰、碳中和目标，推动能源高效利用。</w:t>
      </w:r>
    </w:p>
    <w:p>
      <w:pPr>
        <w:autoSpaceDE w:val="0"/>
        <w:autoSpaceDN w:val="0"/>
        <w:adjustRightInd w:val="0"/>
        <w:spacing w:line="600" w:lineRule="exact"/>
        <w:ind w:firstLine="643" w:firstLineChars="200"/>
        <w:rPr>
          <w:rFonts w:ascii="仿宋_GB2312" w:hAnsi="Times New Roman" w:eastAsia="仿宋_GB2312"/>
          <w:kern w:val="0"/>
          <w:sz w:val="32"/>
          <w:szCs w:val="32"/>
        </w:rPr>
      </w:pPr>
      <w:r>
        <w:rPr>
          <w:rFonts w:hint="eastAsia" w:ascii="楷体_GB2312" w:hAnsi="Times New Roman" w:eastAsia="楷体_GB2312"/>
          <w:b/>
          <w:bCs/>
          <w:kern w:val="0"/>
          <w:sz w:val="32"/>
          <w:szCs w:val="32"/>
        </w:rPr>
        <w:t>大力开展节水行动。</w:t>
      </w:r>
      <w:r>
        <w:rPr>
          <w:rFonts w:hint="eastAsia" w:ascii="仿宋_GB2312" w:hAnsi="Times New Roman" w:eastAsia="仿宋_GB2312"/>
          <w:kern w:val="0"/>
          <w:sz w:val="32"/>
          <w:szCs w:val="32"/>
        </w:rPr>
        <w:t>坚持“以水定城、以水定地、以水定人、以水定产”，着力构建系统完善、丰枯调剂、循环畅通、岸绿水清的现代水网。落实最严格的水资源管理制度，实施水资源消费总量和强度双控，从严控制地下水开采，</w:t>
      </w:r>
      <w:r>
        <w:rPr>
          <w:rFonts w:hint="eastAsia" w:ascii="仿宋_GB2312" w:hAnsi="Times New Roman" w:eastAsia="仿宋_GB2312"/>
          <w:sz w:val="32"/>
          <w:szCs w:val="32"/>
        </w:rPr>
        <w:t>限制高水耗和低效用水产业发展</w:t>
      </w:r>
      <w:r>
        <w:rPr>
          <w:rFonts w:hint="eastAsia" w:ascii="仿宋_GB2312" w:hAnsi="Times New Roman" w:eastAsia="仿宋_GB2312"/>
          <w:kern w:val="0"/>
          <w:sz w:val="32"/>
          <w:szCs w:val="32"/>
        </w:rPr>
        <w:t>，制定节水载体创建奖补政策。深入开展城镇节水行动，推进节水型社会达标建设，推广绿色建筑、新建公共建筑安装中水设施。开展工业节水行动，严控新上或扩建高耗水、高污染项目，落实节水设施</w:t>
      </w:r>
      <w:r>
        <w:rPr>
          <w:rFonts w:hint="eastAsia" w:ascii="Times New Roman" w:hAnsi="Times New Roman" w:eastAsia="仿宋_GB2312"/>
          <w:kern w:val="0"/>
          <w:sz w:val="32"/>
          <w:szCs w:val="32"/>
        </w:rPr>
        <w:t>“三同时”制度，开展水效对标达标改造，促进废水循环利用和综合利用，实现废水减量化，建立重点用水企业数据库，落实河南省水效领跑者行动方案，积极开展水效领跑者标杆企业创建活动，推进合同节水。开展农业节水行动，大力推广高效节水灌溉技术，实施区域化、规模化高效节水灌溉，严控高耗水作物种植面积，建立健全农业水价形成机制、农业水价精准补贴机制。加强节水宣传教育和健全节水奖惩机制，加强对节水技术、节水产品研发和节水设施改造的政策资金支持。</w:t>
      </w:r>
    </w:p>
    <w:p>
      <w:pPr>
        <w:autoSpaceDE w:val="0"/>
        <w:autoSpaceDN w:val="0"/>
        <w:adjustRightInd w:val="0"/>
        <w:spacing w:line="600" w:lineRule="exact"/>
        <w:ind w:firstLine="643" w:firstLineChars="200"/>
        <w:rPr>
          <w:rFonts w:ascii="Times New Roman" w:hAnsi="Times New Roman" w:eastAsia="仿宋_GB2312"/>
          <w:kern w:val="0"/>
          <w:sz w:val="32"/>
          <w:szCs w:val="32"/>
        </w:rPr>
      </w:pPr>
      <w:r>
        <w:rPr>
          <w:rFonts w:hint="eastAsia" w:ascii="楷体_GB2312" w:hAnsi="Times New Roman" w:eastAsia="楷体_GB2312"/>
          <w:b/>
          <w:bCs/>
          <w:kern w:val="0"/>
          <w:sz w:val="32"/>
          <w:szCs w:val="32"/>
        </w:rPr>
        <w:t>强化土地资源集约利用。</w:t>
      </w:r>
      <w:r>
        <w:rPr>
          <w:rFonts w:hint="eastAsia" w:ascii="仿宋_GB2312" w:hAnsi="Times New Roman" w:eastAsia="仿宋_GB2312"/>
          <w:kern w:val="0"/>
          <w:sz w:val="32"/>
          <w:szCs w:val="32"/>
        </w:rPr>
        <w:t>严格保护耕地和基本农田，全面推进基本农田整理、农村居民点整理、工矿废弃地复垦，适度开发耕地后备资源，确保耕地数量不减少、质量不降低。统筹土地资源开发利用和保护，节约集约利用土地，合理确定新增建设用地规模。以棚户区、老旧小区和企业事业单位</w:t>
      </w:r>
      <w:r>
        <w:rPr>
          <w:rFonts w:hint="eastAsia" w:ascii="Times New Roman" w:hAnsi="Times New Roman" w:eastAsia="仿宋_GB2312"/>
          <w:kern w:val="0"/>
          <w:sz w:val="32"/>
          <w:szCs w:val="32"/>
        </w:rPr>
        <w:t>更新改造为重点，盘</w:t>
      </w:r>
      <w:r>
        <w:rPr>
          <w:rFonts w:hint="eastAsia" w:ascii="仿宋_GB2312" w:hAnsi="Times New Roman" w:eastAsia="仿宋_GB2312"/>
          <w:kern w:val="0"/>
          <w:sz w:val="32"/>
          <w:szCs w:val="32"/>
        </w:rPr>
        <w:t>活城镇低效用地，增加城镇建设用地有效供给。落实“百园增效”的总体要求，全面推进经开区“二次创业”，提升工业用地效率，</w:t>
      </w:r>
      <w:r>
        <w:rPr>
          <w:rFonts w:hint="eastAsia" w:ascii="仿宋_GB2312" w:eastAsia="仿宋_GB2312"/>
          <w:sz w:val="32"/>
          <w:szCs w:val="32"/>
        </w:rPr>
        <w:t>严控地开发强度，推广“标准地”出让制度，全面开展产业园区土地集约节约利用评价，积极盘活存量土地和低效用地，提高亩均产出效益</w:t>
      </w:r>
      <w:r>
        <w:rPr>
          <w:rFonts w:hint="eastAsia" w:ascii="仿宋_GB2312" w:hAnsi="Times New Roman" w:eastAsia="仿宋_GB2312"/>
          <w:kern w:val="0"/>
          <w:sz w:val="32"/>
          <w:szCs w:val="32"/>
        </w:rPr>
        <w:t>。优化工业用地资源配置，积极推广多层标准厂房，优先发展节地型工业产业。依法处置闲置土地，对闲置、荒芜土地依法征收或收回，盘活存量建设用地。</w:t>
      </w:r>
    </w:p>
    <w:p>
      <w:pPr>
        <w:autoSpaceDE w:val="0"/>
        <w:autoSpaceDN w:val="0"/>
        <w:adjustRightInd w:val="0"/>
        <w:spacing w:line="600" w:lineRule="exact"/>
        <w:ind w:firstLine="643" w:firstLineChars="200"/>
        <w:rPr>
          <w:rFonts w:ascii="楷体_GB2312" w:hAnsi="Times New Roman" w:eastAsia="楷体_GB2312"/>
          <w:b/>
          <w:bCs/>
          <w:kern w:val="0"/>
          <w:sz w:val="32"/>
          <w:szCs w:val="32"/>
        </w:rPr>
      </w:pPr>
      <w:r>
        <w:rPr>
          <w:rFonts w:hint="eastAsia" w:ascii="楷体_GB2312" w:hAnsi="Times New Roman" w:eastAsia="楷体_GB2312"/>
          <w:b/>
          <w:bCs/>
          <w:kern w:val="0"/>
          <w:sz w:val="32"/>
          <w:szCs w:val="32"/>
        </w:rPr>
        <w:t>持续推进节能降耗。</w:t>
      </w:r>
      <w:r>
        <w:rPr>
          <w:rFonts w:hint="eastAsia" w:ascii="仿宋_GB2312" w:eastAsia="仿宋_GB2312"/>
          <w:sz w:val="32"/>
          <w:szCs w:val="32"/>
        </w:rPr>
        <w:t>树立低碳思维，深入贯彻落实国家、省和市关于实现碳达峰碳中和目标的重大决策部署，优化产业结构，大力发展新能源。</w:t>
      </w:r>
      <w:r>
        <w:rPr>
          <w:rFonts w:hint="eastAsia" w:ascii="仿宋_GB2312" w:hAnsi="Times New Roman" w:eastAsia="仿宋_GB2312"/>
          <w:kern w:val="0"/>
          <w:sz w:val="32"/>
          <w:szCs w:val="32"/>
        </w:rPr>
        <w:t>持续实施能源消费总量和强度双控制度，推进能源结构调整，不断提高天然气、电等清洁能源的使用比重。</w:t>
      </w:r>
      <w:r>
        <w:rPr>
          <w:rFonts w:hint="eastAsia" w:ascii="仿宋_GB2312" w:eastAsia="仿宋_GB2312"/>
          <w:kern w:val="0"/>
          <w:sz w:val="32"/>
          <w:szCs w:val="32"/>
        </w:rPr>
        <w:t>适时开展碳排放权交易，形成倒逼机制，促进产业结构、能源结构调整优化升级</w:t>
      </w:r>
      <w:r>
        <w:rPr>
          <w:rFonts w:hint="eastAsia" w:ascii="仿宋_GB2312" w:eastAsia="仿宋_GB2312"/>
          <w:sz w:val="32"/>
          <w:szCs w:val="32"/>
        </w:rPr>
        <w:t>。持续推进城乡电网改造升级，实施天然气管道入镇进村工程，实施“气化乡村”工程，完善充电站、加油站、加气站等基础设施网络持续优化能源结构，有序发展风电、光电、地热供暖，扩大生物质能梯级利用规模，推动炭、电清洁高效发展，淘汰落后无效产能。</w:t>
      </w:r>
      <w:r>
        <w:rPr>
          <w:rFonts w:hint="eastAsia" w:ascii="仿宋_GB2312" w:hAnsi="Times New Roman" w:eastAsia="仿宋_GB2312"/>
          <w:kern w:val="0"/>
          <w:sz w:val="32"/>
          <w:szCs w:val="32"/>
        </w:rPr>
        <w:t>不断提升工业能效，推进能源梯级利用，扎实开展煤炭消费减量替代，推进食品加工、纺织服装等行业和装备制造、新材料、新能源等重点领域绿色化改，壮大节能环保产业。</w:t>
      </w:r>
      <w:r>
        <w:rPr>
          <w:rFonts w:hint="eastAsia" w:ascii="仿宋_GB2312" w:eastAsia="仿宋_GB2312"/>
          <w:kern w:val="0"/>
          <w:sz w:val="32"/>
          <w:szCs w:val="32"/>
        </w:rPr>
        <w:t>深入推动交通、建筑、公共机构等重点领域节能增效，加强先进节能技术、产品、设备应用。强化节能审查和监察制度落实，提升用能管理能力，探索完善区域能评制度。</w:t>
      </w:r>
    </w:p>
    <w:p>
      <w:pPr>
        <w:pStyle w:val="3"/>
        <w:spacing w:before="120" w:after="120" w:line="600" w:lineRule="exact"/>
        <w:jc w:val="center"/>
        <w:rPr>
          <w:rFonts w:ascii="仿宋_GB2312" w:hAnsi="Times New Roman" w:eastAsia="仿宋_GB2312"/>
        </w:rPr>
      </w:pPr>
      <w:bookmarkStart w:id="75" w:name="_Toc65514301"/>
      <w:r>
        <w:rPr>
          <w:rFonts w:hint="eastAsia" w:ascii="仿宋_GB2312" w:hAnsi="Times New Roman" w:eastAsia="仿宋_GB2312"/>
        </w:rPr>
        <w:t>第四节 积极践行绿色发展方式</w:t>
      </w:r>
      <w:bookmarkEnd w:id="75"/>
    </w:p>
    <w:p>
      <w:pPr>
        <w:autoSpaceDE w:val="0"/>
        <w:autoSpaceDN w:val="0"/>
        <w:adjustRightInd w:val="0"/>
        <w:spacing w:line="600" w:lineRule="exact"/>
        <w:ind w:firstLine="640" w:firstLineChars="200"/>
        <w:rPr>
          <w:rFonts w:ascii="仿宋_GB2312" w:hAnsi="Times New Roman" w:eastAsia="仿宋_GB2312"/>
          <w:kern w:val="0"/>
          <w:sz w:val="32"/>
          <w:szCs w:val="32"/>
        </w:rPr>
      </w:pPr>
      <w:r>
        <w:rPr>
          <w:rFonts w:hint="eastAsia" w:ascii="仿宋_GB2312" w:hAnsi="Times New Roman" w:eastAsia="仿宋_GB2312"/>
          <w:kern w:val="0"/>
          <w:sz w:val="32"/>
          <w:szCs w:val="32"/>
        </w:rPr>
        <w:t>贯彻绿色发展理念，坚守尊重自然、顺应自然、保护自然，建立健全资源循环利用和废旧资源回收体系，加快形成绿色发展方式、生产方式和生活方式。</w:t>
      </w:r>
    </w:p>
    <w:p>
      <w:pPr>
        <w:autoSpaceDE w:val="0"/>
        <w:autoSpaceDN w:val="0"/>
        <w:adjustRightInd w:val="0"/>
        <w:spacing w:line="600" w:lineRule="exact"/>
        <w:ind w:firstLine="643" w:firstLineChars="200"/>
        <w:rPr>
          <w:rFonts w:ascii="仿宋_GB2312" w:hAnsi="Times New Roman" w:eastAsia="仿宋_GB2312"/>
          <w:kern w:val="0"/>
          <w:sz w:val="32"/>
          <w:szCs w:val="32"/>
        </w:rPr>
      </w:pPr>
      <w:r>
        <w:rPr>
          <w:rFonts w:hint="eastAsia" w:ascii="楷体_GB2312" w:hAnsi="Times New Roman" w:eastAsia="楷体_GB2312"/>
          <w:b/>
          <w:bCs/>
          <w:kern w:val="0"/>
          <w:sz w:val="32"/>
          <w:szCs w:val="32"/>
        </w:rPr>
        <w:t>推动资源循环利用。</w:t>
      </w:r>
      <w:r>
        <w:rPr>
          <w:rFonts w:hint="eastAsia" w:ascii="仿宋_GB2312" w:hAnsi="Times New Roman" w:eastAsia="仿宋_GB2312"/>
          <w:bCs/>
          <w:kern w:val="0"/>
          <w:sz w:val="32"/>
          <w:szCs w:val="32"/>
        </w:rPr>
        <w:t>以创建国家级循环经济示范园区为抓手，</w:t>
      </w:r>
      <w:r>
        <w:rPr>
          <w:rFonts w:hint="eastAsia" w:ascii="仿宋_GB2312" w:hAnsi="Times New Roman" w:eastAsia="仿宋_GB2312"/>
          <w:kern w:val="0"/>
          <w:sz w:val="32"/>
          <w:szCs w:val="32"/>
        </w:rPr>
        <w:t>加快构建循环型产业体系，推动不同行业资源共享，建立跨行业的循环经济产业链。围绕提升能源资源利用效率，推动园区综合能源改造、污染第三方治理和绿色化改造。推动工业资源综合利用示范基地建设，健全工业固废综合利用体系。加强“城市矿山”开发利用，支持再生资源综合利用示范企业创建，健全废旧物资规范回收和处置体系。提升静脉产业园建设水平，推进生活垃圾焚烧发电提质扩容，实现生活垃圾减量化资源化无害化处理。到2025年，全县生活垃圾回收利用率达到95%以上。</w:t>
      </w:r>
    </w:p>
    <w:p>
      <w:pPr>
        <w:autoSpaceDE w:val="0"/>
        <w:autoSpaceDN w:val="0"/>
        <w:adjustRightInd w:val="0"/>
        <w:spacing w:line="600" w:lineRule="exact"/>
        <w:ind w:firstLine="643" w:firstLineChars="200"/>
        <w:rPr>
          <w:rFonts w:ascii="仿宋_GB2312" w:eastAsia="仿宋_GB2312"/>
          <w:kern w:val="0"/>
          <w:sz w:val="32"/>
          <w:szCs w:val="32"/>
        </w:rPr>
      </w:pPr>
      <w:r>
        <w:rPr>
          <w:rFonts w:hint="eastAsia" w:ascii="楷体_GB2312" w:eastAsia="楷体_GB2312"/>
          <w:b/>
          <w:kern w:val="0"/>
          <w:sz w:val="32"/>
          <w:szCs w:val="32"/>
        </w:rPr>
        <w:t>加快形成绿色生产方式。</w:t>
      </w:r>
      <w:r>
        <w:rPr>
          <w:rFonts w:hint="eastAsia" w:ascii="仿宋_GB2312" w:eastAsia="仿宋_GB2312"/>
          <w:kern w:val="0"/>
          <w:sz w:val="32"/>
          <w:szCs w:val="32"/>
        </w:rPr>
        <w:t>推进工业、农业、服务业绿色转型，加强绿色技术创新，发展绿色供应链，打造生产、流通、消费各环节绿色循环经济发展体系。实施有利于推动绿色发展的价格、财税、投资等政策，发展绿色金融。健全能够反应资源稀缺程度的用水、用电、用气、用热等价格制度。完善体现环境损害成本的污水、垃圾、危险废物处理收费政策和动态调整机制。</w:t>
      </w:r>
    </w:p>
    <w:p>
      <w:pPr>
        <w:autoSpaceDE w:val="0"/>
        <w:autoSpaceDN w:val="0"/>
        <w:adjustRightInd w:val="0"/>
        <w:spacing w:line="600" w:lineRule="exact"/>
        <w:ind w:firstLine="643" w:firstLineChars="200"/>
        <w:rPr>
          <w:rFonts w:ascii="仿宋_GB2312" w:eastAsia="仿宋_GB2312"/>
          <w:kern w:val="0"/>
          <w:sz w:val="32"/>
          <w:szCs w:val="32"/>
        </w:rPr>
      </w:pPr>
      <w:r>
        <w:rPr>
          <w:rFonts w:hint="eastAsia" w:ascii="楷体_GB2312" w:eastAsia="楷体_GB2312"/>
          <w:b/>
          <w:kern w:val="0"/>
          <w:sz w:val="32"/>
          <w:szCs w:val="32"/>
        </w:rPr>
        <w:t>倡导绿色低碳生活。</w:t>
      </w:r>
      <w:r>
        <w:rPr>
          <w:rFonts w:hint="eastAsia" w:ascii="仿宋_GB2312" w:hAnsi="Times New Roman" w:eastAsia="仿宋_GB2312"/>
          <w:kern w:val="0"/>
          <w:sz w:val="32"/>
          <w:szCs w:val="32"/>
        </w:rPr>
        <w:t>倡导简约适度的生活理念和生活方式，在全社会营造浪费可耻、节约为荣的氛围，坚决制止浪费行为。</w:t>
      </w:r>
      <w:r>
        <w:rPr>
          <w:rFonts w:hint="eastAsia" w:ascii="仿宋_GB2312" w:eastAsia="仿宋_GB2312"/>
          <w:kern w:val="0"/>
          <w:sz w:val="32"/>
          <w:szCs w:val="32"/>
        </w:rPr>
        <w:t>坚持公交优先发展，努力打造绿色出行友好环境。引导电商、集贸市场、商超等开设绿色产品销售专区。推进塑料污染治理工作，鼓励使用环保布袋、纸袋等非塑制品和可降解购物袋。完善政府绿色采购制度。提高能效标识二级以上的电器市场占有率。全面推广新能源汽车，推进充电桩、换电站建设。积极发展绿色建筑、装配式建筑。</w:t>
      </w:r>
    </w:p>
    <w:tbl>
      <w:tblPr>
        <w:tblStyle w:val="11"/>
        <w:tblW w:w="8522" w:type="dxa"/>
        <w:jc w:val="center"/>
        <w:tblLayout w:type="fixed"/>
        <w:tblCellMar>
          <w:top w:w="0" w:type="dxa"/>
          <w:left w:w="108" w:type="dxa"/>
          <w:bottom w:w="0" w:type="dxa"/>
          <w:right w:w="108" w:type="dxa"/>
        </w:tblCellMar>
      </w:tblPr>
      <w:tblGrid>
        <w:gridCol w:w="8522"/>
      </w:tblGrid>
      <w:tr>
        <w:tblPrEx>
          <w:tblCellMar>
            <w:top w:w="0" w:type="dxa"/>
            <w:left w:w="108" w:type="dxa"/>
            <w:bottom w:w="0" w:type="dxa"/>
            <w:right w:w="108" w:type="dxa"/>
          </w:tblCellMar>
        </w:tblPrEx>
        <w:trPr>
          <w:trHeight w:val="510" w:hRule="atLeast"/>
          <w:tblHeader/>
          <w:jc w:val="center"/>
        </w:trPr>
        <w:tc>
          <w:tcPr>
            <w:tcW w:w="8522" w:type="dxa"/>
            <w:tcBorders>
              <w:top w:val="single" w:color="auto" w:sz="4" w:space="0"/>
              <w:left w:val="single" w:color="auto" w:sz="4" w:space="0"/>
              <w:bottom w:val="single" w:color="auto" w:sz="4" w:space="0"/>
              <w:right w:val="single" w:color="auto" w:sz="4" w:space="0"/>
            </w:tcBorders>
            <w:shd w:val="clear" w:color="auto" w:fill="339966"/>
            <w:vAlign w:val="center"/>
          </w:tcPr>
          <w:p>
            <w:pPr>
              <w:pStyle w:val="10"/>
              <w:spacing w:line="360" w:lineRule="auto"/>
              <w:rPr>
                <w:rFonts w:ascii="Times New Roman" w:hAnsi="Times New Roman" w:cs="Times New Roman"/>
                <w:sz w:val="26"/>
                <w:szCs w:val="26"/>
              </w:rPr>
            </w:pPr>
            <w:r>
              <w:rPr>
                <w:rFonts w:hint="eastAsia" w:ascii="Times New Roman" w:hAnsi="Times New Roman" w:cs="Times New Roman"/>
                <w:b/>
                <w:bCs/>
                <w:color w:val="FFFFFF" w:themeColor="background1"/>
                <w:sz w:val="26"/>
                <w:szCs w:val="26"/>
                <w14:textFill>
                  <w14:solidFill>
                    <w14:schemeClr w14:val="bg1"/>
                  </w14:solidFill>
                </w14:textFill>
              </w:rPr>
              <w:t>专栏6</w:t>
            </w:r>
            <w:r>
              <w:rPr>
                <w:rFonts w:hint="eastAsia" w:cs="Times New Roman"/>
                <w:b/>
                <w:bCs/>
                <w:color w:val="FFFFFF" w:themeColor="background1"/>
                <w:sz w:val="26"/>
                <w:szCs w:val="26"/>
                <w14:textFill>
                  <w14:solidFill>
                    <w14:schemeClr w14:val="bg1"/>
                  </w14:solidFill>
                </w14:textFill>
              </w:rPr>
              <w:t>：新型城镇化重点建设项目</w:t>
            </w:r>
          </w:p>
        </w:tc>
      </w:tr>
      <w:tr>
        <w:tblPrEx>
          <w:tblCellMar>
            <w:top w:w="0" w:type="dxa"/>
            <w:left w:w="108" w:type="dxa"/>
            <w:bottom w:w="0" w:type="dxa"/>
            <w:right w:w="108" w:type="dxa"/>
          </w:tblCellMar>
        </w:tblPrEx>
        <w:trPr>
          <w:trHeight w:val="529" w:hRule="atLeast"/>
          <w:jc w:val="center"/>
        </w:trPr>
        <w:tc>
          <w:tcPr>
            <w:tcW w:w="8522" w:type="dxa"/>
            <w:tcBorders>
              <w:top w:val="single" w:color="auto" w:sz="4" w:space="0"/>
              <w:left w:val="single" w:color="auto" w:sz="4" w:space="0"/>
              <w:bottom w:val="single" w:color="auto" w:sz="4" w:space="0"/>
              <w:right w:val="single" w:color="auto" w:sz="4" w:space="0"/>
            </w:tcBorders>
            <w:vAlign w:val="center"/>
          </w:tcPr>
          <w:p>
            <w:pPr>
              <w:spacing w:line="300" w:lineRule="auto"/>
              <w:ind w:firstLine="482" w:firstLineChars="200"/>
              <w:jc w:val="left"/>
              <w:rPr>
                <w:rFonts w:ascii="Times New Roman" w:hAnsi="Times New Roman"/>
                <w:bCs/>
                <w:sz w:val="24"/>
              </w:rPr>
            </w:pPr>
            <w:r>
              <w:rPr>
                <w:rFonts w:hint="eastAsia" w:ascii="Times New Roman" w:hAnsi="Times New Roman"/>
                <w:b/>
                <w:bCs/>
                <w:sz w:val="24"/>
              </w:rPr>
              <w:t>生态保护与修复。</w:t>
            </w:r>
            <w:r>
              <w:rPr>
                <w:rFonts w:hint="eastAsia" w:ascii="Times New Roman" w:hAnsi="Times New Roman"/>
                <w:bCs/>
                <w:sz w:val="24"/>
              </w:rPr>
              <w:t>重点推进国有西华林场生态园建设项目、西华县双狼沟二期生态综合治理建设项目、贾鲁河省级湿地公园、西华沙颍河省级湿地公园、西华经开区森林公园、颍河至双狼沟沿东风运河生态廊道工程、西华县美丽生态沟渠整治工程建设项目、贾鲁河干流重点段治理工程等项目建设。</w:t>
            </w:r>
          </w:p>
          <w:p>
            <w:pPr>
              <w:spacing w:line="300" w:lineRule="auto"/>
              <w:ind w:firstLine="482" w:firstLineChars="200"/>
              <w:jc w:val="left"/>
              <w:rPr>
                <w:rFonts w:ascii="Times New Roman" w:hAnsi="Times New Roman"/>
                <w:bCs/>
                <w:sz w:val="24"/>
              </w:rPr>
            </w:pPr>
            <w:r>
              <w:rPr>
                <w:rFonts w:hint="eastAsia" w:ascii="Times New Roman" w:hAnsi="Times New Roman"/>
                <w:b/>
                <w:bCs/>
                <w:sz w:val="24"/>
              </w:rPr>
              <w:t>生态治理。</w:t>
            </w:r>
            <w:r>
              <w:rPr>
                <w:rFonts w:hint="eastAsia" w:ascii="Times New Roman" w:hAnsi="Times New Roman"/>
                <w:bCs/>
                <w:sz w:val="24"/>
              </w:rPr>
              <w:t>重点推进西华经开区污水处理厂工程、西华县中水回用工程、西华县静脉产业园建设项目、周口市西华县医疗废弃物集中处置设施建设项目、西华县废旧汽车拆解建设项目、西华县老城区污水管网改造工程、西湖片区综合治理项目等项目建设。</w:t>
            </w:r>
          </w:p>
          <w:p>
            <w:pPr>
              <w:spacing w:line="300" w:lineRule="auto"/>
              <w:ind w:firstLine="482" w:firstLineChars="200"/>
              <w:jc w:val="left"/>
              <w:rPr>
                <w:rFonts w:ascii="Times New Roman" w:hAnsi="Times New Roman"/>
                <w:sz w:val="24"/>
              </w:rPr>
            </w:pPr>
            <w:r>
              <w:rPr>
                <w:rFonts w:hint="eastAsia" w:ascii="Times New Roman" w:hAnsi="Times New Roman"/>
                <w:b/>
                <w:bCs/>
                <w:sz w:val="24"/>
              </w:rPr>
              <w:t>绿色发展。</w:t>
            </w:r>
            <w:r>
              <w:rPr>
                <w:rFonts w:hint="eastAsia" w:ascii="Times New Roman" w:hAnsi="Times New Roman"/>
                <w:bCs/>
                <w:sz w:val="24"/>
              </w:rPr>
              <w:t>重点西华县200MW风力储能发电项目、西华县户用光伏建设项目、西华县太阳能光伏发电建设项目等项目建设。</w:t>
            </w:r>
          </w:p>
        </w:tc>
      </w:tr>
    </w:tbl>
    <w:p>
      <w:pPr>
        <w:pStyle w:val="2"/>
        <w:spacing w:before="240" w:after="240" w:line="600" w:lineRule="exact"/>
        <w:ind w:right="-340" w:rightChars="-162"/>
        <w:jc w:val="center"/>
        <w:rPr>
          <w:rFonts w:ascii="黑体" w:hAnsi="黑体" w:eastAsia="黑体"/>
          <w:b w:val="0"/>
          <w:sz w:val="32"/>
          <w:szCs w:val="32"/>
        </w:rPr>
      </w:pPr>
      <w:bookmarkStart w:id="76" w:name="_Toc65514302"/>
      <w:r>
        <w:rPr>
          <w:rFonts w:hint="eastAsia" w:ascii="黑体" w:hAnsi="黑体" w:eastAsia="黑体"/>
          <w:b w:val="0"/>
          <w:sz w:val="32"/>
          <w:szCs w:val="32"/>
        </w:rPr>
        <w:t>第十一章  夯实发展支撑，构建现代基础设施支撑体系</w:t>
      </w:r>
      <w:bookmarkEnd w:id="76"/>
    </w:p>
    <w:p>
      <w:pPr>
        <w:spacing w:line="600" w:lineRule="exact"/>
        <w:ind w:firstLine="640" w:firstLineChars="200"/>
        <w:rPr>
          <w:rFonts w:ascii="仿宋_GB2312" w:eastAsia="仿宋_GB2312"/>
          <w:sz w:val="32"/>
          <w:szCs w:val="32"/>
        </w:rPr>
      </w:pPr>
      <w:r>
        <w:rPr>
          <w:rFonts w:hint="eastAsia" w:ascii="仿宋_GB2312" w:hAnsi="Times New Roman" w:eastAsia="仿宋_GB2312"/>
          <w:sz w:val="32"/>
          <w:szCs w:val="32"/>
        </w:rPr>
        <w:t>坚持适度超前、整体优化、协同融合，统筹存量和增量、传统和新型基础设施建设、完善布局结构和功能配置、打造集约高效、经济适用、智能绿色、安全可靠的现代化基础设施体系，推动基础设施由局部优势、单一优势向综合竞争优势转化。</w:t>
      </w:r>
    </w:p>
    <w:p>
      <w:pPr>
        <w:pStyle w:val="3"/>
        <w:spacing w:before="120" w:after="120" w:line="600" w:lineRule="exact"/>
        <w:jc w:val="center"/>
        <w:rPr>
          <w:rFonts w:ascii="仿宋_GB2312" w:eastAsia="仿宋_GB2312"/>
        </w:rPr>
      </w:pPr>
      <w:bookmarkStart w:id="77" w:name="_Toc65514303"/>
      <w:r>
        <w:rPr>
          <w:rFonts w:hint="eastAsia" w:ascii="仿宋_GB2312" w:eastAsia="仿宋_GB2312"/>
        </w:rPr>
        <w:t>第一节 打造现代交通体系</w:t>
      </w:r>
      <w:bookmarkEnd w:id="77"/>
    </w:p>
    <w:p>
      <w:pPr>
        <w:spacing w:line="600" w:lineRule="exact"/>
        <w:ind w:firstLine="640" w:firstLineChars="200"/>
        <w:rPr>
          <w:rFonts w:ascii="仿宋_GB2312" w:hAnsi="仿宋" w:eastAsia="仿宋_GB2312" w:cs="仿宋"/>
          <w:sz w:val="32"/>
          <w:szCs w:val="32"/>
        </w:rPr>
      </w:pPr>
      <w:r>
        <w:rPr>
          <w:rFonts w:hint="eastAsia" w:ascii="仿宋_GB2312" w:hAnsi="仿宋" w:eastAsia="仿宋_GB2312" w:cs="仿宋"/>
          <w:sz w:val="32"/>
          <w:szCs w:val="32"/>
        </w:rPr>
        <w:t>优化交通网络布局，协调推进与周边地区互联互通的运输通道建设，形成集“水、路、空、铁”于一体的综合交通运输体系，为全县经济社会高质量发展提供有力支撑。</w:t>
      </w:r>
    </w:p>
    <w:p>
      <w:pPr>
        <w:spacing w:line="600" w:lineRule="exact"/>
        <w:ind w:firstLine="643" w:firstLineChars="200"/>
        <w:rPr>
          <w:rFonts w:ascii="仿宋_GB2312" w:hAnsi="仿宋" w:eastAsia="仿宋_GB2312" w:cs="仿宋"/>
          <w:sz w:val="32"/>
          <w:szCs w:val="32"/>
        </w:rPr>
      </w:pPr>
      <w:r>
        <w:rPr>
          <w:rFonts w:hint="eastAsia" w:ascii="仿宋_GB2312" w:hAnsi="仿宋" w:eastAsia="仿宋_GB2312" w:cs="仿宋"/>
          <w:b/>
          <w:sz w:val="32"/>
          <w:szCs w:val="32"/>
        </w:rPr>
        <w:t>提升机场运营水平。</w:t>
      </w:r>
      <w:r>
        <w:rPr>
          <w:rFonts w:hint="eastAsia" w:ascii="仿宋_GB2312" w:hAnsi="仿宋" w:eastAsia="仿宋_GB2312" w:cs="仿宋"/>
          <w:sz w:val="32"/>
          <w:szCs w:val="32"/>
        </w:rPr>
        <w:t>依托省内机场网络布局，发展通航短途运输，与高铁网络形成错位协同发展，丰富和完善周口的综合交通方式，有效提升出行效率和服务水平。加快推进航空物流园建设，建设全自动物流中心、冷链仓库等仓储设施，与京东、顺丰、菜鸟等电商及物流企业合作，积极发展航空微物流、冷链物流、电商物流，探索多式联运，共同探索通航物流、无人机物流新模式。</w:t>
      </w:r>
    </w:p>
    <w:p>
      <w:pPr>
        <w:spacing w:line="600" w:lineRule="exact"/>
        <w:ind w:firstLine="667" w:firstLineChars="200"/>
        <w:rPr>
          <w:rFonts w:ascii="Times New Roman" w:hAnsi="Times New Roman" w:eastAsia="仿宋_GB2312"/>
          <w:spacing w:val="6"/>
          <w:sz w:val="32"/>
          <w:szCs w:val="32"/>
        </w:rPr>
      </w:pPr>
      <w:r>
        <w:rPr>
          <w:rFonts w:hint="eastAsia" w:ascii="Times New Roman" w:hAnsi="Times New Roman" w:eastAsia="仿宋_GB2312"/>
          <w:b/>
          <w:spacing w:val="6"/>
          <w:sz w:val="32"/>
          <w:szCs w:val="32"/>
        </w:rPr>
        <w:t>加快推进逍遥港建设。</w:t>
      </w:r>
      <w:r>
        <w:rPr>
          <w:rFonts w:hint="eastAsia" w:ascii="仿宋_GB2312" w:hAnsi="仿宋" w:eastAsia="仿宋_GB2312" w:cs="仿宋"/>
          <w:sz w:val="32"/>
          <w:szCs w:val="32"/>
        </w:rPr>
        <w:t>紧抓沙颍河生态经济带建设机遇，依托沙河航运优势，大力发展临港经济，强力推进逍遥港建设，配套完善建设址坊岸线、逍遥岸线、颍河李大庄岸线，全面对接通达江海的周口港。加快推进西华县临港产业园建设。</w:t>
      </w:r>
    </w:p>
    <w:p>
      <w:pPr>
        <w:spacing w:line="600" w:lineRule="exact"/>
        <w:ind w:firstLine="643" w:firstLineChars="200"/>
        <w:rPr>
          <w:rFonts w:ascii="Times New Roman" w:hAnsi="Times New Roman" w:eastAsia="仿宋_GB2312"/>
          <w:spacing w:val="6"/>
          <w:sz w:val="32"/>
          <w:szCs w:val="32"/>
        </w:rPr>
      </w:pPr>
      <w:r>
        <w:rPr>
          <w:rFonts w:hint="eastAsia" w:ascii="楷体_GB2312" w:hAnsi="Times New Roman" w:eastAsia="楷体_GB2312"/>
          <w:b/>
          <w:bCs/>
          <w:sz w:val="32"/>
          <w:szCs w:val="32"/>
        </w:rPr>
        <w:t>完善主干线路网。</w:t>
      </w:r>
      <w:r>
        <w:rPr>
          <w:rFonts w:hint="eastAsia" w:ascii="仿宋_GB2312" w:hAnsi="Times New Roman" w:eastAsia="仿宋_GB2312"/>
          <w:sz w:val="32"/>
          <w:szCs w:val="32"/>
        </w:rPr>
        <w:t>围绕国省干线公路网建设，以消除瓶颈路段、畅通省际县际通道、过境公路改造为重点，推进一批干线公路改造项目。重点推进华泰路贾鲁河大桥及附属道路、中州大道南延工程建设项目、中州大道北延工程项目、北华路建设项目（北环路）、南环西环路改造工程、安罗高速西华北站到中州大道连接线建设项目、沙河大桥建设工程等项目建设。</w:t>
      </w:r>
    </w:p>
    <w:p>
      <w:pPr>
        <w:spacing w:line="600" w:lineRule="exact"/>
        <w:ind w:firstLine="643" w:firstLineChars="200"/>
        <w:rPr>
          <w:rFonts w:ascii="Times New Roman" w:hAnsi="Times New Roman" w:eastAsia="仿宋_GB2312" w:cs="Tahoma"/>
          <w:kern w:val="0"/>
          <w:sz w:val="32"/>
          <w:szCs w:val="32"/>
        </w:rPr>
      </w:pPr>
      <w:r>
        <w:rPr>
          <w:rFonts w:hint="eastAsia" w:ascii="楷体_GB2312" w:hAnsi="Times New Roman" w:eastAsia="楷体_GB2312"/>
          <w:b/>
          <w:bCs/>
          <w:sz w:val="32"/>
          <w:szCs w:val="32"/>
        </w:rPr>
        <w:t>推动农村公路提质升级。</w:t>
      </w:r>
      <w:r>
        <w:rPr>
          <w:rFonts w:hint="eastAsia" w:ascii="Times New Roman" w:hAnsi="Times New Roman" w:eastAsia="仿宋_GB2312"/>
          <w:sz w:val="32"/>
          <w:szCs w:val="32"/>
        </w:rPr>
        <w:t>围绕“四好农村路”示范县建设，加快实施农村公路提档升级改造工程，进一步优化路网结构，打通农村公路县际瓶颈路，加强与周边县市的交通联系。以发展乡村旅游路、资源路、产业路、联网路为主要目标，新建改建一批农村公路，着力打造产业道路、旅游环线，改善群众居住和出行环境，有效的带动特色种养业、农村电商、乡村旅游等特色产业发展。继续推进“万村通客车提质工程”，形成县、乡、村畅通循环路网，提升农村公路网络化程度和通达水平。围绕农村通客车线路，对3.5米以下的农村公路实施拓宽改造，推动农村旅游路、资源路、产业路建设，促进特色小镇、乡村旅游、特色农业、绿色生态、产业开发等融合发展。实施农村公路生命防护工程，加大养护资金和设备的投入，积极开展文明示范路建设。加强客、货运输的监管，落实“三关一监督”，整顿规范交通运输市场秩序，开展道路客货运输专项整治工作，改善客货运力结构，提升服务能力。</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推进城乡客货运一体化建设</w:t>
      </w:r>
      <w:r>
        <w:rPr>
          <w:rFonts w:hint="eastAsia" w:ascii="仿宋_GB2312" w:hAnsi="Times New Roman" w:eastAsia="仿宋_GB2312"/>
          <w:sz w:val="32"/>
          <w:szCs w:val="32"/>
        </w:rPr>
        <w:t>。围绕着“万村通客车提质工程”示范县建设，全面推进城乡客运一体化</w:t>
      </w:r>
      <w:r>
        <w:rPr>
          <w:rFonts w:hint="eastAsia" w:ascii="仿宋_GB2312" w:eastAsia="仿宋_GB2312"/>
          <w:sz w:val="32"/>
          <w:szCs w:val="32"/>
        </w:rPr>
        <w:t>建设。加快推进汽</w:t>
      </w:r>
      <w:r>
        <w:rPr>
          <w:rFonts w:hint="eastAsia" w:ascii="仿宋_GB2312" w:hAnsi="仿宋_GB2312" w:eastAsia="仿宋_GB2312" w:cs="仿宋_GB2312"/>
          <w:bCs/>
          <w:sz w:val="32"/>
          <w:szCs w:val="32"/>
        </w:rPr>
        <w:t>车客运总站建设</w:t>
      </w:r>
      <w:r>
        <w:rPr>
          <w:rFonts w:hint="eastAsia" w:ascii="仿宋_GB2312" w:eastAsia="仿宋_GB2312"/>
          <w:sz w:val="32"/>
          <w:szCs w:val="32"/>
        </w:rPr>
        <w:t>，</w:t>
      </w:r>
      <w:r>
        <w:rPr>
          <w:rFonts w:hint="eastAsia" w:ascii="仿宋_GB2312" w:hAnsi="Times New Roman" w:eastAsia="仿宋_GB2312"/>
          <w:sz w:val="32"/>
          <w:szCs w:val="32"/>
        </w:rPr>
        <w:t>完善全县农村客运网络，探索农村客运公交化，促进农村客运网络和城市公交网络合理衔接和有效融合，形成城乡客运资源共享、布局合理、方便快捷、畅通有序的运输新格局。推进城乡货运一体化建设，依托高铁、高速、内河航运、通用航空等综合交通体系，</w:t>
      </w:r>
      <w:r>
        <w:rPr>
          <w:rFonts w:hint="eastAsia" w:ascii="仿宋_GB2312" w:eastAsia="仿宋_GB2312"/>
          <w:sz w:val="32"/>
          <w:szCs w:val="32"/>
        </w:rPr>
        <w:t>结合全县产业布局、国土空间规划和物流需求，完善提升县级农村物流中心功能，健全乡镇物流服务站、农村物流服务点网络建设</w:t>
      </w:r>
      <w:r>
        <w:rPr>
          <w:rFonts w:hint="eastAsia" w:ascii="仿宋_GB2312" w:hAnsi="仿宋_GB2312" w:eastAsia="仿宋_GB2312" w:cs="仿宋_GB2312"/>
          <w:bCs/>
          <w:sz w:val="32"/>
          <w:szCs w:val="32"/>
        </w:rPr>
        <w:t>和信息化建设，实现农村物流各类物资“最初一公里”和“最后一公里”有序集散和高效配送，以及电商、快递等各类物流信息的及时采集和发布。</w:t>
      </w:r>
    </w:p>
    <w:p>
      <w:pPr>
        <w:pStyle w:val="3"/>
        <w:spacing w:before="120" w:after="120" w:line="600" w:lineRule="exact"/>
        <w:jc w:val="center"/>
        <w:rPr>
          <w:rFonts w:ascii="仿宋_GB2312" w:eastAsia="仿宋_GB2312"/>
        </w:rPr>
      </w:pPr>
      <w:bookmarkStart w:id="78" w:name="_Toc65514304"/>
      <w:r>
        <w:rPr>
          <w:rFonts w:hint="eastAsia" w:ascii="仿宋_GB2312" w:eastAsia="仿宋_GB2312"/>
        </w:rPr>
        <w:t>第二节 构建现代水利体系</w:t>
      </w:r>
      <w:bookmarkEnd w:id="78"/>
    </w:p>
    <w:p>
      <w:pPr>
        <w:spacing w:line="600" w:lineRule="exact"/>
        <w:ind w:firstLine="640" w:firstLineChars="200"/>
        <w:jc w:val="left"/>
        <w:rPr>
          <w:rFonts w:ascii="仿宋_GB2312" w:hAnsi="Times New Roman" w:eastAsia="仿宋_GB2312"/>
          <w:sz w:val="32"/>
          <w:szCs w:val="32"/>
        </w:rPr>
      </w:pPr>
      <w:r>
        <w:rPr>
          <w:rFonts w:hint="eastAsia" w:ascii="仿宋_GB2312" w:hAnsi="Times New Roman" w:eastAsia="仿宋_GB2312"/>
          <w:sz w:val="32"/>
          <w:szCs w:val="32"/>
        </w:rPr>
        <w:t>以重点水利工程建设为抓手，</w:t>
      </w:r>
      <w:r>
        <w:rPr>
          <w:rFonts w:hint="eastAsia" w:ascii="仿宋_GB2312" w:eastAsia="仿宋_GB2312"/>
          <w:sz w:val="32"/>
          <w:szCs w:val="32"/>
        </w:rPr>
        <w:t>持续提升水资源配置、水生态修复、水环境治理、水灾害防治能力，以水资源的可持续高效利用助推全县经济高质量发展。</w:t>
      </w:r>
    </w:p>
    <w:p>
      <w:pPr>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kern w:val="0"/>
          <w:sz w:val="32"/>
          <w:szCs w:val="32"/>
        </w:rPr>
        <w:t>完善供水保障体系。</w:t>
      </w:r>
      <w:r>
        <w:rPr>
          <w:rFonts w:hint="eastAsia" w:ascii="仿宋_GB2312" w:hAnsi="Times New Roman" w:eastAsia="仿宋_GB2312"/>
          <w:kern w:val="0"/>
          <w:sz w:val="32"/>
          <w:szCs w:val="32"/>
        </w:rPr>
        <w:t>推进南水北调、沙颍河连通等引调水工程建设</w:t>
      </w:r>
      <w:r>
        <w:rPr>
          <w:rFonts w:hint="eastAsia" w:ascii="仿宋_GB2312" w:eastAsia="仿宋_GB2312"/>
          <w:sz w:val="32"/>
          <w:szCs w:val="32"/>
        </w:rPr>
        <w:t>，进一步提升供水能力，形成沙颍河、</w:t>
      </w:r>
      <w:r>
        <w:rPr>
          <w:rFonts w:hint="eastAsia" w:ascii="仿宋_GB2312" w:hAnsi="Times New Roman" w:eastAsia="仿宋_GB2312"/>
          <w:kern w:val="0"/>
          <w:sz w:val="32"/>
          <w:szCs w:val="32"/>
        </w:rPr>
        <w:t>贾鲁河、大沙河、东风运河等河流互相调水、全县配水的水资源开发</w:t>
      </w:r>
      <w:r>
        <w:rPr>
          <w:rFonts w:hint="eastAsia" w:ascii="仿宋_GB2312" w:eastAsia="仿宋_GB2312"/>
          <w:sz w:val="32"/>
          <w:szCs w:val="32"/>
        </w:rPr>
        <w:t>利用格局</w:t>
      </w:r>
      <w:r>
        <w:rPr>
          <w:rFonts w:hint="eastAsia" w:ascii="仿宋_GB2312" w:hAnsi="Times New Roman" w:eastAsia="仿宋_GB2312"/>
          <w:kern w:val="0"/>
          <w:sz w:val="32"/>
          <w:szCs w:val="32"/>
        </w:rPr>
        <w:t>。大力推进城乡供水一体化、农村供水规模化标准化，全面完</w:t>
      </w:r>
      <w:r>
        <w:rPr>
          <w:rFonts w:hint="eastAsia" w:ascii="仿宋_GB2312" w:eastAsia="仿宋_GB2312"/>
          <w:sz w:val="32"/>
          <w:szCs w:val="32"/>
        </w:rPr>
        <w:t>成农村供水工程升级改造建设。</w:t>
      </w:r>
      <w:r>
        <w:rPr>
          <w:rFonts w:hint="eastAsia" w:ascii="仿宋_GB2312" w:hAnsi="Times New Roman" w:eastAsia="仿宋_GB2312"/>
          <w:kern w:val="0"/>
          <w:sz w:val="32"/>
          <w:szCs w:val="32"/>
        </w:rPr>
        <w:t>推进全县灌区节水配套工程建设，实施小农水工程建设，提高抗旱排涝标准，大幅提高有效灌溉面积，为全力建设</w:t>
      </w:r>
      <w:r>
        <w:rPr>
          <w:rFonts w:hint="eastAsia" w:ascii="Times New Roman" w:hAnsi="Times New Roman" w:eastAsia="仿宋_GB2312"/>
          <w:kern w:val="0"/>
          <w:sz w:val="32"/>
          <w:szCs w:val="32"/>
        </w:rPr>
        <w:t>高标准农田建设提供充足水源保障。</w:t>
      </w:r>
    </w:p>
    <w:p>
      <w:pPr>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sz w:val="32"/>
          <w:szCs w:val="32"/>
        </w:rPr>
        <w:t>提升防洪减灾能力。</w:t>
      </w:r>
      <w:r>
        <w:rPr>
          <w:rFonts w:hint="eastAsia" w:ascii="仿宋_GB2312" w:hAnsi="Times New Roman" w:eastAsia="仿宋_GB2312"/>
          <w:kern w:val="0"/>
          <w:sz w:val="32"/>
          <w:szCs w:val="32"/>
        </w:rPr>
        <w:t>加强防洪薄弱环节建设，补齐防洪突出短板，全</w:t>
      </w:r>
      <w:r>
        <w:rPr>
          <w:rFonts w:hint="eastAsia" w:ascii="仿宋_GB2312" w:eastAsia="仿宋_GB2312"/>
          <w:sz w:val="32"/>
          <w:szCs w:val="32"/>
        </w:rPr>
        <w:t>面提升颍河、贾鲁河、东风运河、双狼河、洼冲河等河道防洪标准，保护好周边群众生命财产和城镇安全，构建良性循环水生态系统，优化水资源环境与生态环境，推进社会经济发展。</w:t>
      </w:r>
      <w:r>
        <w:rPr>
          <w:rFonts w:hint="eastAsia" w:ascii="仿宋_GB2312" w:hAnsi="Times New Roman" w:eastAsia="仿宋_GB2312"/>
          <w:sz w:val="32"/>
          <w:szCs w:val="32"/>
        </w:rPr>
        <w:t>实施好全县大中型病险水闸除险加固工程。健全防汛抗旱预案体系和应急管理机制，提升抢险救灾队伍、物资和装备统筹保障能力，完善防洪减灾信息平台建设，完善应急物资仓库建设。</w:t>
      </w:r>
    </w:p>
    <w:p>
      <w:pPr>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kern w:val="0"/>
          <w:sz w:val="32"/>
          <w:szCs w:val="32"/>
        </w:rPr>
        <w:t>强化水保生态体系。</w:t>
      </w:r>
      <w:r>
        <w:rPr>
          <w:rFonts w:hint="eastAsia" w:ascii="仿宋_GB2312" w:hAnsi="Times New Roman" w:eastAsia="仿宋_GB2312"/>
          <w:sz w:val="32"/>
          <w:szCs w:val="32"/>
        </w:rPr>
        <w:t>以清淤疏浚、水系连通、岸坡整治、水源涵养等为重点，加快推进实施双狼沟二期生态综合治理、颍河至双狼沟沿东风运河生态廊道工程、美丽生态沟渠整治工程、贾鲁河干流重点段治理等河道治理工程，着力恢复河道基本功能、修复水生态，改善水环境，将县域河湖体系打造成</w:t>
      </w:r>
      <w:r>
        <w:rPr>
          <w:rFonts w:hint="eastAsia" w:ascii="Times New Roman" w:hAnsi="Times New Roman" w:eastAsia="仿宋_GB2312"/>
          <w:sz w:val="32"/>
          <w:szCs w:val="32"/>
        </w:rPr>
        <w:t>“安全河、生态河、美丽河”，实现河畅、水清、岸绿、景美。以增强小流域土壤涵养水源能力，改善生态环境，提高环境容量为重点，推动中小河</w:t>
      </w:r>
      <w:r>
        <w:rPr>
          <w:rFonts w:hint="eastAsia" w:ascii="仿宋_GB2312" w:hAnsi="Times New Roman" w:eastAsia="仿宋_GB2312"/>
          <w:sz w:val="32"/>
          <w:szCs w:val="32"/>
        </w:rPr>
        <w:t>流域治理，实现水土保持生态工程的良性循环，促进全县经济的可持续发展。</w:t>
      </w:r>
    </w:p>
    <w:p>
      <w:pPr>
        <w:spacing w:line="600" w:lineRule="exact"/>
        <w:ind w:firstLine="643" w:firstLineChars="200"/>
        <w:jc w:val="left"/>
        <w:rPr>
          <w:rFonts w:ascii="仿宋_GB2312" w:hAnsi="Times New Roman" w:eastAsia="仿宋_GB2312"/>
          <w:sz w:val="32"/>
          <w:szCs w:val="32"/>
        </w:rPr>
      </w:pPr>
      <w:r>
        <w:rPr>
          <w:rFonts w:hint="eastAsia" w:ascii="楷体_GB2312" w:hAnsi="Times New Roman" w:eastAsia="楷体_GB2312"/>
          <w:b/>
          <w:bCs/>
          <w:kern w:val="0"/>
          <w:sz w:val="32"/>
          <w:szCs w:val="32"/>
        </w:rPr>
        <w:t>优化水利服务体系。</w:t>
      </w:r>
      <w:r>
        <w:rPr>
          <w:rFonts w:hint="eastAsia" w:ascii="仿宋_GB2312" w:hAnsi="Times New Roman" w:eastAsia="仿宋_GB2312"/>
          <w:kern w:val="0"/>
          <w:sz w:val="32"/>
          <w:szCs w:val="32"/>
        </w:rPr>
        <w:t>严格落实河长负责制和河湖水域岸线管理保护，强化水资源刚性约束，构建全覆盖的水利信息共享大数据和水利监测网络。</w:t>
      </w:r>
      <w:r>
        <w:rPr>
          <w:rFonts w:hint="eastAsia" w:ascii="仿宋_GB2312" w:eastAsia="仿宋_GB2312"/>
          <w:spacing w:val="4"/>
          <w:sz w:val="32"/>
          <w:szCs w:val="32"/>
        </w:rPr>
        <w:t>以推动河长制从</w:t>
      </w:r>
      <w:r>
        <w:rPr>
          <w:rFonts w:hint="eastAsia" w:eastAsia="仿宋_GB2312"/>
          <w:spacing w:val="4"/>
          <w:sz w:val="32"/>
          <w:szCs w:val="32"/>
        </w:rPr>
        <w:t>“有名”到“有实”为目标，</w:t>
      </w:r>
      <w:r>
        <w:rPr>
          <w:rFonts w:hint="eastAsia" w:ascii="仿宋_GB2312" w:eastAsia="仿宋_GB2312"/>
          <w:sz w:val="32"/>
          <w:szCs w:val="32"/>
        </w:rPr>
        <w:t>严格履行河湖管理职责，完善河长制长</w:t>
      </w:r>
      <w:r>
        <w:rPr>
          <w:rFonts w:hint="eastAsia" w:ascii="仿宋_GB2312" w:eastAsia="仿宋_GB2312"/>
          <w:spacing w:val="4"/>
          <w:sz w:val="32"/>
          <w:szCs w:val="32"/>
        </w:rPr>
        <w:t>效机制</w:t>
      </w:r>
      <w:r>
        <w:rPr>
          <w:rFonts w:hint="eastAsia" w:eastAsia="仿宋_GB2312"/>
          <w:spacing w:val="4"/>
          <w:sz w:val="32"/>
          <w:szCs w:val="32"/>
        </w:rPr>
        <w:t>。开展河湖水域岸线综合整治行动，强力推进</w:t>
      </w:r>
      <w:r>
        <w:rPr>
          <w:rFonts w:eastAsia="仿宋_GB2312"/>
          <w:spacing w:val="4"/>
          <w:sz w:val="32"/>
          <w:szCs w:val="32"/>
        </w:rPr>
        <w:t>“</w:t>
      </w:r>
      <w:r>
        <w:rPr>
          <w:rFonts w:hint="eastAsia" w:ascii="仿宋_GB2312" w:eastAsia="仿宋_GB2312"/>
          <w:spacing w:val="4"/>
          <w:sz w:val="32"/>
          <w:szCs w:val="32"/>
        </w:rPr>
        <w:t>清四乱</w:t>
      </w:r>
      <w:r>
        <w:rPr>
          <w:rFonts w:eastAsia="仿宋_GB2312"/>
          <w:spacing w:val="4"/>
          <w:sz w:val="32"/>
          <w:szCs w:val="32"/>
        </w:rPr>
        <w:t>”</w:t>
      </w:r>
      <w:r>
        <w:rPr>
          <w:rFonts w:hint="eastAsia" w:ascii="仿宋_GB2312" w:eastAsia="仿宋_GB2312"/>
          <w:spacing w:val="4"/>
          <w:sz w:val="32"/>
          <w:szCs w:val="32"/>
        </w:rPr>
        <w:t>专项行动，集中解决河湖乱占、乱采、乱堆、乱建等突出问题，发现一处、清理</w:t>
      </w:r>
      <w:r>
        <w:rPr>
          <w:rFonts w:hint="eastAsia" w:ascii="仿宋_GB2312" w:eastAsia="仿宋_GB2312"/>
          <w:spacing w:val="-4"/>
          <w:sz w:val="32"/>
          <w:szCs w:val="32"/>
        </w:rPr>
        <w:t>一处、销号一处。加强河道采砂管理，围绕以打击非法采砂、规范合法采砂、修复河湖生态重点任务，</w:t>
      </w:r>
      <w:r>
        <w:rPr>
          <w:rFonts w:hint="eastAsia" w:ascii="仿宋_GB2312" w:eastAsia="仿宋_GB2312"/>
          <w:sz w:val="32"/>
          <w:szCs w:val="32"/>
        </w:rPr>
        <w:t>深入开展全县河湖非法采砂专项整治行动，彻底遏制河湖非法采砂乱象，建立依法科学、规范有序的河湖采砂秩序，逐步规范采砂管理工作。</w:t>
      </w:r>
    </w:p>
    <w:p>
      <w:pPr>
        <w:pStyle w:val="3"/>
        <w:spacing w:before="120" w:after="120" w:line="600" w:lineRule="exact"/>
        <w:jc w:val="center"/>
        <w:rPr>
          <w:rFonts w:ascii="仿宋_GB2312" w:eastAsia="仿宋_GB2312"/>
        </w:rPr>
      </w:pPr>
      <w:bookmarkStart w:id="79" w:name="_Toc65514305"/>
      <w:r>
        <w:rPr>
          <w:rFonts w:hint="eastAsia" w:ascii="仿宋_GB2312" w:eastAsia="仿宋_GB2312"/>
        </w:rPr>
        <w:t>第三节 推进清洁低碳能源体系建设</w:t>
      </w:r>
      <w:bookmarkEnd w:id="79"/>
    </w:p>
    <w:p>
      <w:pPr>
        <w:spacing w:line="600" w:lineRule="exact"/>
        <w:ind w:firstLine="640" w:firstLineChars="200"/>
        <w:rPr>
          <w:rFonts w:ascii="仿宋_GB2312" w:hAnsi="Times New Roman" w:eastAsia="仿宋_GB2312"/>
          <w:kern w:val="0"/>
          <w:sz w:val="32"/>
          <w:szCs w:val="32"/>
        </w:rPr>
      </w:pPr>
      <w:r>
        <w:rPr>
          <w:rFonts w:hint="eastAsia" w:ascii="仿宋_GB2312" w:hAnsi="Times New Roman" w:eastAsia="仿宋_GB2312"/>
          <w:kern w:val="0"/>
          <w:sz w:val="32"/>
          <w:szCs w:val="32"/>
        </w:rPr>
        <w:t>加快构建多元互补、清洁低碳、安全高效的能源体系，促进传统能源与风能、太阳能、生物质、地热等可再生能源的协同开发利用，</w:t>
      </w:r>
      <w:r>
        <w:rPr>
          <w:rFonts w:hint="eastAsia" w:ascii="仿宋_GB2312" w:hAnsi="Times New Roman" w:eastAsia="仿宋_GB2312"/>
          <w:sz w:val="32"/>
          <w:szCs w:val="32"/>
        </w:rPr>
        <w:t>科学推进储能</w:t>
      </w:r>
      <w:r>
        <w:rPr>
          <w:rFonts w:hint="eastAsia" w:ascii="仿宋_GB2312" w:eastAsia="仿宋_GB2312"/>
          <w:sz w:val="32"/>
          <w:szCs w:val="32"/>
        </w:rPr>
        <w:t>设施</w:t>
      </w:r>
      <w:r>
        <w:rPr>
          <w:rFonts w:hint="eastAsia" w:ascii="仿宋_GB2312" w:hAnsi="Times New Roman" w:eastAsia="仿宋_GB2312"/>
          <w:sz w:val="32"/>
          <w:szCs w:val="32"/>
        </w:rPr>
        <w:t>建设</w:t>
      </w:r>
      <w:r>
        <w:rPr>
          <w:rFonts w:hint="eastAsia" w:ascii="仿宋_GB2312" w:hAnsi="Times New Roman" w:eastAsia="仿宋_GB2312"/>
          <w:kern w:val="0"/>
          <w:sz w:val="32"/>
          <w:szCs w:val="32"/>
        </w:rPr>
        <w:t>，持续提升能源供给能力和安全保障水平。</w:t>
      </w:r>
    </w:p>
    <w:p>
      <w:pPr>
        <w:spacing w:line="600" w:lineRule="exact"/>
        <w:ind w:firstLine="643" w:firstLineChars="200"/>
        <w:rPr>
          <w:rFonts w:ascii="仿宋_GB2312" w:hAnsi="Times New Roman" w:eastAsia="仿宋_GB2312"/>
          <w:kern w:val="0"/>
          <w:sz w:val="32"/>
          <w:szCs w:val="32"/>
        </w:rPr>
      </w:pPr>
      <w:r>
        <w:rPr>
          <w:rFonts w:hint="eastAsia" w:ascii="仿宋_GB2312" w:hAnsi="Times New Roman" w:eastAsia="仿宋_GB2312"/>
          <w:b/>
          <w:bCs/>
          <w:kern w:val="0"/>
          <w:sz w:val="32"/>
          <w:szCs w:val="32"/>
        </w:rPr>
        <w:t>构建绿色高效电力保障体系。</w:t>
      </w:r>
      <w:r>
        <w:rPr>
          <w:rFonts w:hint="eastAsia" w:ascii="仿宋_GB2312" w:hAnsi="Times New Roman" w:eastAsia="仿宋_GB2312"/>
          <w:kern w:val="0"/>
          <w:sz w:val="32"/>
          <w:szCs w:val="32"/>
        </w:rPr>
        <w:t>加强农村电网线路改造整治工程，努力构建优化布局、合理结构、城乡协调、安全可靠、全县覆盖的现代化电网。以打造坚强电网和智能电网为目标，实施新一轮电网改造升级工程，建设“电源容量充足、系统安全稳定、网络坚强可靠、电网运行灵活、设备先进规范”的现代化电网。加快理顺农电体制，推动建立农网发展长效机制。积极发展民生电力设施，推动建设适度超前、车桩相随、智能高效的充电基础设施体系，</w:t>
      </w:r>
      <w:r>
        <w:rPr>
          <w:rFonts w:hint="eastAsia" w:ascii="仿宋_GB2312" w:hAnsi="Times New Roman" w:eastAsia="仿宋_GB2312"/>
          <w:sz w:val="32"/>
          <w:szCs w:val="32"/>
        </w:rPr>
        <w:t>加强充电桩站点的布局</w:t>
      </w:r>
      <w:r>
        <w:rPr>
          <w:rFonts w:hint="eastAsia" w:ascii="仿宋_GB2312" w:hAnsi="Times New Roman" w:eastAsia="仿宋_GB2312"/>
          <w:kern w:val="0"/>
          <w:sz w:val="32"/>
          <w:szCs w:val="32"/>
        </w:rPr>
        <w:t>。</w:t>
      </w:r>
    </w:p>
    <w:p>
      <w:pPr>
        <w:spacing w:line="600" w:lineRule="exact"/>
        <w:ind w:firstLine="643" w:firstLineChars="200"/>
        <w:rPr>
          <w:rFonts w:ascii="仿宋_GB2312" w:hAnsi="Times New Roman" w:eastAsia="仿宋_GB2312"/>
          <w:kern w:val="0"/>
          <w:sz w:val="32"/>
          <w:szCs w:val="32"/>
        </w:rPr>
      </w:pPr>
      <w:r>
        <w:rPr>
          <w:rFonts w:hint="eastAsia" w:ascii="仿宋_GB2312" w:hAnsi="Times New Roman" w:eastAsia="仿宋_GB2312"/>
          <w:b/>
          <w:bCs/>
          <w:kern w:val="0"/>
          <w:sz w:val="32"/>
          <w:szCs w:val="32"/>
        </w:rPr>
        <w:t>推进能源清洁低碳转型发展。</w:t>
      </w:r>
      <w:r>
        <w:rPr>
          <w:rFonts w:hint="eastAsia" w:ascii="仿宋_GB2312" w:hAnsi="Times New Roman" w:eastAsia="仿宋_GB2312"/>
          <w:kern w:val="0"/>
          <w:sz w:val="32"/>
          <w:szCs w:val="32"/>
        </w:rPr>
        <w:t>完善中心城区、经开区、产业集聚区、各乡镇以及有条件的行政村双气源以上保障的天然气管道网络体系，全面增强天然气供应保障能力。</w:t>
      </w:r>
      <w:r>
        <w:rPr>
          <w:rFonts w:hint="eastAsia" w:ascii="仿宋_GB2312" w:hAnsi="Times New Roman" w:eastAsia="仿宋_GB2312"/>
          <w:sz w:val="32"/>
          <w:szCs w:val="32"/>
        </w:rPr>
        <w:t>在大中型畜禽养殖场，因地制宜</w:t>
      </w:r>
      <w:r>
        <w:rPr>
          <w:rFonts w:hint="eastAsia" w:ascii="仿宋_GB2312" w:hAnsi="Times New Roman" w:eastAsia="仿宋_GB2312"/>
          <w:kern w:val="0"/>
          <w:sz w:val="32"/>
          <w:szCs w:val="32"/>
        </w:rPr>
        <w:t>建设</w:t>
      </w:r>
      <w:r>
        <w:rPr>
          <w:rFonts w:hint="eastAsia" w:ascii="仿宋_GB2312" w:hAnsi="Times New Roman" w:eastAsia="仿宋_GB2312"/>
          <w:sz w:val="32"/>
          <w:szCs w:val="32"/>
        </w:rPr>
        <w:t>一批区域联供和多村联供的大中型沼气集中供气工程，推进农业农村废弃物资源化利用和农村再生清洁能源开发利用。加速太阳能等新能源开发利用。结合美丽乡村和生态农业建设，积极应用发展与农业生产、农民生活相结合的分布式光伏发电。因地制宜开发风能、地热等新型能源，加快风能、抽水蓄能、太阳能、生物质能、沼气等清洁能源发展，推动能源结构清洁化、多元化和高效化。强化农村清洁能源管理和服务。鼓励和引导农民、村集体自建或与市场主体合作建设农村清洁能源服务专业合作社、技术服务公司，支持市场主体按规划参与农村清洁能源基础设施和服务网点建设，积极探索以市场化运营为主、政府提供政策支持的农村清洁能源技术服务体系建设新机制、新模式。</w:t>
      </w:r>
    </w:p>
    <w:p>
      <w:pPr>
        <w:spacing w:line="600" w:lineRule="exact"/>
        <w:ind w:firstLine="643" w:firstLineChars="200"/>
        <w:rPr>
          <w:rFonts w:ascii="仿宋_GB2312" w:hAnsi="Times New Roman" w:eastAsia="仿宋_GB2312"/>
          <w:kern w:val="0"/>
          <w:sz w:val="32"/>
          <w:szCs w:val="32"/>
        </w:rPr>
      </w:pPr>
      <w:r>
        <w:rPr>
          <w:rFonts w:hint="eastAsia" w:ascii="仿宋_GB2312" w:hAnsi="Times New Roman" w:eastAsia="仿宋_GB2312"/>
          <w:b/>
          <w:bCs/>
          <w:kern w:val="0"/>
          <w:sz w:val="32"/>
          <w:szCs w:val="32"/>
        </w:rPr>
        <w:t>构建现代综合智慧能源体系。</w:t>
      </w:r>
      <w:r>
        <w:rPr>
          <w:rFonts w:hint="eastAsia" w:ascii="仿宋_GB2312" w:hAnsi="Times New Roman" w:eastAsia="仿宋_GB2312"/>
          <w:kern w:val="0"/>
          <w:sz w:val="32"/>
          <w:szCs w:val="32"/>
        </w:rPr>
        <w:t>充分发挥智能电网在现代能源体系中的关键作用，提升县、乡、村电网供电保障能力。加快并网控制、智能调度等关键技术的应用推广，促进风能、光伏等与常规能源体系融合，实现可再生能源与常规能源融合发展。加快</w:t>
      </w:r>
      <w:r>
        <w:rPr>
          <w:rFonts w:ascii="Times New Roman" w:hAnsi="Times New Roman" w:eastAsia="仿宋_GB2312"/>
          <w:kern w:val="0"/>
          <w:sz w:val="32"/>
          <w:szCs w:val="32"/>
        </w:rPr>
        <w:t>5G、</w:t>
      </w:r>
      <w:r>
        <w:rPr>
          <w:rFonts w:hint="eastAsia" w:ascii="仿宋_GB2312" w:hAnsi="Times New Roman" w:eastAsia="仿宋_GB2312"/>
          <w:kern w:val="0"/>
          <w:sz w:val="32"/>
          <w:szCs w:val="32"/>
        </w:rPr>
        <w:t>大数据、人工智能、物联网、工业互联网等现代信息技术在能源领域的应用推广，</w:t>
      </w:r>
      <w:r>
        <w:rPr>
          <w:rFonts w:hint="eastAsia" w:ascii="仿宋_GB2312" w:eastAsia="仿宋_GB2312"/>
          <w:sz w:val="32"/>
          <w:szCs w:val="32"/>
        </w:rPr>
        <w:t>培育能源新技术</w:t>
      </w:r>
      <w:r>
        <w:rPr>
          <w:rFonts w:hint="eastAsia" w:ascii="仿宋_GB2312" w:hAnsi="Times New Roman" w:eastAsia="仿宋_GB2312"/>
          <w:kern w:val="0"/>
          <w:sz w:val="32"/>
          <w:szCs w:val="32"/>
        </w:rPr>
        <w:t>、新业态、新模式，构建“横向多能源互补、纵向源网荷储协调”的能源集成互补、梯级利用新格局，</w:t>
      </w:r>
      <w:r>
        <w:rPr>
          <w:rFonts w:hint="eastAsia" w:ascii="仿宋_GB2312" w:hAnsi="Times New Roman" w:eastAsia="仿宋_GB2312"/>
          <w:sz w:val="32"/>
          <w:szCs w:val="32"/>
        </w:rPr>
        <w:t>逐步形成全面感知</w:t>
      </w:r>
      <w:r>
        <w:rPr>
          <w:rFonts w:hint="eastAsia" w:ascii="仿宋_GB2312" w:hAnsi="Times New Roman" w:eastAsia="仿宋_GB2312"/>
          <w:kern w:val="0"/>
          <w:sz w:val="32"/>
          <w:szCs w:val="32"/>
        </w:rPr>
        <w:t>、广泛互联、开放共享、智能互动、多能协同的新型生态化能源体系。</w:t>
      </w:r>
    </w:p>
    <w:p>
      <w:pPr>
        <w:pStyle w:val="3"/>
        <w:spacing w:before="120" w:after="120" w:line="600" w:lineRule="exact"/>
        <w:jc w:val="center"/>
        <w:rPr>
          <w:rFonts w:ascii="Times New Roman" w:hAnsi="Times New Roman" w:eastAsia="仿宋_GB2312"/>
        </w:rPr>
      </w:pPr>
      <w:bookmarkStart w:id="80" w:name="_Toc65514306"/>
      <w:r>
        <w:rPr>
          <w:rFonts w:hint="eastAsia" w:ascii="仿宋_GB2312" w:hAnsi="Times New Roman" w:eastAsia="仿宋_GB2312"/>
        </w:rPr>
        <w:t>第四节 打造高效信息基础设施</w:t>
      </w:r>
      <w:bookmarkEnd w:id="80"/>
    </w:p>
    <w:p>
      <w:pPr>
        <w:spacing w:line="600" w:lineRule="exact"/>
        <w:ind w:firstLine="640" w:firstLineChars="200"/>
        <w:rPr>
          <w:rFonts w:ascii="Times New Roman" w:hAnsi="Times New Roman" w:eastAsia="仿宋_GB2312"/>
          <w:sz w:val="32"/>
          <w:szCs w:val="32"/>
        </w:rPr>
      </w:pPr>
      <w:r>
        <w:rPr>
          <w:rFonts w:hint="eastAsia" w:ascii="仿宋_GB2312" w:hAnsi="Times New Roman" w:eastAsia="仿宋_GB2312"/>
          <w:sz w:val="32"/>
          <w:szCs w:val="32"/>
        </w:rPr>
        <w:t>以新发展理念为引领，以技术创新为驱动，以信息网络为基础，面向高质量</w:t>
      </w:r>
      <w:r>
        <w:rPr>
          <w:rFonts w:hint="eastAsia" w:ascii="仿宋_GB2312" w:hAnsi="Times New Roman" w:eastAsia="仿宋_GB2312"/>
          <w:kern w:val="0"/>
          <w:sz w:val="32"/>
          <w:szCs w:val="32"/>
        </w:rPr>
        <w:t>发展</w:t>
      </w:r>
      <w:r>
        <w:rPr>
          <w:rFonts w:hint="eastAsia" w:ascii="仿宋_GB2312" w:hAnsi="Times New Roman" w:eastAsia="仿宋_GB2312"/>
          <w:sz w:val="32"/>
          <w:szCs w:val="32"/>
        </w:rPr>
        <w:t>需求，加强新一代</w:t>
      </w:r>
      <w:r>
        <w:rPr>
          <w:rFonts w:hint="eastAsia" w:ascii="仿宋_GB2312" w:eastAsia="仿宋_GB2312"/>
          <w:sz w:val="32"/>
          <w:szCs w:val="32"/>
        </w:rPr>
        <w:t>信息</w:t>
      </w:r>
      <w:r>
        <w:rPr>
          <w:rFonts w:hint="eastAsia" w:ascii="仿宋_GB2312" w:hAnsi="Times New Roman" w:eastAsia="仿宋_GB2312"/>
          <w:sz w:val="32"/>
          <w:szCs w:val="32"/>
        </w:rPr>
        <w:t>基础设施建设，为经济社会发展提供信息支撑。</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推进信息基础设施现代化。</w:t>
      </w:r>
      <w:r>
        <w:rPr>
          <w:rFonts w:hint="eastAsia" w:ascii="仿宋_GB2312" w:hAnsi="Times New Roman" w:eastAsia="仿宋_GB2312"/>
          <w:sz w:val="32"/>
          <w:szCs w:val="32"/>
        </w:rPr>
        <w:t>加强基于新一代信息技术演化生成的基础设施建设，同步规划、同步建设以</w:t>
      </w:r>
      <w:r>
        <w:rPr>
          <w:rFonts w:ascii="Times New Roman" w:hAnsi="Times New Roman" w:eastAsia="仿宋_GB2312"/>
          <w:sz w:val="32"/>
          <w:szCs w:val="32"/>
        </w:rPr>
        <w:t>5G</w:t>
      </w:r>
      <w:r>
        <w:rPr>
          <w:rFonts w:hint="eastAsia" w:ascii="仿宋_GB2312" w:hAnsi="Times New Roman" w:eastAsia="仿宋_GB2312"/>
          <w:sz w:val="32"/>
          <w:szCs w:val="32"/>
        </w:rPr>
        <w:t>、工业互联网、物联网等为代表的通信</w:t>
      </w:r>
      <w:r>
        <w:rPr>
          <w:rFonts w:hint="eastAsia" w:ascii="仿宋_GB2312" w:hAnsi="Times New Roman" w:eastAsia="仿宋_GB2312"/>
          <w:kern w:val="0"/>
          <w:sz w:val="32"/>
          <w:szCs w:val="32"/>
        </w:rPr>
        <w:t>网络</w:t>
      </w:r>
      <w:r>
        <w:rPr>
          <w:rFonts w:hint="eastAsia" w:ascii="仿宋_GB2312" w:hAnsi="Times New Roman" w:eastAsia="仿宋_GB2312"/>
          <w:sz w:val="32"/>
          <w:szCs w:val="32"/>
        </w:rPr>
        <w:t>基础设施，以数据中心为代表的存储基础设施，以人工智能、云计算、区块链等为代表的新技术基础设施，以智能计算中心为代表的算力基础设施，构成互联互通、自主可控和经济适用的分布式、</w:t>
      </w:r>
      <w:r>
        <w:rPr>
          <w:rFonts w:hint="eastAsia" w:ascii="仿宋_GB2312" w:eastAsia="仿宋_GB2312"/>
          <w:sz w:val="32"/>
          <w:szCs w:val="32"/>
        </w:rPr>
        <w:t>智能化</w:t>
      </w:r>
      <w:r>
        <w:rPr>
          <w:rFonts w:hint="eastAsia" w:ascii="仿宋_GB2312" w:hAnsi="Times New Roman" w:eastAsia="仿宋_GB2312"/>
          <w:sz w:val="32"/>
          <w:szCs w:val="32"/>
        </w:rPr>
        <w:t>信息基础设施体系。推进光纤宽带网络升级改造，持续实施“宽带光纤技术更新改造”工程，加快农村地区光缆扩容和线路改造，扩大乡镇和行政村接入网络覆盖范围。推进无线宽带网向架构扁平化、接入手段多样化、承载分组化、传输高速化方向发展，推进</w:t>
      </w:r>
      <w:r>
        <w:rPr>
          <w:rFonts w:ascii="Times New Roman" w:hAnsi="Times New Roman" w:eastAsia="仿宋_GB2312"/>
          <w:sz w:val="32"/>
          <w:szCs w:val="32"/>
        </w:rPr>
        <w:t>5G</w:t>
      </w:r>
      <w:r>
        <w:rPr>
          <w:rFonts w:hint="eastAsia" w:ascii="仿宋_GB2312" w:hAnsi="Times New Roman" w:eastAsia="仿宋_GB2312"/>
          <w:sz w:val="32"/>
          <w:szCs w:val="32"/>
        </w:rPr>
        <w:t>基站建设规模扩大。到</w:t>
      </w:r>
      <w:r>
        <w:rPr>
          <w:rFonts w:ascii="Times New Roman" w:hAnsi="Times New Roman" w:eastAsia="仿宋_GB2312"/>
          <w:sz w:val="32"/>
          <w:szCs w:val="32"/>
        </w:rPr>
        <w:t>2025</w:t>
      </w:r>
      <w:r>
        <w:rPr>
          <w:rFonts w:hint="eastAsia" w:ascii="仿宋_GB2312" w:hAnsi="Times New Roman" w:eastAsia="仿宋_GB2312"/>
          <w:sz w:val="32"/>
          <w:szCs w:val="32"/>
        </w:rPr>
        <w:t>年，实现全县乡镇</w:t>
      </w:r>
      <w:r>
        <w:rPr>
          <w:rFonts w:ascii="Times New Roman" w:hAnsi="Times New Roman" w:eastAsia="仿宋_GB2312"/>
          <w:sz w:val="32"/>
          <w:szCs w:val="32"/>
        </w:rPr>
        <w:t>5G</w:t>
      </w:r>
      <w:r>
        <w:rPr>
          <w:rFonts w:hint="eastAsia" w:ascii="仿宋_GB2312" w:hAnsi="Times New Roman" w:eastAsia="仿宋_GB2312"/>
          <w:sz w:val="32"/>
          <w:szCs w:val="32"/>
        </w:rPr>
        <w:t>基站全覆盖。</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推进现代网络体系建设。</w:t>
      </w:r>
      <w:r>
        <w:rPr>
          <w:rFonts w:hint="eastAsia" w:ascii="仿宋_GB2312" w:hAnsi="Times New Roman" w:eastAsia="仿宋_GB2312"/>
          <w:sz w:val="32"/>
          <w:szCs w:val="32"/>
        </w:rPr>
        <w:t>以科技创新推动现代网络体系建设，分梯次、分门类、分阶段地推进互联网前沿战略性技术、关键性技术、基础民用技术创新。以移动、联动、电信等公有企业为主导，同时发挥好民营企业的积极性、主动性和创造性。完善科技创新体制</w:t>
      </w:r>
      <w:r>
        <w:rPr>
          <w:rFonts w:hint="eastAsia" w:ascii="仿宋_GB2312" w:hAnsi="Times New Roman" w:eastAsia="仿宋_GB2312"/>
          <w:kern w:val="0"/>
          <w:sz w:val="32"/>
          <w:szCs w:val="32"/>
        </w:rPr>
        <w:t>机制</w:t>
      </w:r>
      <w:r>
        <w:rPr>
          <w:rFonts w:hint="eastAsia" w:ascii="仿宋_GB2312" w:hAnsi="Times New Roman" w:eastAsia="仿宋_GB2312"/>
          <w:sz w:val="32"/>
          <w:szCs w:val="32"/>
        </w:rPr>
        <w:t>，进一步打通互联网领域的创新链、应用链、价值链。落实网络平台的主体责任，形成主管部门和平台</w:t>
      </w:r>
      <w:r>
        <w:rPr>
          <w:rFonts w:hint="eastAsia" w:ascii="Times New Roman" w:hAnsi="Times New Roman" w:eastAsia="仿宋_GB2312"/>
          <w:sz w:val="32"/>
          <w:szCs w:val="32"/>
        </w:rPr>
        <w:t>“齐抓共管，良性互动”管理格局。提升群防群治能力，把社会专业治理与社会公众监督融为一体，在发展中加强治理意识，在有效治理中谋求新发展，逐步形成全民共建共治共享的社会治理格局。</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建设西华大数据中心。</w:t>
      </w:r>
      <w:r>
        <w:rPr>
          <w:rFonts w:hint="eastAsia" w:ascii="仿宋_GB2312" w:hAnsi="Times New Roman" w:eastAsia="仿宋_GB2312"/>
          <w:sz w:val="32"/>
          <w:szCs w:val="32"/>
        </w:rPr>
        <w:t>支持西华大数据中心建设，积极引进知名互联网、物联网、大数据、云计算企业在西华设立区域基地，形成区域竞争新优势。加快建设包括数据交换平台、目录管理服务系统、</w:t>
      </w:r>
      <w:r>
        <w:rPr>
          <w:rFonts w:hint="eastAsia" w:ascii="仿宋_GB2312" w:hAnsi="Times New Roman" w:eastAsia="仿宋_GB2312"/>
          <w:kern w:val="0"/>
          <w:sz w:val="32"/>
          <w:szCs w:val="32"/>
        </w:rPr>
        <w:t>数据</w:t>
      </w:r>
      <w:r>
        <w:rPr>
          <w:rFonts w:hint="eastAsia" w:ascii="仿宋_GB2312" w:hAnsi="Times New Roman" w:eastAsia="仿宋_GB2312"/>
          <w:sz w:val="32"/>
          <w:szCs w:val="32"/>
        </w:rPr>
        <w:t>清洗与比对系统、</w:t>
      </w:r>
      <w:r>
        <w:rPr>
          <w:rFonts w:hint="eastAsia" w:ascii="仿宋_GB2312" w:eastAsia="仿宋_GB2312"/>
          <w:sz w:val="32"/>
          <w:szCs w:val="32"/>
        </w:rPr>
        <w:t>运行</w:t>
      </w:r>
      <w:r>
        <w:rPr>
          <w:rFonts w:hint="eastAsia" w:ascii="仿宋_GB2312" w:hAnsi="Times New Roman" w:eastAsia="仿宋_GB2312"/>
          <w:sz w:val="32"/>
          <w:szCs w:val="32"/>
        </w:rPr>
        <w:t>管理与监控系统和平台以及包括人口、法人、空间地理和宏观经济等四大基础数据库，建立由基础数据库、共享数据库、目录数据库和交换数据库组成的全县统一的政务共享数据库。</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建设现代智能平台系统。</w:t>
      </w:r>
      <w:r>
        <w:rPr>
          <w:rFonts w:hint="eastAsia" w:ascii="仿宋_GB2312" w:hAnsi="Times New Roman" w:eastAsia="仿宋_GB2312"/>
          <w:sz w:val="32"/>
          <w:szCs w:val="32"/>
        </w:rPr>
        <w:t>推进西华智慧城市云平台建设，建设政务信息资源交换共享平台及覆盖乡、乡、村三级的公共信息服务平台，提升服务社会能力。建立全县统一、涵盖全县建设规划、城市管理、交通管理、社区管理等各方面信息资源的</w:t>
      </w:r>
      <w:r>
        <w:rPr>
          <w:rFonts w:hint="eastAsia" w:ascii="Times New Roman" w:hAnsi="Times New Roman" w:eastAsia="仿宋_GB2312"/>
          <w:sz w:val="32"/>
          <w:szCs w:val="32"/>
        </w:rPr>
        <w:t>“一张图”。全面推进公用设备设施的智能化升级与应用，建设集动态信息采集、现场检查、风险评估、应急指挥等功能为一体的公共安全设施监控信息系统。利用物联网传感设备对水、气、声、土壤、生态等环境要素以及对危废、医废等危险源进行全方位监测，建设智慧环保系统。</w:t>
      </w:r>
    </w:p>
    <w:p>
      <w:pPr>
        <w:pStyle w:val="2"/>
        <w:spacing w:before="240" w:after="240" w:line="600" w:lineRule="exact"/>
        <w:ind w:right="-340" w:rightChars="-162"/>
        <w:jc w:val="center"/>
        <w:rPr>
          <w:rFonts w:ascii="黑体" w:hAnsi="黑体" w:eastAsia="黑体"/>
          <w:b w:val="0"/>
          <w:sz w:val="32"/>
          <w:szCs w:val="32"/>
        </w:rPr>
      </w:pPr>
      <w:bookmarkStart w:id="81" w:name="_Toc65514307"/>
      <w:r>
        <w:rPr>
          <w:rFonts w:hint="eastAsia" w:ascii="黑体" w:hAnsi="黑体" w:eastAsia="黑体"/>
          <w:b w:val="0"/>
          <w:sz w:val="32"/>
          <w:szCs w:val="32"/>
        </w:rPr>
        <w:t>第十二章  改善人民生活品质，加快建设幸福美好家园</w:t>
      </w:r>
      <w:bookmarkEnd w:id="81"/>
    </w:p>
    <w:p>
      <w:pPr>
        <w:spacing w:line="600" w:lineRule="exact"/>
        <w:ind w:firstLine="664" w:firstLineChars="200"/>
        <w:rPr>
          <w:rFonts w:ascii="Times New Roman" w:hAnsi="Times New Roman" w:eastAsia="仿宋_GB2312"/>
          <w:spacing w:val="6"/>
          <w:sz w:val="32"/>
          <w:szCs w:val="32"/>
        </w:rPr>
      </w:pPr>
      <w:r>
        <w:rPr>
          <w:rFonts w:hint="eastAsia" w:ascii="Times New Roman" w:hAnsi="Times New Roman" w:eastAsia="仿宋_GB2312"/>
          <w:spacing w:val="6"/>
          <w:sz w:val="32"/>
          <w:szCs w:val="32"/>
        </w:rPr>
        <w:t>坚持尽力而为、量力而行的原则，统筹好“基本”和“非基本”，加快构建高质量公共服务体系，着力满足人民群众多层次多样化的公共服务需求，让百万西华人民的生活更幸福、更美好。</w:t>
      </w:r>
    </w:p>
    <w:p>
      <w:pPr>
        <w:pStyle w:val="3"/>
        <w:spacing w:before="120" w:after="120" w:line="600" w:lineRule="exact"/>
        <w:jc w:val="center"/>
        <w:rPr>
          <w:rFonts w:ascii="Times New Roman" w:hAnsi="Times New Roman" w:eastAsia="仿宋_GB2312"/>
        </w:rPr>
      </w:pPr>
      <w:bookmarkStart w:id="82" w:name="_Toc65514308"/>
      <w:r>
        <w:rPr>
          <w:rFonts w:hint="eastAsia" w:ascii="仿宋_GB2312" w:hAnsi="Times New Roman" w:eastAsia="仿宋_GB2312"/>
        </w:rPr>
        <w:t>第一节 推进更高质量充分就业</w:t>
      </w:r>
      <w:bookmarkEnd w:id="82"/>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坚持把促进就业放在更加突出位置，实施积极的就业发展战略，努力扩大就业规模，改善就业结构，实现更加充分、更高质量就业</w:t>
      </w:r>
      <w:r>
        <w:rPr>
          <w:rFonts w:hint="eastAsia" w:ascii="仿宋_GB2312" w:hAnsi="Times New Roman" w:eastAsia="仿宋_GB2312"/>
          <w:sz w:val="32"/>
          <w:szCs w:val="32"/>
        </w:rPr>
        <w:t>。</w:t>
      </w:r>
      <w:r>
        <w:rPr>
          <w:rFonts w:ascii="Times New Roman" w:hAnsi="Times New Roman" w:eastAsia="仿宋_GB2312"/>
          <w:sz w:val="32"/>
          <w:szCs w:val="32"/>
        </w:rPr>
        <w:t>到2025年</w:t>
      </w:r>
      <w:r>
        <w:rPr>
          <w:rFonts w:ascii="Times New Roman" w:hAnsi="Times New Roman" w:eastAsia="仿宋_GB2312"/>
          <w:snapToGrid w:val="0"/>
          <w:sz w:val="32"/>
          <w:szCs w:val="32"/>
        </w:rPr>
        <w:t>，力争新增就业4万人以上，城镇登记失业率控制在3.8%以内。</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健全就业服务体系。</w:t>
      </w:r>
      <w:r>
        <w:rPr>
          <w:rFonts w:hint="eastAsia" w:ascii="仿宋_GB2312" w:hAnsi="Times New Roman" w:eastAsia="仿宋_GB2312"/>
          <w:sz w:val="32"/>
          <w:szCs w:val="32"/>
        </w:rPr>
        <w:t>深化就业领域</w:t>
      </w:r>
      <w:r>
        <w:rPr>
          <w:rFonts w:hint="eastAsia" w:ascii="Times New Roman" w:hAnsi="Times New Roman" w:eastAsia="仿宋_GB2312"/>
          <w:sz w:val="32"/>
          <w:szCs w:val="32"/>
        </w:rPr>
        <w:t>“放管服”改革，优化公共就业服务流程，不断</w:t>
      </w:r>
      <w:r>
        <w:rPr>
          <w:rFonts w:hint="eastAsia" w:ascii="仿宋_GB2312" w:hAnsi="Times New Roman" w:eastAsia="仿宋_GB2312"/>
          <w:kern w:val="0"/>
          <w:sz w:val="32"/>
          <w:szCs w:val="32"/>
        </w:rPr>
        <w:t>提高</w:t>
      </w:r>
      <w:r>
        <w:rPr>
          <w:rFonts w:hint="eastAsia" w:ascii="Times New Roman" w:hAnsi="Times New Roman" w:eastAsia="仿宋_GB2312"/>
          <w:sz w:val="32"/>
          <w:szCs w:val="32"/>
        </w:rPr>
        <w:t>公共就业服务整体效能，构建全方位就业公共服务体系。</w:t>
      </w:r>
    </w:p>
    <w:p>
      <w:pPr>
        <w:spacing w:line="600" w:lineRule="exact"/>
        <w:ind w:firstLine="640" w:firstLineChars="200"/>
        <w:rPr>
          <w:rFonts w:ascii="Times New Roman" w:hAnsi="Times New Roman" w:eastAsia="仿宋_GB2312"/>
          <w:sz w:val="32"/>
          <w:szCs w:val="32"/>
        </w:rPr>
      </w:pPr>
      <w:r>
        <w:rPr>
          <w:rFonts w:ascii="Times New Roman" w:hAnsi="Times New Roman" w:eastAsia="仿宋_GB2312"/>
          <w:sz w:val="32"/>
          <w:szCs w:val="32"/>
        </w:rPr>
        <w:t>——</w:t>
      </w:r>
      <w:r>
        <w:rPr>
          <w:rFonts w:hint="eastAsia" w:ascii="仿宋_GB2312" w:hAnsi="Times New Roman" w:eastAsia="仿宋_GB2312"/>
          <w:b/>
          <w:bCs/>
          <w:sz w:val="32"/>
          <w:szCs w:val="32"/>
        </w:rPr>
        <w:t>加强公共信息服务平台建设</w:t>
      </w:r>
      <w:r>
        <w:rPr>
          <w:rFonts w:hint="eastAsia" w:ascii="仿宋_GB2312" w:hAnsi="Times New Roman" w:eastAsia="仿宋_GB2312"/>
          <w:sz w:val="32"/>
          <w:szCs w:val="32"/>
        </w:rPr>
        <w:t>。积极推动公共就业服务标准化、信息化建设，建立健全服务标准体系，推进智慧化服务，积极实施“互联网+就业创业”行动，建立一体化公共服务信息平台。逐步实现线上线下服务渠道的有机衔接，形成跨领域、跨部门、跨层级的联动服务能力。明确公共就业服务工作职能，为社会公众提供</w:t>
      </w:r>
      <w:r>
        <w:rPr>
          <w:rFonts w:hint="eastAsia" w:ascii="仿宋_GB2312" w:hAnsi="Times New Roman" w:eastAsia="仿宋_GB2312"/>
          <w:kern w:val="0"/>
          <w:sz w:val="32"/>
          <w:szCs w:val="32"/>
        </w:rPr>
        <w:t>就业</w:t>
      </w:r>
      <w:r>
        <w:rPr>
          <w:rFonts w:hint="eastAsia" w:ascii="仿宋_GB2312" w:hAnsi="Times New Roman" w:eastAsia="仿宋_GB2312"/>
          <w:sz w:val="32"/>
          <w:szCs w:val="32"/>
        </w:rPr>
        <w:t>政策法规咨询、职业供求、培训信息、就业、失业登记、就业见习服务、招聘、项目选择、劳动关系协调等服务。</w:t>
      </w:r>
    </w:p>
    <w:p>
      <w:pPr>
        <w:spacing w:line="600" w:lineRule="exact"/>
        <w:ind w:firstLine="640" w:firstLineChars="200"/>
        <w:rPr>
          <w:rFonts w:ascii="仿宋_GB2312" w:hAnsi="Times New Roman" w:eastAsia="仿宋_GB2312"/>
          <w:sz w:val="32"/>
          <w:szCs w:val="32"/>
        </w:rPr>
      </w:pPr>
      <w:r>
        <w:rPr>
          <w:rFonts w:ascii="Times New Roman" w:hAnsi="Times New Roman" w:eastAsia="仿宋_GB2312"/>
          <w:sz w:val="32"/>
          <w:szCs w:val="32"/>
        </w:rPr>
        <w:t>——</w:t>
      </w:r>
      <w:r>
        <w:rPr>
          <w:rFonts w:hint="eastAsia" w:ascii="仿宋_GB2312" w:hAnsi="Times New Roman" w:eastAsia="仿宋_GB2312"/>
          <w:b/>
          <w:bCs/>
          <w:sz w:val="32"/>
          <w:szCs w:val="32"/>
        </w:rPr>
        <w:t>加强公共就业服务队伍建设。</w:t>
      </w:r>
      <w:r>
        <w:rPr>
          <w:rFonts w:hint="eastAsia" w:ascii="仿宋_GB2312" w:hAnsi="Times New Roman" w:eastAsia="仿宋_GB2312"/>
          <w:sz w:val="32"/>
          <w:szCs w:val="32"/>
        </w:rPr>
        <w:t>依托公共就业服务平台，进一步完善乡镇（街道）、村（社区）基层公共就业创业服务平台。建立健全和谐劳动关系，完善人力资源市场机制，加快人力资源服务业发展，依托人力资源创业园建设，引进一批在沿海具有实力和优势的人力资源公司，为重点群体就业搭建公共就业服务平台，有效开展职业介绍服务，扎实促进我县转移就业工作力度。</w:t>
      </w:r>
    </w:p>
    <w:p>
      <w:pPr>
        <w:spacing w:line="600" w:lineRule="exact"/>
        <w:ind w:firstLine="640" w:firstLineChars="200"/>
        <w:rPr>
          <w:rFonts w:ascii="仿宋_GB2312" w:hAnsi="Times New Roman" w:eastAsia="仿宋_GB2312"/>
          <w:sz w:val="32"/>
          <w:szCs w:val="32"/>
        </w:rPr>
      </w:pPr>
      <w:r>
        <w:rPr>
          <w:rFonts w:ascii="Times New Roman" w:hAnsi="Times New Roman" w:eastAsia="仿宋_GB2312"/>
          <w:sz w:val="32"/>
          <w:szCs w:val="32"/>
        </w:rPr>
        <w:t>——</w:t>
      </w:r>
      <w:r>
        <w:rPr>
          <w:rFonts w:hint="eastAsia" w:ascii="仿宋_GB2312" w:hAnsi="Times New Roman" w:eastAsia="仿宋_GB2312"/>
          <w:b/>
          <w:bCs/>
          <w:sz w:val="32"/>
          <w:szCs w:val="32"/>
        </w:rPr>
        <w:t>加强失业风险防范。</w:t>
      </w:r>
      <w:r>
        <w:rPr>
          <w:rFonts w:hint="eastAsia" w:ascii="仿宋_GB2312" w:hAnsi="Times New Roman" w:eastAsia="仿宋_GB2312"/>
          <w:sz w:val="32"/>
          <w:szCs w:val="32"/>
        </w:rPr>
        <w:t>加强失业动态监测，全方位开展重点区域、重点群体、重点行业、重点企业就业失业监测，建立调查失业率按月统计</w:t>
      </w:r>
      <w:r>
        <w:rPr>
          <w:rFonts w:hint="eastAsia" w:ascii="仿宋_GB2312" w:hAnsi="Times New Roman" w:eastAsia="仿宋_GB2312"/>
          <w:kern w:val="0"/>
          <w:sz w:val="32"/>
          <w:szCs w:val="32"/>
        </w:rPr>
        <w:t>发布</w:t>
      </w:r>
      <w:r>
        <w:rPr>
          <w:rFonts w:hint="eastAsia" w:ascii="仿宋_GB2312" w:hAnsi="Times New Roman" w:eastAsia="仿宋_GB2312"/>
          <w:sz w:val="32"/>
          <w:szCs w:val="32"/>
        </w:rPr>
        <w:t>制度，开展就业岗位调查和线上失业登记。完善失业风险预警和快速响应工作机制，开展大数据比对分析，建立健全多方参与的就业形势研判机制，做好化解规模裁员和失业风险的预案制定和政策储备工作。完善舆论宣传引导机制，建立重大舆情沟通协调与应急处置机制，稳定社会预期。</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拓宽就业渠道。</w:t>
      </w:r>
      <w:r>
        <w:rPr>
          <w:rFonts w:hint="eastAsia" w:ascii="仿宋_GB2312" w:hAnsi="Times New Roman" w:eastAsia="仿宋_GB2312"/>
          <w:sz w:val="32"/>
          <w:szCs w:val="32"/>
        </w:rPr>
        <w:t>坚持</w:t>
      </w:r>
      <w:r>
        <w:rPr>
          <w:rFonts w:hint="eastAsia" w:ascii="Times New Roman" w:hAnsi="Times New Roman" w:eastAsia="仿宋_GB2312"/>
          <w:sz w:val="32"/>
          <w:szCs w:val="32"/>
        </w:rPr>
        <w:t>“稳”“拓”并举，着力稳定就业岗位存量，大力拓展就业岗位增量，促进更高质量和更充分就业，确保人民收入持续增长。加大援企稳岗支持力度，推动企业社会保险费“减、免、缓、降”等惠企政策常态化，发挥协调劳动关系三方机制作用，引导企业稳定劳动关系，确保现有就业岗位供给存量稳定。积极主动融入国内国际“双循环”发展新格局，实施“内需拉动、投资推动、创业带动、外贸撬动”四大就业岗位拓展行动，</w:t>
      </w:r>
      <w:r>
        <w:rPr>
          <w:rFonts w:hint="eastAsia" w:ascii="仿宋_GB2312" w:hAnsi="Times New Roman" w:eastAsia="仿宋_GB2312"/>
          <w:kern w:val="0"/>
          <w:sz w:val="32"/>
          <w:szCs w:val="32"/>
        </w:rPr>
        <w:t>深入</w:t>
      </w:r>
      <w:r>
        <w:rPr>
          <w:rFonts w:hint="eastAsia" w:ascii="Times New Roman" w:hAnsi="Times New Roman" w:eastAsia="仿宋_GB2312"/>
          <w:sz w:val="32"/>
          <w:szCs w:val="32"/>
        </w:rPr>
        <w:t>挖掘内需带就业。以“两新一重”、重大民生领域投资等为抓手，加大投资创就业；以稳定外贸外资，发展外向型经济为抓手，稳定外贸扩就业；以推动“互联网</w:t>
      </w:r>
      <w:r>
        <w:rPr>
          <w:rFonts w:ascii="Times New Roman" w:hAnsi="Times New Roman" w:eastAsia="仿宋_GB2312"/>
          <w:sz w:val="32"/>
          <w:szCs w:val="32"/>
        </w:rPr>
        <w:t>+</w:t>
      </w:r>
      <w:r>
        <w:rPr>
          <w:rFonts w:hint="eastAsia" w:ascii="仿宋_GB2312" w:hAnsi="Times New Roman" w:eastAsia="仿宋_GB2312"/>
          <w:sz w:val="32"/>
          <w:szCs w:val="32"/>
        </w:rPr>
        <w:t>”“首店经济”“体验经济”等新业态新模式与创新创业联动为抓手，扶持创业带就业，支持灵活就业和新就业形态发展，支持微商电商、网络直播等多样化的自主就业、分时就业等就业形式，不断创造优化就业岗位增量。</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做好重点群体就业。</w:t>
      </w:r>
      <w:r>
        <w:rPr>
          <w:rFonts w:hint="eastAsia" w:ascii="仿宋_GB2312" w:hAnsi="Times New Roman" w:eastAsia="仿宋_GB2312"/>
          <w:sz w:val="32"/>
          <w:szCs w:val="32"/>
        </w:rPr>
        <w:t>继续把高校毕业生就业摆在就业工作的首位，深入实施离校毕业生就业促进和创业引领计划，加强就业指导和就业见习。健全高校毕业生到基层工作的服务保障机制，参与实施高校毕业生基层培养计划。配合供给侧结构性改革，加大再就业支持力度，实施再就业帮扶行动，做好化解过剩产能中职工安置工作。统筹城乡就业，健全完善城乡劳动者平等就业制度，促进农村劳动力转移就业和外出务工人员返乡创业。加强对就业困难人员的就业援助，规范公益岗位开发和管理，对就业困难人员实行实名制动态管理和分类帮扶，确保零就业家庭、最低生活保障家庭等困难家庭至少一人实现就业。</w:t>
      </w:r>
    </w:p>
    <w:p>
      <w:pPr>
        <w:spacing w:line="600" w:lineRule="exact"/>
        <w:ind w:firstLine="732" w:firstLineChars="228"/>
        <w:rPr>
          <w:rFonts w:ascii="仿宋_GB2312" w:hAnsi="Times New Roman" w:eastAsia="仿宋_GB2312"/>
          <w:sz w:val="32"/>
          <w:szCs w:val="32"/>
        </w:rPr>
      </w:pPr>
      <w:r>
        <w:rPr>
          <w:rFonts w:hint="eastAsia" w:ascii="楷体_GB2312" w:hAnsi="Times New Roman" w:eastAsia="楷体_GB2312"/>
          <w:b/>
          <w:bCs/>
          <w:sz w:val="32"/>
          <w:szCs w:val="32"/>
        </w:rPr>
        <w:t>加大就业扶持力度。</w:t>
      </w:r>
      <w:r>
        <w:rPr>
          <w:rFonts w:hint="eastAsia" w:ascii="仿宋_GB2312" w:hAnsi="Times New Roman" w:eastAsia="仿宋_GB2312"/>
          <w:sz w:val="32"/>
          <w:szCs w:val="32"/>
        </w:rPr>
        <w:t>完善自主创业和灵活就业支持政策，加大对小微企业和新就业形态的扶持。深入推进全民技能振兴工程，大力开展职业技能提升行动。推行职业技能培训制度，构建覆盖城乡全体劳动者、贯穿劳动者学习工作终身、适应劳动者和市场需求的职业培训制度。加强电商人才培训，培育一批网商及农村电商发展带头人，积极引导电商企业、电商服务站与基地或农民合作社有效对接，创新应用“电商企业+基地（合作社）+农户”、“贫困户种植制作+合作社加工包装+电商扶贫站（电商企业）销售”模式，大力培育打造农产品电商产业带。重点加快推进村级电商服务站、创业孵化基地、网络直播基地和农产品网货基地等项目建设。对贫困家庭子女、未升学初高中毕业生、农民工、失业人员等实行免费职业培训。在“十四五”期间，力争职业技能培训达到</w:t>
      </w:r>
      <w:r>
        <w:rPr>
          <w:rFonts w:ascii="Times New Roman" w:hAnsi="Times New Roman" w:eastAsia="仿宋_GB2312"/>
          <w:sz w:val="32"/>
          <w:szCs w:val="32"/>
        </w:rPr>
        <w:t>2.8万人，新增高</w:t>
      </w:r>
      <w:r>
        <w:rPr>
          <w:rFonts w:ascii="仿宋_GB2312" w:eastAsia="仿宋_GB2312"/>
          <w:sz w:val="32"/>
          <w:szCs w:val="32"/>
        </w:rPr>
        <w:t>技能</w:t>
      </w:r>
      <w:r>
        <w:rPr>
          <w:rFonts w:ascii="Times New Roman" w:hAnsi="Times New Roman" w:eastAsia="仿宋_GB2312"/>
          <w:sz w:val="32"/>
          <w:szCs w:val="32"/>
        </w:rPr>
        <w:t>人才100人。深入推进创业带动就业工作，强创业孵化基地、创业园区和众创空间等新型创业平台建设，</w:t>
      </w:r>
      <w:r>
        <w:rPr>
          <w:rFonts w:hint="eastAsia" w:ascii="仿宋_GB2312" w:hAnsi="Times New Roman" w:eastAsia="仿宋_GB2312"/>
          <w:sz w:val="32"/>
          <w:szCs w:val="32"/>
        </w:rPr>
        <w:t>建立面向人人的创业服务平台，促进产业资源、创业资本、高端人才等创业创新要素和各类服务向创业平台聚集。不断优化创业服务，</w:t>
      </w:r>
      <w:r>
        <w:rPr>
          <w:rFonts w:hint="eastAsia" w:ascii="仿宋_GB2312" w:hAnsi="仿宋" w:eastAsia="仿宋_GB2312" w:cs="仿宋"/>
          <w:snapToGrid w:val="0"/>
          <w:sz w:val="32"/>
          <w:szCs w:val="32"/>
        </w:rPr>
        <w:t>加强“返乡创业服务站”建设，完善服务功能，为返乡创业提供便利，加大创业资金支持，拓宽创业投融资渠道。</w:t>
      </w:r>
    </w:p>
    <w:p>
      <w:pPr>
        <w:pStyle w:val="3"/>
        <w:spacing w:before="120" w:after="120" w:line="600" w:lineRule="exact"/>
        <w:jc w:val="center"/>
        <w:rPr>
          <w:rFonts w:ascii="Times New Roman" w:hAnsi="Times New Roman" w:eastAsia="仿宋_GB2312"/>
        </w:rPr>
      </w:pPr>
      <w:bookmarkStart w:id="83" w:name="_Toc65514309"/>
      <w:r>
        <w:rPr>
          <w:rFonts w:hint="eastAsia" w:ascii="仿宋_GB2312" w:hAnsi="Times New Roman" w:eastAsia="仿宋_GB2312"/>
        </w:rPr>
        <w:t>第二节 加快推进教育现代化</w:t>
      </w:r>
      <w:bookmarkEnd w:id="83"/>
    </w:p>
    <w:p>
      <w:pPr>
        <w:spacing w:line="600" w:lineRule="exact"/>
        <w:ind w:firstLine="640" w:firstLineChars="200"/>
        <w:rPr>
          <w:rFonts w:ascii="仿宋_GB2312" w:eastAsia="仿宋_GB2312"/>
          <w:sz w:val="32"/>
          <w:szCs w:val="32"/>
        </w:rPr>
      </w:pPr>
      <w:bookmarkStart w:id="84" w:name="_Toc65514310"/>
      <w:r>
        <w:rPr>
          <w:rFonts w:hint="eastAsia" w:ascii="仿宋_GB2312" w:eastAsia="仿宋_GB2312"/>
          <w:sz w:val="32"/>
          <w:szCs w:val="32"/>
        </w:rPr>
        <w:t>以办好人民满意的教育为目标，落实立德树人根本任务，全面深化教育改革，强化</w:t>
      </w:r>
      <w:r>
        <w:rPr>
          <w:rFonts w:hint="eastAsia" w:ascii="仿宋_GB2312" w:hAnsi="Times New Roman" w:eastAsia="仿宋_GB2312"/>
          <w:sz w:val="32"/>
          <w:szCs w:val="32"/>
        </w:rPr>
        <w:t>教育</w:t>
      </w:r>
      <w:r>
        <w:rPr>
          <w:rFonts w:hint="eastAsia" w:ascii="仿宋_GB2312" w:eastAsia="仿宋_GB2312"/>
          <w:sz w:val="32"/>
          <w:szCs w:val="32"/>
        </w:rPr>
        <w:t>保障，大力推进城乡教育一体化、教育服务均等化，为西华经济社会发展提供有力人才保障和智力支撑。</w:t>
      </w:r>
    </w:p>
    <w:p>
      <w:pPr>
        <w:spacing w:line="600" w:lineRule="exact"/>
        <w:ind w:firstLine="643" w:firstLineChars="200"/>
        <w:rPr>
          <w:rFonts w:ascii="仿宋_GB2312" w:eastAsia="仿宋_GB2312"/>
          <w:sz w:val="32"/>
          <w:szCs w:val="32"/>
        </w:rPr>
      </w:pPr>
      <w:r>
        <w:rPr>
          <w:rFonts w:hint="eastAsia" w:ascii="楷体_GB2312" w:hAnsi="楷体" w:eastAsia="楷体_GB2312" w:cs="楷体"/>
          <w:b/>
          <w:bCs/>
          <w:sz w:val="32"/>
          <w:szCs w:val="32"/>
        </w:rPr>
        <w:t>巩固提升基础教育水平。</w:t>
      </w:r>
      <w:r>
        <w:rPr>
          <w:rFonts w:hint="eastAsia" w:ascii="仿宋_GB2312" w:eastAsia="仿宋_GB2312"/>
          <w:sz w:val="32"/>
          <w:szCs w:val="32"/>
        </w:rPr>
        <w:t>优化城乡教育资源布局，加大中小学、幼儿园建设力度，完善基本公共教育服务体系，巩固和拓展基本均衡县建设成果。</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——推进学前教育全覆盖。</w:t>
      </w:r>
      <w:r>
        <w:rPr>
          <w:rFonts w:hint="eastAsia" w:ascii="仿宋_GB2312" w:eastAsia="仿宋_GB2312"/>
          <w:sz w:val="32"/>
          <w:szCs w:val="32"/>
        </w:rPr>
        <w:t>以实现普惠性学前教育为目标， 以把公办幼儿园建设纳入城乡公共服务规划为保障，以扩大公办幼儿园和普惠性幼儿园供给为抓手，进一步整合现有幼儿园，提高办园质量，着力构建覆盖城乡、布局合理、条件达标、公益普惠的</w:t>
      </w:r>
      <w:r>
        <w:rPr>
          <w:rFonts w:hint="eastAsia" w:ascii="仿宋_GB2312" w:hAnsi="Times New Roman" w:eastAsia="仿宋_GB2312"/>
          <w:sz w:val="32"/>
          <w:szCs w:val="32"/>
        </w:rPr>
        <w:t>学前教育</w:t>
      </w:r>
      <w:r>
        <w:rPr>
          <w:rFonts w:hint="eastAsia" w:ascii="仿宋_GB2312" w:eastAsia="仿宋_GB2312"/>
          <w:sz w:val="32"/>
          <w:szCs w:val="32"/>
        </w:rPr>
        <w:t>公共服务体系，形成以公办幼儿园和提供普惠性服务的民办幼儿园为主体，多渠道、多形式学前教育发展格局。</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——推动义务教育优质均衡发展。</w:t>
      </w:r>
      <w:r>
        <w:rPr>
          <w:rFonts w:hint="eastAsia" w:ascii="仿宋_GB2312" w:eastAsia="仿宋_GB2312"/>
          <w:sz w:val="32"/>
          <w:szCs w:val="32"/>
        </w:rPr>
        <w:t>补齐义务教育短板，均衡配置教育资源，改善办学条件，全面推进办学条件标准化，实现县域内</w:t>
      </w:r>
      <w:r>
        <w:rPr>
          <w:rFonts w:hint="eastAsia" w:ascii="仿宋_GB2312" w:hAnsi="Times New Roman" w:eastAsia="仿宋_GB2312"/>
          <w:sz w:val="32"/>
          <w:szCs w:val="32"/>
        </w:rPr>
        <w:t>义务教育</w:t>
      </w:r>
      <w:r>
        <w:rPr>
          <w:rFonts w:hint="eastAsia" w:ascii="仿宋_GB2312" w:eastAsia="仿宋_GB2312"/>
          <w:sz w:val="32"/>
          <w:szCs w:val="32"/>
        </w:rPr>
        <w:t>优质均衡发展。按照“小而精、小而美”的标准和“保安全、保运转”的要求，全面改善农村教学点办学条件。着力优化城区学校结构，更好地实现就近入学，加快</w:t>
      </w:r>
      <w:r>
        <w:rPr>
          <w:rFonts w:ascii="Times New Roman" w:hAnsi="Times New Roman" w:eastAsia="仿宋_GB2312"/>
          <w:sz w:val="32"/>
          <w:szCs w:val="32"/>
        </w:rPr>
        <w:t>推进6所新建改扩建公办小学、2所新建</w:t>
      </w:r>
      <w:r>
        <w:rPr>
          <w:rFonts w:hint="eastAsia" w:ascii="仿宋_GB2312" w:eastAsia="仿宋_GB2312"/>
          <w:sz w:val="32"/>
          <w:szCs w:val="32"/>
        </w:rPr>
        <w:t>公办初中项目建设。</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——巩固提升高中阶段教育。</w:t>
      </w:r>
      <w:r>
        <w:rPr>
          <w:rFonts w:hint="eastAsia" w:ascii="仿宋_GB2312" w:eastAsia="仿宋_GB2312"/>
          <w:sz w:val="32"/>
          <w:szCs w:val="32"/>
        </w:rPr>
        <w:t>加大高中教育投入，不断改善高中学校办学条件。鼓励普通高中办出特色，促进办学体制多样化，扩大优质资源，推动普通高中多元化特色化发展。加快筹建河南大学附属中学、艺术附中和郑州一高分校。建立和完善高中教育教学评价体系，努力打造一批名牌教师和品牌学科，促进教育教学工作不断上台阶。</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——规范发展民办教育。</w:t>
      </w:r>
      <w:r>
        <w:rPr>
          <w:rFonts w:hint="eastAsia" w:ascii="仿宋_GB2312" w:eastAsia="仿宋_GB2312"/>
          <w:sz w:val="32"/>
          <w:szCs w:val="32"/>
        </w:rPr>
        <w:t>以完善管理体制和政策体系为重点，释放社会力量办学活力，规范民办教育发展，创新和扩大教育服务多样化</w:t>
      </w:r>
      <w:r>
        <w:rPr>
          <w:rFonts w:hint="eastAsia" w:ascii="仿宋_GB2312" w:hAnsi="Times New Roman" w:eastAsia="仿宋_GB2312"/>
          <w:sz w:val="32"/>
          <w:szCs w:val="32"/>
        </w:rPr>
        <w:t>供给</w:t>
      </w:r>
      <w:r>
        <w:rPr>
          <w:rFonts w:hint="eastAsia" w:ascii="仿宋_GB2312" w:eastAsia="仿宋_GB2312"/>
          <w:sz w:val="32"/>
          <w:szCs w:val="32"/>
        </w:rPr>
        <w:t xml:space="preserve">。将民办教育纳入教育发展总体规划。优化民办教育发展环境。落实义务教育阶段民办学校生均公用经费保障机制。依法落实民办学校与公办学校的同等法律地位，注重民办学校教师专业发展，健全民办学校教师社会保障制度。支持民办学校创新办学机制和育人模式，培育一批高水平、有特色的民办学校。 </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——积极发展特殊教育。</w:t>
      </w:r>
      <w:r>
        <w:rPr>
          <w:rFonts w:hint="eastAsia" w:ascii="仿宋_GB2312" w:eastAsia="仿宋_GB2312"/>
          <w:sz w:val="32"/>
          <w:szCs w:val="32"/>
        </w:rPr>
        <w:t>继续加大对特殊教育的经费投入，提高特教教师的地位和待遇。加强普特结合，推进融合教育发展，建立以普通学校随班就读为主体、以特殊教育学校为骨干、以送教上门为补充的教育安置方式，力争让每一个残疾少年儿童都能接受合适的教育。加强专业化特教教师队伍建设，加大对特教教师的补充力度和培训力度。</w:t>
      </w:r>
    </w:p>
    <w:p>
      <w:pPr>
        <w:spacing w:line="600" w:lineRule="exact"/>
        <w:ind w:firstLine="643" w:firstLineChars="200"/>
        <w:rPr>
          <w:rFonts w:ascii="仿宋_GB2312" w:eastAsia="仿宋_GB2312"/>
          <w:sz w:val="32"/>
          <w:szCs w:val="32"/>
        </w:rPr>
      </w:pPr>
      <w:r>
        <w:rPr>
          <w:rFonts w:hint="eastAsia" w:ascii="楷体_GB2312" w:eastAsia="楷体_GB2312"/>
          <w:b/>
          <w:bCs/>
          <w:sz w:val="32"/>
          <w:szCs w:val="32"/>
        </w:rPr>
        <w:t>加快现代职业教育体系建设。</w:t>
      </w:r>
      <w:r>
        <w:rPr>
          <w:rFonts w:hint="eastAsia" w:ascii="仿宋_GB2312" w:eastAsia="仿宋_GB2312"/>
          <w:sz w:val="32"/>
          <w:szCs w:val="32"/>
        </w:rPr>
        <w:t xml:space="preserve">以产教融合为导向，整合职业教育资源，组建产教联盟，完善职业教育人才培养体系，全面提升职业教育人才培养质量。 </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——中等职业教育。</w:t>
      </w:r>
      <w:r>
        <w:rPr>
          <w:rFonts w:hint="eastAsia" w:ascii="仿宋_GB2312" w:eastAsia="仿宋_GB2312"/>
          <w:sz w:val="32"/>
          <w:szCs w:val="32"/>
        </w:rPr>
        <w:t>实现普通高中教育和中等职业教育协调发展的要求，满足人民群众接受职业教育的需求，满足经济社会对高素质劳动者和技能型人才的需要。加强职业教育基础设施建设，完善实训设施，培养“双师型”教师队伍，提升中职学校办学水平。大力开展“校企合作、校校合作、产业融合”，大力推行订单培养，提高就业率，增强职业教育吸引力，促进职业教育服务当地经济发展能力和办学实力明显提升。</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——建立健全社区教育网络。</w:t>
      </w:r>
      <w:r>
        <w:rPr>
          <w:rFonts w:hint="eastAsia" w:ascii="仿宋_GB2312" w:eastAsia="仿宋_GB2312"/>
          <w:sz w:val="32"/>
          <w:szCs w:val="32"/>
        </w:rPr>
        <w:t>加大面向学校教育之后的全县成人继续教育。继续实施人人技能工程，以岗位培训为重点，统筹扩大继续教育资源，规范教育培训，落实教育经费和固定的教育场所，组建专兼职师资培训队伍，提高教育质量。广泛开展社区教育，</w:t>
      </w:r>
      <w:r>
        <w:rPr>
          <w:rFonts w:hint="eastAsia" w:ascii="仿宋_GB2312" w:hAnsi="Times New Roman" w:eastAsia="仿宋_GB2312"/>
          <w:sz w:val="32"/>
          <w:szCs w:val="32"/>
        </w:rPr>
        <w:t>积极</w:t>
      </w:r>
      <w:r>
        <w:rPr>
          <w:rFonts w:hint="eastAsia" w:ascii="仿宋_GB2312" w:eastAsia="仿宋_GB2312"/>
          <w:sz w:val="32"/>
          <w:szCs w:val="32"/>
        </w:rPr>
        <w:t>建设全县社区教育中心，不断提高社区教育的覆盖率，推进学习型社会建设。</w:t>
      </w:r>
    </w:p>
    <w:p>
      <w:pPr>
        <w:spacing w:line="600" w:lineRule="exact"/>
        <w:ind w:firstLine="643" w:firstLineChars="200"/>
        <w:rPr>
          <w:rFonts w:ascii="仿宋_GB2312" w:eastAsia="仿宋_GB2312"/>
          <w:sz w:val="32"/>
          <w:szCs w:val="32"/>
        </w:rPr>
      </w:pPr>
      <w:r>
        <w:rPr>
          <w:rFonts w:hint="eastAsia" w:ascii="楷体_GB2312" w:eastAsia="楷体_GB2312"/>
          <w:b/>
          <w:bCs/>
          <w:sz w:val="32"/>
          <w:szCs w:val="32"/>
        </w:rPr>
        <w:t>加强教师队伍建设。</w:t>
      </w:r>
      <w:r>
        <w:rPr>
          <w:rFonts w:hint="eastAsia" w:ascii="仿宋_GB2312" w:eastAsia="仿宋_GB2312"/>
          <w:sz w:val="32"/>
          <w:szCs w:val="32"/>
        </w:rPr>
        <w:t xml:space="preserve">进一步加强教师队伍建设，加大对教师培训支持力度，培育形成一批优秀的名师和名校长队伍，提升教师教书育人能力素质。建立健全教师补充交流机制，精准培养本土化乡村教师，多渠道、多形式补充教师，健全支教和校长教师交流轮岗制度。以中小学校长职级制改革为突破口，稳步推进“县管校聘”教师管理体制改革。加大校长教师交流力度，鼓励校长、教师到薄弱学校工作、任教，推动区域间师资力量均衡配置。加强教师职业理想和职业道德教育，增强教师廉洁从教意识，规范从教行为，完善师德师风长效机制，提升教师的思想政治素质和职业道德，将师德作为教师考核、聘任（聘用）和评价的首要内容，切实提升师德师风水平。大力宣传和表彰做出突出贡献的教师和教育工作者，营造良好的社会舆论氛围。健全教师培训体系。继续实施国培、省培、市培、县培和校本研究“五位一体”的教师培训体系。鼓励教师和校长在实践中大胆探索，创新教育理念、教育模式和教育方法，提高教师专业水平和教育教学能力。在落实全员岗位培训的基础上，培养一批教育教学名师和教育骨干。 </w:t>
      </w:r>
    </w:p>
    <w:p>
      <w:pPr>
        <w:spacing w:line="600" w:lineRule="exact"/>
        <w:ind w:firstLine="643" w:firstLineChars="200"/>
        <w:rPr>
          <w:rFonts w:ascii="仿宋_GB2312" w:eastAsia="仿宋_GB2312"/>
          <w:sz w:val="32"/>
          <w:szCs w:val="32"/>
        </w:rPr>
      </w:pPr>
      <w:r>
        <w:rPr>
          <w:rFonts w:hint="eastAsia" w:ascii="仿宋_GB2312" w:eastAsia="仿宋_GB2312"/>
          <w:b/>
          <w:bCs/>
          <w:sz w:val="32"/>
          <w:szCs w:val="32"/>
        </w:rPr>
        <w:t>加快推进教育信息化。</w:t>
      </w:r>
      <w:r>
        <w:rPr>
          <w:rFonts w:hint="eastAsia" w:ascii="仿宋_GB2312" w:eastAsia="仿宋_GB2312"/>
          <w:sz w:val="32"/>
          <w:szCs w:val="32"/>
        </w:rPr>
        <w:t>全面落实教育部教育信息化</w:t>
      </w:r>
      <w:r>
        <w:rPr>
          <w:rFonts w:ascii="Times New Roman" w:hAnsi="Times New Roman" w:eastAsia="仿宋_GB2312"/>
          <w:sz w:val="32"/>
          <w:szCs w:val="32"/>
        </w:rPr>
        <w:t>2.0行</w:t>
      </w:r>
      <w:r>
        <w:rPr>
          <w:rFonts w:hint="eastAsia" w:ascii="仿宋_GB2312" w:eastAsia="仿宋_GB2312"/>
          <w:sz w:val="32"/>
          <w:szCs w:val="32"/>
        </w:rPr>
        <w:t>动计划，深入实施教育信息化提升工程，完善各级各类学校信息化基础环境，健全基础教育资源公共服务平台，丰富基础教育课程资源，扩充职业</w:t>
      </w:r>
      <w:r>
        <w:rPr>
          <w:rFonts w:hint="eastAsia" w:ascii="仿宋_GB2312" w:hAnsi="Times New Roman" w:eastAsia="仿宋_GB2312"/>
          <w:sz w:val="32"/>
          <w:szCs w:val="32"/>
        </w:rPr>
        <w:t>教育</w:t>
      </w:r>
      <w:r>
        <w:rPr>
          <w:rFonts w:hint="eastAsia" w:ascii="仿宋_GB2312" w:eastAsia="仿宋_GB2312"/>
          <w:sz w:val="32"/>
          <w:szCs w:val="32"/>
        </w:rPr>
        <w:t>和终身教育资源，加快构建数字教育资源公共服务体系。加强学校尤其农村中小学校园网络基础设施建设与多媒体终端配备，校园网建设普及率</w:t>
      </w:r>
      <w:r>
        <w:rPr>
          <w:rFonts w:hint="eastAsia" w:ascii="Times New Roman" w:hAnsi="Times New Roman" w:eastAsia="仿宋_GB2312"/>
          <w:sz w:val="32"/>
          <w:szCs w:val="32"/>
        </w:rPr>
        <w:t>达100%；加快</w:t>
      </w:r>
      <w:r>
        <w:rPr>
          <w:rFonts w:hint="eastAsia" w:ascii="仿宋_GB2312" w:eastAsia="仿宋_GB2312"/>
          <w:sz w:val="32"/>
          <w:szCs w:val="32"/>
        </w:rPr>
        <w:t>数字化校园建设，推进数字校园、图书馆、实验（训）室等学习场所的智能化升级与改造，引导开发智慧数字教育软件与资源，构建以学习者为中心的智慧教育教学环境，提升学校教育教学环境的智能化水平。探索现代技术与教育教学融合应用，利用</w:t>
      </w:r>
      <w:r>
        <w:rPr>
          <w:rFonts w:ascii="Times New Roman" w:hAnsi="Times New Roman" w:eastAsia="仿宋_GB2312"/>
          <w:sz w:val="32"/>
          <w:szCs w:val="32"/>
        </w:rPr>
        <w:t>5G</w:t>
      </w:r>
      <w:r>
        <w:rPr>
          <w:rFonts w:hint="eastAsia" w:ascii="仿宋_GB2312" w:eastAsia="仿宋_GB2312"/>
          <w:sz w:val="32"/>
          <w:szCs w:val="32"/>
        </w:rPr>
        <w:t>网络、人工智能、大数据、云计算等新</w:t>
      </w:r>
      <w:r>
        <w:rPr>
          <w:rFonts w:hint="eastAsia" w:ascii="Times New Roman" w:hAnsi="Times New Roman" w:eastAsia="仿宋_GB2312"/>
          <w:sz w:val="32"/>
          <w:szCs w:val="32"/>
        </w:rPr>
        <w:t>技术</w:t>
      </w:r>
      <w:r>
        <w:rPr>
          <w:rFonts w:hint="eastAsia" w:ascii="仿宋_GB2312" w:eastAsia="仿宋_GB2312"/>
          <w:sz w:val="32"/>
          <w:szCs w:val="32"/>
        </w:rPr>
        <w:t>，以“智慧教育示范学校”建设为抓手，加强“名师课堂”和“名校网络课堂”建设，提升智慧校园建设水平。</w:t>
      </w:r>
    </w:p>
    <w:p>
      <w:pPr>
        <w:pStyle w:val="3"/>
        <w:spacing w:before="120" w:after="120" w:line="600" w:lineRule="exact"/>
        <w:jc w:val="center"/>
        <w:rPr>
          <w:rFonts w:ascii="Times New Roman" w:hAnsi="Times New Roman" w:eastAsia="仿宋_GB2312"/>
        </w:rPr>
      </w:pPr>
      <w:r>
        <w:rPr>
          <w:rFonts w:hint="eastAsia" w:ascii="仿宋_GB2312" w:hAnsi="Times New Roman" w:eastAsia="仿宋_GB2312"/>
        </w:rPr>
        <w:t>第三节 深入实施健康西华行动</w:t>
      </w:r>
      <w:bookmarkEnd w:id="84"/>
    </w:p>
    <w:p>
      <w:pPr>
        <w:spacing w:line="600" w:lineRule="exact"/>
        <w:ind w:firstLine="640" w:firstLineChars="200"/>
        <w:rPr>
          <w:rFonts w:ascii="Times New Roman" w:hAnsi="Times New Roman" w:eastAsia="仿宋_GB2312"/>
          <w:sz w:val="32"/>
          <w:szCs w:val="32"/>
        </w:rPr>
      </w:pPr>
      <w:r>
        <w:rPr>
          <w:rFonts w:hint="eastAsia" w:ascii="仿宋_GB2312" w:hAnsi="Times New Roman" w:eastAsia="仿宋_GB2312"/>
          <w:sz w:val="32"/>
          <w:szCs w:val="32"/>
        </w:rPr>
        <w:t>以国家卫生城市创建为抓手，围绕公共卫生、医疗服务、医疗体制、健康素养、群众体育等重点领域，推动医疗卫生资源高水平供给、均等化布局、高效能服务，推动健康西华建设向更高水平迈进。</w:t>
      </w:r>
    </w:p>
    <w:p>
      <w:pPr>
        <w:spacing w:line="600" w:lineRule="exact"/>
        <w:ind w:firstLine="643" w:firstLineChars="200"/>
        <w:rPr>
          <w:rFonts w:ascii="Times New Roman" w:hAnsi="Times New Roman" w:eastAsia="仿宋_GB2312"/>
          <w:sz w:val="32"/>
          <w:szCs w:val="32"/>
        </w:rPr>
      </w:pPr>
      <w:r>
        <w:rPr>
          <w:rFonts w:hint="eastAsia" w:ascii="楷体_GB2312" w:hAnsi="Times New Roman" w:eastAsia="楷体_GB2312"/>
          <w:b/>
          <w:bCs/>
          <w:sz w:val="32"/>
          <w:szCs w:val="32"/>
        </w:rPr>
        <w:t>全面提升医疗卫生水平。</w:t>
      </w:r>
      <w:r>
        <w:rPr>
          <w:rFonts w:hint="eastAsia" w:ascii="仿宋_GB2312" w:hAnsi="Times New Roman" w:eastAsia="仿宋_GB2312"/>
          <w:sz w:val="32"/>
          <w:szCs w:val="32"/>
        </w:rPr>
        <w:t>优化医疗卫生资源配置，完善疾病预防控制体系和重大疫情防控体制机制，健全公共卫生人才梯队，高标准构筑公共卫生体系，不断提高城乡居民健康水平。</w:t>
      </w:r>
    </w:p>
    <w:p>
      <w:pPr>
        <w:spacing w:line="600" w:lineRule="exact"/>
        <w:ind w:firstLine="640" w:firstLineChars="200"/>
        <w:rPr>
          <w:rFonts w:ascii="仿宋_GB2312" w:hAnsi="Times New Roman" w:eastAsia="仿宋_GB2312"/>
          <w:sz w:val="32"/>
          <w:szCs w:val="32"/>
          <w:shd w:val="clear" w:color="auto" w:fill="FFFFFF"/>
        </w:rPr>
      </w:pPr>
      <w:r>
        <w:rPr>
          <w:rFonts w:hint="eastAsia" w:ascii="Times New Roman" w:hAnsi="Times New Roman" w:eastAsia="仿宋_GB2312"/>
          <w:sz w:val="32"/>
          <w:szCs w:val="32"/>
        </w:rPr>
        <w:t>——</w:t>
      </w:r>
      <w:r>
        <w:rPr>
          <w:rFonts w:hint="eastAsia" w:ascii="仿宋_GB2312" w:hAnsi="Times New Roman" w:eastAsia="仿宋_GB2312"/>
          <w:b/>
          <w:bCs/>
          <w:sz w:val="32"/>
          <w:szCs w:val="32"/>
        </w:rPr>
        <w:t>优化医疗卫生资源配置。</w:t>
      </w:r>
      <w:r>
        <w:rPr>
          <w:rFonts w:hint="eastAsia" w:ascii="仿宋_GB2312" w:hAnsi="Times New Roman" w:eastAsia="仿宋_GB2312"/>
          <w:sz w:val="32"/>
          <w:szCs w:val="32"/>
        </w:rPr>
        <w:t>围绕着紧密型县域医共体建设，统筹做好区域卫生资源规划布局，合理设置区、乡、村三级医疗机构，建立和完善覆盖全县的医疗救治服务体系。积极引进北京</w:t>
      </w:r>
      <w:r>
        <w:rPr>
          <w:rFonts w:ascii="Times New Roman" w:hAnsi="Times New Roman" w:eastAsia="仿宋_GB2312"/>
          <w:sz w:val="32"/>
          <w:szCs w:val="32"/>
        </w:rPr>
        <w:t>301</w:t>
      </w:r>
      <w:r>
        <w:rPr>
          <w:rFonts w:hint="eastAsia" w:ascii="仿宋_GB2312" w:hAnsi="Times New Roman" w:eastAsia="仿宋_GB2312"/>
          <w:sz w:val="32"/>
          <w:szCs w:val="32"/>
        </w:rPr>
        <w:t>医院、郑州大学第一附属医院等优质医疗资源，在西华经济技术开发区内新建1所二级医院，全面改造提升乡镇卫生院，按标准配建村（社区）卫生室，进一步织密医疗基础设施的网格，增强医疗服务能力</w:t>
      </w:r>
      <w:r>
        <w:rPr>
          <w:rFonts w:hint="eastAsia" w:ascii="仿宋_GB2312" w:hAnsi="Times New Roman" w:eastAsia="仿宋_GB2312"/>
          <w:sz w:val="32"/>
          <w:szCs w:val="32"/>
          <w:shd w:val="clear" w:color="auto" w:fill="FFFFFF"/>
        </w:rPr>
        <w:t>。</w:t>
      </w:r>
    </w:p>
    <w:p>
      <w:pPr>
        <w:spacing w:line="600" w:lineRule="exact"/>
        <w:ind w:firstLine="643" w:firstLineChars="200"/>
        <w:rPr>
          <w:rFonts w:ascii="仿宋_GB2312" w:hAnsi="Times New Roman" w:eastAsia="仿宋_GB2312"/>
          <w:sz w:val="32"/>
          <w:szCs w:val="32"/>
        </w:rPr>
      </w:pPr>
      <w:r>
        <w:rPr>
          <w:rFonts w:hint="eastAsia" w:ascii="Times New Roman" w:hAnsi="Times New Roman" w:eastAsia="仿宋_GB2312"/>
          <w:b/>
          <w:bCs/>
          <w:sz w:val="32"/>
          <w:szCs w:val="32"/>
        </w:rPr>
        <w:t>——加强公共卫生服务体系建设。</w:t>
      </w:r>
      <w:r>
        <w:rPr>
          <w:rFonts w:hint="eastAsia" w:ascii="仿宋_GB2312" w:hAnsi="Times New Roman" w:eastAsia="仿宋_GB2312"/>
          <w:sz w:val="32"/>
          <w:szCs w:val="32"/>
        </w:rPr>
        <w:t>建立健全公共卫生服务网络，切实提高应对突发重大公共卫生事件的能力和水平。全面推进国家基本公共卫生均等化项目，认真开展疾病预防控制、卫生监督检测工作，全面提升重大传染病防控、突发公共卫生事件医疗救治服务水平。重点加快推进县疾控中心项目、全县</w:t>
      </w:r>
      <w:r>
        <w:rPr>
          <w:rFonts w:ascii="Times New Roman" w:hAnsi="Times New Roman" w:eastAsia="仿宋_GB2312"/>
          <w:sz w:val="32"/>
          <w:szCs w:val="32"/>
        </w:rPr>
        <w:t>18个乡镇卫生院和3个</w:t>
      </w:r>
      <w:r>
        <w:rPr>
          <w:rFonts w:hint="eastAsia" w:ascii="仿宋_GB2312" w:hAnsi="Times New Roman" w:eastAsia="仿宋_GB2312"/>
          <w:sz w:val="32"/>
          <w:szCs w:val="32"/>
        </w:rPr>
        <w:t>社区卫生服务中心发热门诊（发热哨点）建设项目，提高重大传染病防控能力。健全城乡</w:t>
      </w:r>
      <w:r>
        <w:rPr>
          <w:rFonts w:hint="eastAsia" w:ascii="Times New Roman" w:hAnsi="Times New Roman" w:eastAsia="仿宋_GB2312"/>
          <w:sz w:val="32"/>
          <w:szCs w:val="32"/>
        </w:rPr>
        <w:t>“120</w:t>
      </w:r>
      <w:r>
        <w:rPr>
          <w:rFonts w:hint="eastAsia" w:ascii="仿宋_GB2312" w:hAnsi="Times New Roman" w:eastAsia="仿宋_GB2312"/>
          <w:sz w:val="32"/>
          <w:szCs w:val="32"/>
        </w:rPr>
        <w:t>”院前急救体系，提升胸痛、卒中、创伤、危重孕产妇救治、危重儿童和新生儿救治五大医疗救治中心服务保障能力。继续做好“两癌”筛查、新生儿“两病”筛查优生优育等工作。</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bCs/>
          <w:sz w:val="32"/>
          <w:szCs w:val="32"/>
        </w:rPr>
        <w:t>——加强医疗卫生人才队伍建设。</w:t>
      </w:r>
      <w:r>
        <w:rPr>
          <w:rFonts w:hint="eastAsia" w:ascii="仿宋_GB2312" w:hAnsi="Times New Roman" w:eastAsia="仿宋_GB2312"/>
          <w:sz w:val="32"/>
          <w:szCs w:val="32"/>
        </w:rPr>
        <w:t>加大全科医生培养及人才使用激励机制的落实，加强疾控人才队伍建设和</w:t>
      </w:r>
      <w:r>
        <w:rPr>
          <w:rFonts w:hint="eastAsia" w:ascii="Times New Roman" w:hAnsi="Times New Roman" w:eastAsia="仿宋_GB2312"/>
          <w:sz w:val="32"/>
          <w:szCs w:val="32"/>
        </w:rPr>
        <w:t>能力</w:t>
      </w:r>
      <w:r>
        <w:rPr>
          <w:rFonts w:hint="eastAsia" w:ascii="仿宋_GB2312" w:hAnsi="Times New Roman" w:eastAsia="仿宋_GB2312"/>
          <w:sz w:val="32"/>
          <w:szCs w:val="32"/>
        </w:rPr>
        <w:t>培养。完善区、乡、村三级健康教育阵地和骨干队伍，充分吸纳社会力量广泛参与合作。通过</w:t>
      </w:r>
      <w:r>
        <w:rPr>
          <w:rFonts w:hint="eastAsia" w:ascii="Times New Roman" w:hAnsi="Times New Roman" w:eastAsia="仿宋_GB2312"/>
          <w:sz w:val="32"/>
          <w:szCs w:val="32"/>
        </w:rPr>
        <w:t>“369</w:t>
      </w:r>
      <w:r>
        <w:rPr>
          <w:rFonts w:hint="eastAsia" w:ascii="仿宋_GB2312" w:hAnsi="Times New Roman" w:eastAsia="仿宋_GB2312"/>
          <w:sz w:val="32"/>
          <w:szCs w:val="32"/>
        </w:rPr>
        <w:t>人才工程”、公开招聘、自主招聘等多种形式，多措并举加大人才引进力度，着力补齐人才队伍建设短板，为满足群众高质量的健康需求提供坚强的人才保障。</w:t>
      </w:r>
    </w:p>
    <w:p>
      <w:pPr>
        <w:spacing w:line="600" w:lineRule="exact"/>
        <w:ind w:firstLine="643" w:firstLineChars="200"/>
        <w:rPr>
          <w:rFonts w:ascii="Times New Roman" w:hAnsi="Times New Roman" w:eastAsia="仿宋_GB2312"/>
          <w:sz w:val="32"/>
          <w:szCs w:val="32"/>
        </w:rPr>
      </w:pPr>
      <w:r>
        <w:rPr>
          <w:rFonts w:hint="eastAsia" w:ascii="Times New Roman" w:hAnsi="Times New Roman" w:eastAsia="仿宋_GB2312"/>
          <w:b/>
          <w:bCs/>
          <w:sz w:val="32"/>
          <w:szCs w:val="32"/>
        </w:rPr>
        <w:t>——加强医疗卫生信息化建设。</w:t>
      </w:r>
      <w:r>
        <w:rPr>
          <w:rFonts w:hint="eastAsia" w:ascii="仿宋_GB2312" w:hAnsi="Times New Roman" w:eastAsia="仿宋_GB2312"/>
          <w:sz w:val="32"/>
          <w:szCs w:val="32"/>
        </w:rPr>
        <w:t>以信息化为支撑，突出抓好基础设施完善、数据规范互通、智慧医院建设等，深入推进</w:t>
      </w:r>
      <w:r>
        <w:rPr>
          <w:rFonts w:hint="eastAsia" w:ascii="Times New Roman" w:hAnsi="Times New Roman" w:eastAsia="仿宋_GB2312"/>
          <w:sz w:val="32"/>
          <w:szCs w:val="32"/>
        </w:rPr>
        <w:t>“互联网＋医疗”</w:t>
      </w:r>
      <w:r>
        <w:rPr>
          <w:rFonts w:hint="eastAsia" w:ascii="仿宋_GB2312" w:hAnsi="Times New Roman" w:eastAsia="仿宋_GB2312"/>
          <w:sz w:val="32"/>
          <w:szCs w:val="32"/>
        </w:rPr>
        <w:t>建设</w:t>
      </w:r>
      <w:r>
        <w:rPr>
          <w:rFonts w:hint="eastAsia" w:ascii="Times New Roman" w:hAnsi="Times New Roman" w:eastAsia="仿宋_GB2312"/>
          <w:sz w:val="32"/>
          <w:szCs w:val="32"/>
        </w:rPr>
        <w:t>，建立西华健康大数据库，为卫生健康事业高质量发展提供强有力的支撑和保障。</w:t>
      </w:r>
    </w:p>
    <w:p>
      <w:pPr>
        <w:spacing w:line="600" w:lineRule="exact"/>
        <w:ind w:firstLine="640" w:firstLineChars="200"/>
        <w:textAlignment w:val="baseline"/>
        <w:rPr>
          <w:rFonts w:ascii="Times New Roman" w:hAnsi="Times New Roman" w:eastAsia="仿宋_GB2312"/>
          <w:sz w:val="32"/>
          <w:szCs w:val="32"/>
        </w:rPr>
      </w:pPr>
      <w:r>
        <w:rPr>
          <w:rFonts w:hint="eastAsia" w:ascii="Times New Roman" w:hAnsi="Times New Roman" w:eastAsia="仿宋_GB2312"/>
          <w:sz w:val="32"/>
          <w:szCs w:val="32"/>
        </w:rPr>
        <w:t>——</w:t>
      </w:r>
      <w:r>
        <w:rPr>
          <w:rFonts w:hint="eastAsia" w:ascii="仿宋_GB2312" w:hAnsi="Times New Roman" w:eastAsia="仿宋_GB2312"/>
          <w:b/>
          <w:bCs/>
          <w:sz w:val="32"/>
          <w:szCs w:val="32"/>
        </w:rPr>
        <w:t>加快中医药事业发展。</w:t>
      </w:r>
      <w:r>
        <w:rPr>
          <w:rFonts w:hint="eastAsia" w:ascii="仿宋_GB2312" w:hAnsi="Times New Roman" w:eastAsia="仿宋_GB2312"/>
          <w:sz w:val="32"/>
          <w:szCs w:val="32"/>
        </w:rPr>
        <w:t>认真落实省委、省政府《关于促进中医药传承创新发展的实施意见》，进一步健全中医药服务体系。推进县医院、县妇幼保健院和各级专科医院的中医药科室标准化建设。围绕着全国基层中医药先进县建设，持续加强基层中医馆建设，</w:t>
      </w:r>
      <w:r>
        <w:rPr>
          <w:rFonts w:hint="eastAsia" w:ascii="Times New Roman" w:hAnsi="Times New Roman" w:eastAsia="仿宋_GB2312"/>
          <w:sz w:val="32"/>
          <w:szCs w:val="32"/>
        </w:rPr>
        <w:t>到2025年</w:t>
      </w:r>
      <w:r>
        <w:rPr>
          <w:rFonts w:hint="eastAsia" w:ascii="仿宋_GB2312" w:hAnsi="Times New Roman" w:eastAsia="仿宋_GB2312"/>
          <w:sz w:val="32"/>
          <w:szCs w:val="32"/>
        </w:rPr>
        <w:t>，力争实现所有乡镇卫生院以及村卫生室具备中医药服务能力。大力推进中医药产业化。推广清河驿、黄桥等地菊花、山药种植经验，扩大种植面积；因地制宜，引进中药材新品种；搞好中药材深加工，增加农民收入。做大做强周口市非物质文化遗产的“百年高氏”“娲城高氏”“叶埠口大滹沱高氏”“叶埠口大滹沱”“娲城回春堂中医药坊”等品牌，做好“医用冷敷贴”“颈肩腰腿疼保健贴”“艾草贴”等产品临床运用与推广。</w:t>
      </w:r>
    </w:p>
    <w:p>
      <w:pPr>
        <w:spacing w:line="600" w:lineRule="exact"/>
        <w:ind w:firstLine="643" w:firstLineChars="200"/>
        <w:rPr>
          <w:rFonts w:ascii="Times New Roman" w:hAnsi="Times New Roman" w:eastAsia="仿宋_GB2312"/>
          <w:sz w:val="32"/>
          <w:szCs w:val="32"/>
        </w:rPr>
      </w:pPr>
      <w:r>
        <w:rPr>
          <w:rFonts w:hint="eastAsia" w:ascii="仿宋_GB2312" w:hAnsi="Times New Roman" w:eastAsia="仿宋_GB2312"/>
          <w:b/>
          <w:bCs/>
          <w:sz w:val="32"/>
          <w:szCs w:val="32"/>
        </w:rPr>
        <w:t>持续深化医药卫生体制改革。</w:t>
      </w:r>
      <w:r>
        <w:rPr>
          <w:rFonts w:hint="eastAsia" w:ascii="仿宋_GB2312" w:hAnsi="Times New Roman" w:eastAsia="仿宋_GB2312"/>
          <w:sz w:val="32"/>
          <w:szCs w:val="32"/>
        </w:rPr>
        <w:t>持续深化医疗、医保、医药改革，在全县医疗机构探索实施</w:t>
      </w:r>
      <w:r>
        <w:rPr>
          <w:rFonts w:hint="eastAsia" w:ascii="Times New Roman" w:hAnsi="Times New Roman" w:eastAsia="仿宋_GB2312"/>
          <w:sz w:val="32"/>
          <w:szCs w:val="32"/>
        </w:rPr>
        <w:t>“双向转诊、上下联动”的分级诊疗模式，加强紧密型医共体建设，全面提升基层医疗机构诊疗能力。规范家庭医生签约服务工作操作流程，提升服务质量和效率。推动医疗向基层和家庭延伸、医保向困难群众倾斜、医药向灰色药价开刀、医院向高质高效转变、医改向综合协同发力。统筹推进医疗管理体制、运行机制、服务价格、绩效分配等综合性改革，全面实行分级诊疗制和药品、医用耗材集中带量采购，健全短缺药品供应保障机制。保障</w:t>
      </w:r>
      <w:r>
        <w:rPr>
          <w:rFonts w:hint="eastAsia" w:ascii="仿宋_GB2312" w:hAnsi="Times New Roman" w:eastAsia="仿宋_GB2312"/>
          <w:sz w:val="32"/>
          <w:szCs w:val="32"/>
        </w:rPr>
        <w:t>食品</w:t>
      </w:r>
      <w:r>
        <w:rPr>
          <w:rFonts w:hint="eastAsia" w:ascii="Times New Roman" w:hAnsi="Times New Roman" w:eastAsia="仿宋_GB2312"/>
          <w:sz w:val="32"/>
          <w:szCs w:val="32"/>
        </w:rPr>
        <w:t>药品安全，实施食品安全战略，健全严密高效、社会共治的食品药品质量安全治理体系，保障饮食用药安全。严格食品安全标准，规范药品研制、生产、流通和使用。加强基层监管能力建设，加大农村食品药品安全治理力度，完善对网络销售食品药品的监管体系。</w:t>
      </w:r>
    </w:p>
    <w:p>
      <w:pPr>
        <w:spacing w:line="600" w:lineRule="exact"/>
        <w:ind w:firstLine="643" w:firstLineChars="200"/>
        <w:rPr>
          <w:rFonts w:ascii="仿宋" w:hAnsi="仿宋" w:eastAsia="仿宋"/>
          <w:sz w:val="32"/>
          <w:szCs w:val="32"/>
          <w:shd w:val="clear" w:color="auto" w:fill="FFFFFF"/>
        </w:rPr>
      </w:pPr>
      <w:r>
        <w:rPr>
          <w:rFonts w:hint="eastAsia" w:ascii="楷体_GB2312" w:hAnsi="仿宋" w:eastAsia="楷体_GB2312"/>
          <w:b/>
          <w:bCs/>
          <w:sz w:val="32"/>
          <w:szCs w:val="32"/>
        </w:rPr>
        <w:t>大力开展爱国卫生运动。</w:t>
      </w:r>
      <w:r>
        <w:rPr>
          <w:rFonts w:hint="eastAsia" w:ascii="仿宋_GB2312" w:hAnsi="仿宋" w:eastAsia="仿宋_GB2312"/>
          <w:bCs/>
          <w:sz w:val="32"/>
          <w:szCs w:val="32"/>
        </w:rPr>
        <w:t>建好省级卫生城，</w:t>
      </w:r>
      <w:r>
        <w:rPr>
          <w:rFonts w:hint="eastAsia" w:ascii="仿宋_GB2312" w:hAnsi="Times New Roman" w:eastAsia="仿宋_GB2312"/>
          <w:sz w:val="32"/>
          <w:szCs w:val="32"/>
        </w:rPr>
        <w:t>在全社会广泛普及卫生防护知识，从人居环境改善、饮食习惯、社会心理健康、公共卫生设施等多个方面开展工作，特别是要坚决杜绝</w:t>
      </w:r>
      <w:r>
        <w:rPr>
          <w:rFonts w:hint="eastAsia" w:ascii="仿宋_GB2312" w:hAnsi="仿宋" w:eastAsia="仿宋_GB2312"/>
          <w:sz w:val="32"/>
          <w:szCs w:val="32"/>
          <w:shd w:val="clear" w:color="auto" w:fill="FFFFFF"/>
        </w:rPr>
        <w:t>食用野生动物的</w:t>
      </w:r>
      <w:r>
        <w:rPr>
          <w:rFonts w:hint="eastAsia" w:ascii="仿宋_GB2312" w:hAnsi="Times New Roman" w:eastAsia="仿宋_GB2312"/>
          <w:sz w:val="32"/>
          <w:szCs w:val="32"/>
        </w:rPr>
        <w:t>陋习</w:t>
      </w:r>
      <w:r>
        <w:rPr>
          <w:rFonts w:hint="eastAsia" w:ascii="仿宋_GB2312" w:hAnsi="仿宋" w:eastAsia="仿宋_GB2312"/>
          <w:sz w:val="32"/>
          <w:szCs w:val="32"/>
          <w:shd w:val="clear" w:color="auto" w:fill="FFFFFF"/>
        </w:rPr>
        <w:t>，培养文明卫生习惯，提倡文明健康、绿色环保的生活方式。全面推进城乡环境卫生综合整治，加快垃圾污水治理，全面推进厕所革命，切实保障</w:t>
      </w:r>
      <w:r>
        <w:rPr>
          <w:rFonts w:hint="eastAsia" w:ascii="Times New Roman" w:hAnsi="Times New Roman" w:eastAsia="仿宋_GB2312"/>
          <w:sz w:val="32"/>
          <w:szCs w:val="32"/>
        </w:rPr>
        <w:t>饮用水</w:t>
      </w:r>
      <w:r>
        <w:rPr>
          <w:rFonts w:hint="eastAsia" w:ascii="仿宋_GB2312" w:hAnsi="仿宋" w:eastAsia="仿宋_GB2312"/>
          <w:sz w:val="32"/>
          <w:szCs w:val="32"/>
          <w:shd w:val="clear" w:color="auto" w:fill="FFFFFF"/>
        </w:rPr>
        <w:t>安全，强化病媒生物防制。推广不随地吐痰、室内经常通风、</w:t>
      </w:r>
      <w:r>
        <w:rPr>
          <w:rFonts w:hint="eastAsia" w:ascii="仿宋_GB2312" w:hAnsi="Times New Roman" w:eastAsia="仿宋_GB2312"/>
          <w:sz w:val="32"/>
          <w:szCs w:val="32"/>
        </w:rPr>
        <w:t>科学</w:t>
      </w:r>
      <w:r>
        <w:rPr>
          <w:rFonts w:hint="eastAsia" w:ascii="仿宋_GB2312" w:hAnsi="仿宋" w:eastAsia="仿宋_GB2312"/>
          <w:sz w:val="32"/>
          <w:szCs w:val="32"/>
          <w:shd w:val="clear" w:color="auto" w:fill="FFFFFF"/>
        </w:rPr>
        <w:t>佩戴口罩、注重咳嗽礼仪等好习惯。倡导自主自律健康生活，践行绿色环保生活理念，促进群众心理健康，切实维护人民群众健康权益。加强社会健康管理，</w:t>
      </w:r>
      <w:r>
        <w:rPr>
          <w:rFonts w:hint="eastAsia" w:ascii="仿宋_GB2312" w:hAnsi="仿宋" w:eastAsia="仿宋_GB2312"/>
          <w:sz w:val="32"/>
          <w:szCs w:val="32"/>
          <w:shd w:val="clear" w:color="auto" w:fill="FFFFFF"/>
          <w:lang w:val="en-US" w:eastAsia="zh-CN"/>
        </w:rPr>
        <w:t>维护严重精神障碍患者的人身安全，全力维护公共安全和人民生命财产安全，</w:t>
      </w:r>
      <w:r>
        <w:rPr>
          <w:rFonts w:hint="eastAsia" w:ascii="仿宋_GB2312" w:hAnsi="仿宋" w:eastAsia="仿宋_GB2312"/>
          <w:sz w:val="32"/>
          <w:szCs w:val="32"/>
          <w:shd w:val="clear" w:color="auto" w:fill="FFFFFF"/>
        </w:rPr>
        <w:t>协同推进健康中国建设。</w:t>
      </w:r>
    </w:p>
    <w:p>
      <w:pPr>
        <w:spacing w:line="600" w:lineRule="exact"/>
        <w:ind w:firstLine="643" w:firstLineChars="200"/>
        <w:rPr>
          <w:rFonts w:ascii="仿宋_GB2312" w:hAnsi="仿宋" w:eastAsia="仿宋_GB2312"/>
          <w:sz w:val="32"/>
          <w:szCs w:val="32"/>
          <w:shd w:val="clear" w:color="auto" w:fill="FFFFFF"/>
        </w:rPr>
      </w:pPr>
      <w:r>
        <w:rPr>
          <w:rFonts w:hint="eastAsia" w:ascii="仿宋_GB2312" w:hAnsi="Times New Roman" w:eastAsia="仿宋_GB2312"/>
          <w:b/>
          <w:bCs/>
          <w:sz w:val="32"/>
          <w:szCs w:val="32"/>
        </w:rPr>
        <w:t>推进全民体育事业发展。</w:t>
      </w:r>
      <w:r>
        <w:rPr>
          <w:rFonts w:hint="eastAsia" w:ascii="仿宋_GB2312" w:hAnsi="Times New Roman" w:eastAsia="仿宋_GB2312"/>
          <w:bCs/>
          <w:sz w:val="32"/>
          <w:szCs w:val="32"/>
        </w:rPr>
        <w:t>以提高群众身体健康为根本，健全体育公共服务体系，全面优化群众体育基础设施供给，推动实施县城区</w:t>
      </w:r>
      <w:r>
        <w:rPr>
          <w:rFonts w:hint="eastAsia" w:ascii="仿宋_GB2312" w:hAnsi="仿宋" w:eastAsia="仿宋_GB2312"/>
          <w:sz w:val="32"/>
          <w:szCs w:val="32"/>
        </w:rPr>
        <w:t>“五个一”工程</w:t>
      </w:r>
      <w:r>
        <w:rPr>
          <w:rFonts w:hint="eastAsia" w:ascii="仿宋_GB2312" w:hAnsi="Times New Roman" w:eastAsia="仿宋_GB2312"/>
          <w:bCs/>
          <w:sz w:val="32"/>
          <w:szCs w:val="32"/>
        </w:rPr>
        <w:t>”</w:t>
      </w:r>
      <w:r>
        <w:rPr>
          <w:rFonts w:hint="eastAsia" w:ascii="仿宋_GB2312" w:hAnsi="仿宋" w:eastAsia="仿宋_GB2312"/>
          <w:sz w:val="32"/>
          <w:szCs w:val="32"/>
        </w:rPr>
        <w:t>，即一个田径场、一个综合体育馆、一个中型全民健身活动中心、一个室内游泳池、一个体育公园（健身广场），在贾鲁河、双狼沟、东风运河两岸的滨河公园内，规划建设健走步道、骑行步道。加强乡镇、村、社区、城市居民小区体育健身场地设施建设。</w:t>
      </w:r>
      <w:r>
        <w:rPr>
          <w:rFonts w:hint="eastAsia" w:ascii="仿宋_GB2312" w:hAnsi="Times New Roman" w:eastAsia="仿宋_GB2312"/>
          <w:bCs/>
          <w:sz w:val="32"/>
          <w:szCs w:val="32"/>
        </w:rPr>
        <w:t>提升体育公共服务信息化应用水平，完善“全民健身服务云”平台，开发适合各类健身的智慧“云健身”产品，促进全民健身线上线下互动融合。丰富全民健身赛事活动，支持各乡镇因地制宜”建设特色</w:t>
      </w:r>
      <w:r>
        <w:rPr>
          <w:rFonts w:hint="eastAsia" w:ascii="仿宋_GB2312" w:hAnsi="Times New Roman" w:eastAsia="仿宋_GB2312"/>
          <w:sz w:val="32"/>
          <w:szCs w:val="32"/>
        </w:rPr>
        <w:t>群众</w:t>
      </w:r>
      <w:r>
        <w:rPr>
          <w:rFonts w:hint="eastAsia" w:ascii="仿宋_GB2312" w:hAnsi="Times New Roman" w:eastAsia="仿宋_GB2312"/>
          <w:bCs/>
          <w:sz w:val="32"/>
          <w:szCs w:val="32"/>
        </w:rPr>
        <w:t>体育圈。到</w:t>
      </w:r>
      <w:r>
        <w:rPr>
          <w:rFonts w:hint="eastAsia" w:ascii="Times New Roman" w:hAnsi="Times New Roman" w:eastAsia="仿宋_GB2312"/>
          <w:sz w:val="32"/>
          <w:szCs w:val="32"/>
        </w:rPr>
        <w:t>2025年</w:t>
      </w:r>
      <w:r>
        <w:rPr>
          <w:rFonts w:hint="eastAsia" w:ascii="仿宋_GB2312" w:hAnsi="Times New Roman" w:eastAsia="仿宋_GB2312"/>
          <w:bCs/>
          <w:sz w:val="32"/>
          <w:szCs w:val="32"/>
        </w:rPr>
        <w:t>，形成政府主导有力、社会规范有序、市场充满活力、人民积极参与、社会组织健康发展、公共服务完善，与基本实现现代化相适应的体育发展新格局</w:t>
      </w:r>
      <w:r>
        <w:rPr>
          <w:rFonts w:hint="eastAsia" w:ascii="仿宋_GB2312" w:hAnsi="Times New Roman" w:eastAsia="仿宋_GB2312"/>
          <w:sz w:val="32"/>
          <w:szCs w:val="32"/>
        </w:rPr>
        <w:t>，推进</w:t>
      </w:r>
      <w:r>
        <w:rPr>
          <w:rFonts w:hint="eastAsia" w:ascii="仿宋_GB2312" w:hAnsi="Times New Roman" w:eastAsia="仿宋_GB2312"/>
          <w:bCs/>
          <w:sz w:val="32"/>
          <w:szCs w:val="32"/>
        </w:rPr>
        <w:t>体育治理体系和治理能力实现现代化。</w:t>
      </w:r>
    </w:p>
    <w:p>
      <w:pPr>
        <w:pStyle w:val="3"/>
        <w:spacing w:before="120" w:after="120" w:line="600" w:lineRule="exact"/>
        <w:jc w:val="center"/>
        <w:rPr>
          <w:rFonts w:ascii="仿宋_GB2312" w:hAnsi="Times New Roman" w:eastAsia="仿宋_GB2312"/>
        </w:rPr>
      </w:pPr>
      <w:bookmarkStart w:id="85" w:name="_Toc65514311"/>
      <w:r>
        <w:rPr>
          <w:rFonts w:hint="eastAsia" w:ascii="仿宋_GB2312" w:hAnsi="Times New Roman" w:eastAsia="仿宋_GB2312"/>
        </w:rPr>
        <w:t>第四节 促进妇女儿童和青年全面发展</w:t>
      </w:r>
      <w:bookmarkEnd w:id="85"/>
    </w:p>
    <w:p>
      <w:pPr>
        <w:spacing w:line="600" w:lineRule="exact"/>
        <w:ind w:firstLine="640" w:firstLineChars="200"/>
        <w:rPr>
          <w:rFonts w:ascii="仿宋_GB2312" w:hAnsi="Times New Roman" w:eastAsia="仿宋_GB2312"/>
          <w:sz w:val="32"/>
          <w:szCs w:val="32"/>
        </w:rPr>
      </w:pPr>
      <w:r>
        <w:rPr>
          <w:rFonts w:hint="eastAsia" w:ascii="仿宋_GB2312" w:hAnsi="Times New Roman" w:eastAsia="仿宋_GB2312"/>
          <w:sz w:val="32"/>
          <w:szCs w:val="32"/>
        </w:rPr>
        <w:t>坚持男女平等基本国策，完善妇女儿童和青年发展政策体系，加强家庭、家教、家风建设，推进妇女儿童和青年事业高质量发展。</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保障妇女合法权益。</w:t>
      </w:r>
      <w:r>
        <w:rPr>
          <w:rFonts w:hint="eastAsia" w:ascii="仿宋_GB2312" w:hAnsi="Times New Roman" w:eastAsia="仿宋_GB2312"/>
          <w:sz w:val="32"/>
          <w:szCs w:val="32"/>
        </w:rPr>
        <w:t>实施妇女发展规划，持续改善妇女发展环境，依法保障妇女平等获得就学、就业、婚姻财产、参与社会事务和民主管理等权利，全面消除性别歧视。完善城乡生育津补贴制度，切实保障女职工生育权益和母婴权益，扩大母婴室覆盖区域，提高妇女保健、孕产保健等健康服务水平，加强妇女常见病筛查和早诊早治，继续开展农村妇女宫颈癌和乳腺癌筛查。加强农村留守关爱服务和特殊困难妇女群体民生保障。更好发挥妇联职能作用，引导妇女自尊自信、自立自强，开展富有女性特色的建功立业活动，拓宽妇女就业渠道，组织动员妇女走在时代前列。</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健全儿童关爱服务体系。</w:t>
      </w:r>
      <w:r>
        <w:rPr>
          <w:rFonts w:hint="eastAsia" w:ascii="仿宋_GB2312" w:hAnsi="Times New Roman" w:eastAsia="仿宋_GB2312"/>
          <w:sz w:val="32"/>
          <w:szCs w:val="32"/>
        </w:rPr>
        <w:t>实施儿童发展规划，完善促进儿童优先发展和全面发展的制度体系，保障儿童生存、发展、受保护和参与的权利。实施学龄前儿童营养改善计划，加强儿童营养及食品用品质量安全保障，有效控制儿童肥胖和近视，预防和控制儿童疾病。加强困境儿童分类保障和农村留守儿童关爱服务，健全孤儿社会福利制度。预防和控制儿童伤害，严厉打击危害儿童身心健康的违法犯罪行为，加快未成年人网络保护综合治理力度，加强中小学生欺凌和暴力防治，预防未成年人犯罪。</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完善青年发展政策体系。</w:t>
      </w:r>
      <w:r>
        <w:rPr>
          <w:rFonts w:hint="eastAsia" w:ascii="仿宋_GB2312" w:hAnsi="Times New Roman" w:eastAsia="仿宋_GB2312"/>
          <w:sz w:val="32"/>
          <w:szCs w:val="32"/>
        </w:rPr>
        <w:t>实施青年优先发展促进工程，加大对青年教育、就业、住房、婚恋、文化等领域的支持力度，全面建设青年友好型城市、青年发展型城市，加强青年理想信念教育，深入实施青年马克思主义者培养工程。促进青年全面发展，引导青年有序参与政治生活和社会公共事务，引导青年踊跃投身创新实践，鼓励青年在经济社会发展中充分发挥生力军和突击队作用。加强青年社会组织培育，鼓励和支持青年参与社会实践和志愿服务。健全青年工作联席会议机制，完善青年发展状况监测评估体系。</w:t>
      </w:r>
    </w:p>
    <w:p>
      <w:pPr>
        <w:spacing w:line="600" w:lineRule="exact"/>
        <w:ind w:firstLine="643" w:firstLineChars="200"/>
        <w:rPr>
          <w:rFonts w:ascii="仿宋_GB2312" w:hAnsi="Times New Roman" w:eastAsia="仿宋_GB2312"/>
          <w:sz w:val="32"/>
          <w:szCs w:val="32"/>
        </w:rPr>
      </w:pPr>
      <w:r>
        <w:rPr>
          <w:rFonts w:hint="eastAsia" w:ascii="楷体_GB2312" w:hAnsi="Times New Roman" w:eastAsia="楷体_GB2312"/>
          <w:b/>
          <w:bCs/>
          <w:sz w:val="32"/>
          <w:szCs w:val="32"/>
        </w:rPr>
        <w:t>支持家庭发展。</w:t>
      </w:r>
      <w:r>
        <w:rPr>
          <w:rFonts w:hint="eastAsia" w:ascii="仿宋_GB2312" w:hAnsi="Times New Roman" w:eastAsia="仿宋_GB2312"/>
          <w:sz w:val="32"/>
          <w:szCs w:val="32"/>
        </w:rPr>
        <w:t>深入实施</w:t>
      </w:r>
      <w:r>
        <w:rPr>
          <w:rFonts w:hint="eastAsia" w:ascii="Times New Roman" w:hAnsi="Times New Roman" w:eastAsia="仿宋_GB2312"/>
          <w:sz w:val="32"/>
          <w:szCs w:val="32"/>
        </w:rPr>
        <w:t>“家家幸福安康工程”、完善支持家庭发展的政策体系。</w:t>
      </w:r>
      <w:r>
        <w:rPr>
          <w:rFonts w:hint="eastAsia" w:ascii="仿宋_GB2312" w:hAnsi="仿宋" w:eastAsia="仿宋_GB2312"/>
          <w:sz w:val="32"/>
          <w:szCs w:val="32"/>
          <w:shd w:val="clear" w:color="auto" w:fill="FFFFFF"/>
        </w:rPr>
        <w:t>充分</w:t>
      </w:r>
      <w:r>
        <w:rPr>
          <w:rFonts w:hint="eastAsia" w:ascii="仿宋_GB2312" w:hAnsi="Times New Roman" w:eastAsia="仿宋_GB2312"/>
          <w:sz w:val="32"/>
          <w:szCs w:val="32"/>
        </w:rPr>
        <w:t>发挥家庭家教家风在基层社会治理中的重要作用，倡导家庭责任共担，建设平等、和睦、文明的婚姻家庭关系，完善婚姻家庭纠纷预防化解机制，预防和制止家庭暴力，构建覆盖城乡的家庭教育指导服务体系。加强对困难家庭、失独家庭、单亲特困等特殊家庭的救助和服务。推动家风家家教示范基地建设，开展最美家庭推选宣传，弘扬好家风家训。</w:t>
      </w:r>
    </w:p>
    <w:p>
      <w:pPr>
        <w:pStyle w:val="3"/>
        <w:spacing w:before="120" w:after="120" w:line="600" w:lineRule="exact"/>
        <w:jc w:val="center"/>
        <w:rPr>
          <w:rFonts w:ascii="仿宋_GB2312" w:hAnsi="Times New Roman" w:eastAsia="仿宋_GB2312"/>
        </w:rPr>
      </w:pPr>
      <w:bookmarkStart w:id="86" w:name="_Toc65514312"/>
      <w:r>
        <w:rPr>
          <w:rFonts w:hint="eastAsia" w:ascii="仿宋_GB2312" w:hAnsi="Times New Roman" w:eastAsia="仿宋_GB2312"/>
        </w:rPr>
        <w:t>第五节 完善社会保障体系</w:t>
      </w:r>
      <w:bookmarkEnd w:id="86"/>
    </w:p>
    <w:p>
      <w:pPr>
        <w:spacing w:line="600" w:lineRule="exact"/>
        <w:ind w:firstLine="640" w:firstLineChars="200"/>
        <w:textAlignment w:val="baseline"/>
        <w:rPr>
          <w:rFonts w:ascii="Times New Roman" w:hAnsi="Times New Roman" w:eastAsia="仿宋_GB2312"/>
          <w:sz w:val="32"/>
          <w:szCs w:val="32"/>
        </w:rPr>
      </w:pPr>
      <w:r>
        <w:rPr>
          <w:rFonts w:hint="eastAsia" w:ascii="仿宋_GB2312" w:hAnsi="Times New Roman" w:eastAsia="仿宋_GB2312"/>
          <w:sz w:val="32"/>
          <w:szCs w:val="32"/>
        </w:rPr>
        <w:t>坚持</w:t>
      </w:r>
      <w:r>
        <w:rPr>
          <w:rFonts w:hint="eastAsia" w:ascii="Times New Roman" w:hAnsi="Times New Roman" w:eastAsia="仿宋_GB2312"/>
          <w:sz w:val="32"/>
          <w:szCs w:val="32"/>
        </w:rPr>
        <w:t>“全民覆盖、保障适度、权责清晰、运行高效、持续发展”的基本导向，统筹做好社会保险、社会救助、住房保障、福利慈善等工作，稳步提高社会保障统筹层次和水平，建立健全更加公平、更可持续的社会保障制度。</w:t>
      </w:r>
    </w:p>
    <w:p>
      <w:pPr>
        <w:spacing w:line="600" w:lineRule="exact"/>
        <w:ind w:firstLine="643" w:firstLineChars="200"/>
        <w:rPr>
          <w:rFonts w:ascii="Times New Roman" w:hAnsi="Times New Roman" w:eastAsia="仿宋_GB2312"/>
          <w:sz w:val="32"/>
          <w:szCs w:val="32"/>
        </w:rPr>
      </w:pPr>
      <w:r>
        <w:rPr>
          <w:rFonts w:hint="eastAsia" w:ascii="仿宋_GB2312" w:hAnsi="Times New Roman" w:eastAsia="仿宋_GB2312" w:cs="仿宋"/>
          <w:b/>
          <w:bCs/>
          <w:sz w:val="32"/>
          <w:szCs w:val="32"/>
        </w:rPr>
        <w:t>完善社会基本保障。</w:t>
      </w:r>
      <w:r>
        <w:rPr>
          <w:rFonts w:hint="eastAsia" w:ascii="仿宋_GB2312" w:hAnsi="Times New Roman" w:eastAsia="仿宋_GB2312"/>
          <w:sz w:val="32"/>
          <w:szCs w:val="32"/>
        </w:rPr>
        <w:t>持续推进覆盖城乡居民的社会保障体系建设，实施全民参保登记计划，实现法定人员基本全覆盖。加快推进社保经办向数字化转型，推进社保转移接续。全面落实基本养老、基本医疗保险筹资和待遇合理调整机制，大幅提升灵活就业人员、农民工等群体参加职工保险比例。完善城镇职工基本养老保险制度，构建包括职业年金、企业年金和商业保险的多层次养老保险体系。建立基本养老金合理调整机制，实现应保尽保。构建以基本医疗保险为主体，医疗救助为托底，补充医疗保险、商业健康保险、慈善捐赠、医疗互助共同发展的医疗保障制度体系，提高基本医疗保险统筹层次。全面实施城乡居民大病保险制度，落实社保转移接续、异地就医结算制度。推动社保经办数字化转型，推广以社会保障卡为载体的</w:t>
      </w:r>
      <w:r>
        <w:rPr>
          <w:rFonts w:hint="eastAsia" w:ascii="Times New Roman" w:hAnsi="Times New Roman" w:eastAsia="仿宋_GB2312"/>
          <w:sz w:val="32"/>
          <w:szCs w:val="32"/>
        </w:rPr>
        <w:t>“一卡通”服务管理模式。扩大失业保险范围，逐步实现失业保险全覆盖。建立健全工伤预防联动机制，完善工伤保险政策标准体系。落实残疾人社会保险补贴政策，提升社保经办服务能力，健全社保基金监管制度。</w:t>
      </w:r>
    </w:p>
    <w:p>
      <w:pPr>
        <w:spacing w:line="600" w:lineRule="exact"/>
        <w:ind w:firstLine="643" w:firstLineChars="200"/>
        <w:rPr>
          <w:rFonts w:ascii="Times New Roman" w:hAnsi="Times New Roman" w:eastAsia="仿宋_GB2312"/>
          <w:sz w:val="32"/>
          <w:szCs w:val="32"/>
        </w:rPr>
      </w:pPr>
      <w:r>
        <w:rPr>
          <w:rFonts w:hint="eastAsia" w:ascii="仿宋_GB2312" w:hAnsi="Times New Roman" w:eastAsia="仿宋_GB2312"/>
          <w:b/>
          <w:bCs/>
          <w:sz w:val="32"/>
          <w:szCs w:val="32"/>
        </w:rPr>
        <w:t>完善社会救助体系。</w:t>
      </w:r>
      <w:r>
        <w:rPr>
          <w:rFonts w:hint="eastAsia" w:ascii="仿宋_GB2312" w:hAnsi="Times New Roman" w:eastAsia="仿宋_GB2312"/>
          <w:sz w:val="32"/>
          <w:szCs w:val="32"/>
        </w:rPr>
        <w:t>完善以最低生活保障制度为主体，以专项救助政策为辅助，以慈善救助等其他救助为补充的社会救助体系。提升社会救助和社会福利水平，持续提高城乡最低生活保障标准和特困人员供养标准，确保符合条件困难群众</w:t>
      </w:r>
      <w:r>
        <w:rPr>
          <w:rFonts w:hint="eastAsia" w:ascii="Times New Roman" w:hAnsi="Times New Roman" w:eastAsia="仿宋_GB2312"/>
          <w:sz w:val="32"/>
          <w:szCs w:val="32"/>
        </w:rPr>
        <w:t>“应保尽保”；完善临时救助制度，</w:t>
      </w:r>
      <w:r>
        <w:rPr>
          <w:rFonts w:hint="eastAsia" w:ascii="仿宋_GB2312" w:hAnsi="仿宋" w:eastAsia="仿宋_GB2312"/>
          <w:sz w:val="32"/>
          <w:szCs w:val="32"/>
          <w:shd w:val="clear" w:color="auto" w:fill="FFFFFF"/>
        </w:rPr>
        <w:t>发挥</w:t>
      </w:r>
      <w:r>
        <w:rPr>
          <w:rFonts w:hint="eastAsia" w:ascii="仿宋_GB2312" w:hAnsi="Times New Roman" w:eastAsia="仿宋_GB2312"/>
          <w:sz w:val="32"/>
          <w:szCs w:val="32"/>
        </w:rPr>
        <w:t>公益慈善组织力量，实现生活困难群体</w:t>
      </w:r>
      <w:r>
        <w:rPr>
          <w:rFonts w:hint="eastAsia" w:ascii="Times New Roman" w:hAnsi="Times New Roman" w:eastAsia="仿宋_GB2312"/>
          <w:sz w:val="32"/>
          <w:szCs w:val="32"/>
        </w:rPr>
        <w:t>“应救尽救”；统筹推进未成年人社会保护和农村留守儿童关爱保护，建设一批城乡社区“儿童之家”。围绕重点群体，强化脱贫攻坚成果，巩固兜底保障脱贫成效，健全完善监测预警机制，将持续增收能力较弱、返贫风险较高的已脱贫人口作为监测重点，及时纳入兜底保障。强化供养服务机构托底保障职责，研究制定服务标准体系，优化供养服务功能。</w:t>
      </w:r>
    </w:p>
    <w:p>
      <w:pPr>
        <w:spacing w:line="600" w:lineRule="exact"/>
        <w:ind w:firstLine="643" w:firstLineChars="200"/>
        <w:rPr>
          <w:rFonts w:ascii="Times New Roman" w:hAnsi="Times New Roman" w:eastAsia="仿宋_GB2312"/>
          <w:sz w:val="32"/>
          <w:szCs w:val="32"/>
        </w:rPr>
      </w:pPr>
      <w:r>
        <w:rPr>
          <w:rFonts w:hint="eastAsia" w:ascii="仿宋_GB2312" w:hAnsi="Times New Roman" w:eastAsia="仿宋_GB2312"/>
          <w:b/>
          <w:bCs/>
          <w:sz w:val="32"/>
          <w:szCs w:val="32"/>
        </w:rPr>
        <w:t>加强安置房供应保障。</w:t>
      </w:r>
      <w:r>
        <w:rPr>
          <w:rFonts w:hint="eastAsia" w:ascii="仿宋_GB2312" w:hAnsi="Times New Roman" w:eastAsia="仿宋_GB2312"/>
          <w:sz w:val="32"/>
          <w:szCs w:val="32"/>
        </w:rPr>
        <w:t>坚持房子是用来住的、不是用来炒的定位，加快建立多主体供给、多渠道保障、租购并举的住房制度。以解决城镇中低收入家庭、新就业人员和外来务工人员的住房困难问题为重点，加快保障性住房建设。加大公租房租赁补贴力度，不断拓展住房公积金保障功能，健全住房保障服务体系。全面实施人才安居工程，完善货币补贴、租售住房、免租入住等人才安居政策，解决各类人才住房困难。大力发展住房租赁市场，调动各类主体建设筹集租赁住房积极性，多渠道增加租赁住房。适度增加商品房供应，建立和完善房地产市场平稳健康发展长效机制。加快棚户区改造，有序推进老旧小区综合改造提质，推动城市有机更新。</w:t>
      </w:r>
    </w:p>
    <w:p>
      <w:pPr>
        <w:spacing w:line="600" w:lineRule="exact"/>
        <w:ind w:firstLine="643" w:firstLineChars="200"/>
        <w:rPr>
          <w:rFonts w:ascii="Times New Roman" w:hAnsi="Times New Roman" w:eastAsia="仿宋_GB2312"/>
          <w:sz w:val="32"/>
          <w:szCs w:val="32"/>
        </w:rPr>
      </w:pPr>
      <w:r>
        <w:rPr>
          <w:rFonts w:hint="eastAsia" w:ascii="仿宋_GB2312" w:hAnsi="Times New Roman" w:eastAsia="仿宋_GB2312" w:cs="仿宋"/>
          <w:b/>
          <w:bCs/>
          <w:sz w:val="32"/>
          <w:szCs w:val="32"/>
        </w:rPr>
        <w:t>健全退役军人服务保障。</w:t>
      </w:r>
      <w:r>
        <w:rPr>
          <w:rFonts w:hint="eastAsia" w:ascii="仿宋_GB2312" w:hAnsi="Times New Roman" w:eastAsia="仿宋_GB2312"/>
          <w:sz w:val="32"/>
          <w:szCs w:val="32"/>
        </w:rPr>
        <w:t>贯彻落实退役军人保障法，加强退役军人安置保障，完善</w:t>
      </w:r>
      <w:r>
        <w:rPr>
          <w:rFonts w:hint="eastAsia" w:ascii="Times New Roman" w:hAnsi="Times New Roman" w:eastAsia="仿宋_GB2312"/>
          <w:sz w:val="32"/>
          <w:szCs w:val="32"/>
        </w:rPr>
        <w:t>“直通车”式安置办法。对退役军人实施教育培训，提高退役军人就业素质和技能，支持退役军人自主就业创业政策，切实为退役军人干事创业营造良好环境。完善军人退役医疗保险制度、军队离退休干部医疗保障制度、退役残疾军人医疗保障制度，</w:t>
      </w:r>
      <w:r>
        <w:rPr>
          <w:rFonts w:hint="eastAsia" w:ascii="仿宋_GB2312" w:hAnsi="Times New Roman" w:eastAsia="仿宋_GB2312"/>
          <w:sz w:val="32"/>
          <w:szCs w:val="32"/>
        </w:rPr>
        <w:t>完善</w:t>
      </w:r>
      <w:r>
        <w:rPr>
          <w:rFonts w:hint="eastAsia" w:ascii="Times New Roman" w:hAnsi="Times New Roman" w:eastAsia="仿宋_GB2312"/>
          <w:sz w:val="32"/>
          <w:szCs w:val="32"/>
        </w:rPr>
        <w:t>退役军人养老服务制度，加强退役军人优待抚恤保障，共享经济发展成果和改革红利，彰显国家对退役军人的特殊关爱。</w:t>
      </w:r>
    </w:p>
    <w:p>
      <w:pPr>
        <w:spacing w:line="600" w:lineRule="exact"/>
        <w:ind w:firstLine="643" w:firstLineChars="200"/>
        <w:rPr>
          <w:rFonts w:ascii="仿宋_GB2312" w:hAnsi="Times New Roman" w:eastAsia="仿宋_GB2312"/>
          <w:sz w:val="32"/>
          <w:szCs w:val="32"/>
        </w:rPr>
      </w:pPr>
      <w:r>
        <w:rPr>
          <w:rFonts w:hint="eastAsia" w:ascii="仿宋_GB2312" w:hAnsi="Times New Roman" w:eastAsia="仿宋_GB2312" w:cs="仿宋"/>
          <w:b/>
          <w:bCs/>
          <w:sz w:val="32"/>
          <w:szCs w:val="32"/>
        </w:rPr>
        <w:t>完善社会福利化体系</w:t>
      </w:r>
      <w:r>
        <w:rPr>
          <w:rFonts w:hint="eastAsia" w:ascii="仿宋_GB2312" w:hAnsi="Times New Roman" w:eastAsia="仿宋_GB2312"/>
          <w:b/>
          <w:bCs/>
          <w:sz w:val="32"/>
          <w:szCs w:val="32"/>
        </w:rPr>
        <w:t>。</w:t>
      </w:r>
      <w:r>
        <w:rPr>
          <w:rFonts w:hint="eastAsia" w:ascii="仿宋_GB2312" w:hAnsi="Times New Roman" w:eastAsia="仿宋_GB2312"/>
          <w:sz w:val="32"/>
          <w:szCs w:val="32"/>
        </w:rPr>
        <w:t>积极应对人口老龄化趋势，加快养老服务体系建设，基本建成</w:t>
      </w:r>
      <w:r>
        <w:rPr>
          <w:rFonts w:hint="eastAsia" w:ascii="Times New Roman" w:hAnsi="Times New Roman" w:eastAsia="仿宋_GB2312"/>
          <w:sz w:val="32"/>
          <w:szCs w:val="32"/>
        </w:rPr>
        <w:t>“居家为基础、社区为依托、机构为支撑、医养相结合，功能完善、规模适度、覆盖城乡”的全新养老服务体系。加快推进普惠型养老服务和互助性养老体系建设，加快公办养老机构服务功能提升，推动城乡区域特困人员供养服务机构建设。统筹推进新建社区和老旧小区养老服务设施建设。加强乡镇敬老院基础设施建设和信息化改造，推动服务设施达标，满足特困供养对象集中供养需求，为农村孤寡、失能、半失能等困难老年人提供便捷可及的居家养老服务。充分利用农家大院、闲置校舍、新型农村社区等建设日间照料中心、农村幸福院、托老所、老年活动站等养老服务设施，着力打造农村“</w:t>
      </w:r>
      <w:r>
        <w:rPr>
          <w:rFonts w:ascii="Times New Roman" w:hAnsi="Times New Roman" w:eastAsia="仿宋_GB2312"/>
          <w:sz w:val="32"/>
          <w:szCs w:val="32"/>
        </w:rPr>
        <w:t>15</w:t>
      </w:r>
      <w:r>
        <w:rPr>
          <w:rFonts w:hint="eastAsia" w:ascii="仿宋_GB2312" w:hAnsi="Times New Roman" w:eastAsia="仿宋_GB2312"/>
          <w:sz w:val="32"/>
          <w:szCs w:val="32"/>
        </w:rPr>
        <w:t>分钟养老服务圈”。有序推动医养服务融合发展，发展“银发经济”，培育智慧养老、医养联合体等新业态，健全养老服务产业综合监管制度，推动养老事业和养老产业协同发展。深化殡葬事业改革，完善殡葬公共服务体系。巩固殡葬领域突出问题专项整治成果，推进散埋乱葬整改落实，综合运用政策宣传、思想教育、乡规民约、矛盾调处等多种手段，稳妥解决殡葬管理实际问题。</w:t>
      </w:r>
    </w:p>
    <w:tbl>
      <w:tblPr>
        <w:tblStyle w:val="11"/>
        <w:tblW w:w="8522" w:type="dxa"/>
        <w:jc w:val="center"/>
        <w:tblLayout w:type="fixed"/>
        <w:tblCellMar>
          <w:top w:w="0" w:type="dxa"/>
          <w:left w:w="108" w:type="dxa"/>
          <w:bottom w:w="0" w:type="dxa"/>
          <w:right w:w="108" w:type="dxa"/>
        </w:tblCellMar>
      </w:tblPr>
      <w:tblGrid>
        <w:gridCol w:w="8522"/>
      </w:tblGrid>
      <w:tr>
        <w:tblPrEx>
          <w:tblCellMar>
            <w:top w:w="0" w:type="dxa"/>
            <w:left w:w="108" w:type="dxa"/>
            <w:bottom w:w="0" w:type="dxa"/>
            <w:right w:w="108" w:type="dxa"/>
          </w:tblCellMar>
        </w:tblPrEx>
        <w:trPr>
          <w:trHeight w:val="510" w:hRule="atLeast"/>
          <w:tblHeader/>
          <w:jc w:val="center"/>
        </w:trPr>
        <w:tc>
          <w:tcPr>
            <w:tcW w:w="8522" w:type="dxa"/>
            <w:tcBorders>
              <w:top w:val="single" w:color="auto" w:sz="4" w:space="0"/>
              <w:left w:val="single" w:color="auto" w:sz="4" w:space="0"/>
              <w:bottom w:val="single" w:color="auto" w:sz="4" w:space="0"/>
              <w:right w:val="single" w:color="auto" w:sz="4" w:space="0"/>
            </w:tcBorders>
            <w:shd w:val="clear" w:color="auto" w:fill="339966"/>
            <w:vAlign w:val="center"/>
          </w:tcPr>
          <w:p>
            <w:pPr>
              <w:pStyle w:val="10"/>
              <w:spacing w:line="360" w:lineRule="auto"/>
              <w:rPr>
                <w:rFonts w:ascii="Times New Roman" w:hAnsi="Times New Roman" w:cs="Times New Roman"/>
                <w:sz w:val="26"/>
                <w:szCs w:val="26"/>
              </w:rPr>
            </w:pPr>
            <w:r>
              <w:rPr>
                <w:rFonts w:hint="eastAsia" w:ascii="Times New Roman" w:hAnsi="Times New Roman" w:cs="Times New Roman"/>
                <w:b/>
                <w:bCs/>
                <w:color w:val="FFFFFF" w:themeColor="background1"/>
                <w:sz w:val="26"/>
                <w:szCs w:val="26"/>
                <w14:textFill>
                  <w14:solidFill>
                    <w14:schemeClr w14:val="bg1"/>
                  </w14:solidFill>
                </w14:textFill>
              </w:rPr>
              <w:t>专栏7</w:t>
            </w:r>
            <w:r>
              <w:rPr>
                <w:rFonts w:hint="eastAsia" w:cs="Times New Roman"/>
                <w:b/>
                <w:bCs/>
                <w:color w:val="FFFFFF" w:themeColor="background1"/>
                <w:sz w:val="26"/>
                <w:szCs w:val="26"/>
                <w14:textFill>
                  <w14:solidFill>
                    <w14:schemeClr w14:val="bg1"/>
                  </w14:solidFill>
                </w14:textFill>
              </w:rPr>
              <w:t>：社会事业重点建设项目</w:t>
            </w:r>
          </w:p>
        </w:tc>
      </w:tr>
      <w:tr>
        <w:tblPrEx>
          <w:tblCellMar>
            <w:top w:w="0" w:type="dxa"/>
            <w:left w:w="108" w:type="dxa"/>
            <w:bottom w:w="0" w:type="dxa"/>
            <w:right w:w="108" w:type="dxa"/>
          </w:tblCellMar>
        </w:tblPrEx>
        <w:trPr>
          <w:trHeight w:val="529" w:hRule="atLeast"/>
          <w:jc w:val="center"/>
        </w:trPr>
        <w:tc>
          <w:tcPr>
            <w:tcW w:w="8522" w:type="dxa"/>
            <w:tcBorders>
              <w:top w:val="single" w:color="auto" w:sz="4" w:space="0"/>
              <w:left w:val="single" w:color="auto" w:sz="4" w:space="0"/>
              <w:bottom w:val="single" w:color="auto" w:sz="4" w:space="0"/>
              <w:right w:val="single" w:color="auto" w:sz="4" w:space="0"/>
            </w:tcBorders>
            <w:vAlign w:val="center"/>
          </w:tcPr>
          <w:p>
            <w:pPr>
              <w:spacing w:line="300" w:lineRule="auto"/>
              <w:ind w:firstLine="482" w:firstLineChars="200"/>
              <w:jc w:val="left"/>
              <w:rPr>
                <w:rFonts w:ascii="Times New Roman" w:hAnsi="Times New Roman"/>
                <w:bCs/>
                <w:sz w:val="24"/>
              </w:rPr>
            </w:pPr>
            <w:r>
              <w:rPr>
                <w:rFonts w:hint="eastAsia" w:ascii="Times New Roman" w:hAnsi="Times New Roman"/>
                <w:b/>
                <w:bCs/>
                <w:sz w:val="24"/>
              </w:rPr>
              <w:t>教育事业。</w:t>
            </w:r>
            <w:r>
              <w:rPr>
                <w:rFonts w:hint="eastAsia" w:ascii="Times New Roman" w:hAnsi="Times New Roman"/>
                <w:bCs/>
                <w:sz w:val="24"/>
              </w:rPr>
              <w:t>重点推进西华县寄宿学校及教育综合改造建设项目、西华县农村教师周转宿舍项目、西华县两类学校建设项目、西华县3个中学及特教学校建设项目、西华县幼儿园提升改造项目、周口职业技术学院经开分院、西华县农村教师保障住房、西华县普通高中办学条件改造项目、西华县职教中心建设项目、西华县特色商业区完全中学建设项目等项目建设。</w:t>
            </w:r>
          </w:p>
          <w:p>
            <w:pPr>
              <w:spacing w:line="300" w:lineRule="auto"/>
              <w:ind w:firstLine="482" w:firstLineChars="200"/>
              <w:jc w:val="left"/>
              <w:rPr>
                <w:rFonts w:ascii="Times New Roman" w:hAnsi="Times New Roman"/>
                <w:bCs/>
                <w:sz w:val="24"/>
              </w:rPr>
            </w:pPr>
            <w:r>
              <w:rPr>
                <w:rFonts w:hint="eastAsia" w:ascii="Times New Roman" w:hAnsi="Times New Roman"/>
                <w:b/>
                <w:bCs/>
                <w:sz w:val="24"/>
              </w:rPr>
              <w:t>医疗卫生。</w:t>
            </w:r>
            <w:r>
              <w:rPr>
                <w:rFonts w:hint="eastAsia" w:ascii="Times New Roman" w:hAnsi="Times New Roman"/>
                <w:bCs/>
                <w:sz w:val="24"/>
              </w:rPr>
              <w:t>重点推进西华经开区中心医院项目、西华县综合医院建设项目、西华县中医院老年医疗康复中心、西华妇女儿童医院、西华县院前急救中心、西华县国家医疗战略储备医院、西华县“互联网+健康服务”信息平台、西华县中医馆楼建设、西华县传染病医院病房综合楼建设项目、西华县公立综合医院、西华县老年医疗康复中心、西华县医养结合中心、西华县健康养老中心、西华县乡镇中医馆楼建设项目、西华县公共卫生服务能力提升项目、西华县卫生基础建设项目、西华县老人医院门诊楼、病房楼等项目建设。</w:t>
            </w:r>
          </w:p>
          <w:p>
            <w:pPr>
              <w:spacing w:line="300" w:lineRule="auto"/>
              <w:ind w:firstLine="482" w:firstLineChars="200"/>
              <w:jc w:val="left"/>
              <w:rPr>
                <w:rFonts w:ascii="Times New Roman" w:hAnsi="Times New Roman"/>
                <w:sz w:val="24"/>
              </w:rPr>
            </w:pPr>
            <w:r>
              <w:rPr>
                <w:rFonts w:hint="eastAsia" w:ascii="Times New Roman" w:hAnsi="Times New Roman"/>
                <w:b/>
                <w:bCs/>
                <w:sz w:val="24"/>
              </w:rPr>
              <w:t>促进就业。</w:t>
            </w:r>
            <w:r>
              <w:rPr>
                <w:rFonts w:hint="eastAsia" w:ascii="Times New Roman" w:hAnsi="Times New Roman"/>
                <w:bCs/>
                <w:sz w:val="24"/>
              </w:rPr>
              <w:t>重点推进电子产业公共实训基地、西华县人力资源市场、西华县建成返乡创业就业服务中心、全县22个乡镇（街道）人力资源社会保障所等项目建设。</w:t>
            </w:r>
          </w:p>
        </w:tc>
      </w:tr>
    </w:tbl>
    <w:p>
      <w:pPr>
        <w:pStyle w:val="2"/>
        <w:spacing w:before="120" w:after="120" w:line="600" w:lineRule="exact"/>
        <w:ind w:right="-340" w:rightChars="-162"/>
        <w:jc w:val="center"/>
        <w:rPr>
          <w:rFonts w:ascii="黑体" w:hAnsi="黑体" w:eastAsia="黑体"/>
          <w:b w:val="0"/>
          <w:sz w:val="32"/>
          <w:szCs w:val="32"/>
        </w:rPr>
      </w:pPr>
      <w:bookmarkStart w:id="87" w:name="_Toc65514313"/>
      <w:r>
        <w:rPr>
          <w:rFonts w:hint="eastAsia" w:ascii="黑体" w:hAnsi="黑体" w:eastAsia="黑体"/>
          <w:b w:val="0"/>
          <w:bCs/>
          <w:sz w:val="32"/>
          <w:szCs w:val="32"/>
        </w:rPr>
        <w:t>第十三章 统筹发展和安全，筑牢安全发展底线</w:t>
      </w:r>
      <w:bookmarkEnd w:id="87"/>
    </w:p>
    <w:p>
      <w:pPr>
        <w:spacing w:line="600" w:lineRule="exact"/>
        <w:ind w:firstLine="640" w:firstLineChars="200"/>
        <w:textAlignment w:val="baseline"/>
        <w:rPr>
          <w:rFonts w:ascii="Times New Roman" w:hAnsi="Times New Roman" w:eastAsia="仿宋_GB2312"/>
          <w:sz w:val="32"/>
          <w:szCs w:val="32"/>
        </w:rPr>
      </w:pPr>
      <w:r>
        <w:rPr>
          <w:rFonts w:hint="eastAsia" w:ascii="仿宋_GB2312" w:eastAsia="仿宋_GB2312"/>
          <w:sz w:val="32"/>
          <w:szCs w:val="32"/>
        </w:rPr>
        <w:t>深入践行总体国家安全观，统筹传统安全和非传统安全，把安全发展贯穿经济社会发展各领域和全过程，着力防范化解各类风险，确保人民安居乐业、社会安定有序。</w:t>
      </w:r>
    </w:p>
    <w:p>
      <w:pPr>
        <w:pStyle w:val="3"/>
        <w:spacing w:before="120" w:after="120" w:line="600" w:lineRule="exact"/>
        <w:jc w:val="center"/>
        <w:rPr>
          <w:rFonts w:ascii="Times New Roman" w:hAnsi="Times New Roman" w:eastAsia="仿宋_GB2312"/>
          <w:szCs w:val="32"/>
        </w:rPr>
      </w:pPr>
      <w:bookmarkStart w:id="88" w:name="_Toc65514314"/>
      <w:r>
        <w:rPr>
          <w:rFonts w:hint="eastAsia" w:ascii="仿宋_GB2312" w:hAnsi="Times New Roman" w:eastAsia="仿宋_GB2312"/>
        </w:rPr>
        <w:t>第一节 加强国家安全体系和能力建设</w:t>
      </w:r>
      <w:bookmarkEnd w:id="88"/>
    </w:p>
    <w:p>
      <w:pPr>
        <w:spacing w:line="600" w:lineRule="exact"/>
        <w:ind w:firstLine="640" w:firstLineChars="200"/>
        <w:rPr>
          <w:rFonts w:ascii="Times New Roman" w:hAnsi="Times New Roman" w:eastAsia="仿宋_GB2312"/>
          <w:kern w:val="0"/>
          <w:sz w:val="32"/>
          <w:szCs w:val="32"/>
        </w:rPr>
      </w:pPr>
      <w:r>
        <w:rPr>
          <w:rFonts w:hint="eastAsia" w:ascii="仿宋_GB2312" w:hAnsi="Times New Roman" w:eastAsia="仿宋_GB2312"/>
          <w:sz w:val="32"/>
          <w:szCs w:val="32"/>
        </w:rPr>
        <w:t>全面贯彻落实总体国家安全观，以保障人民群众生命财产安全为根本出发点，</w:t>
      </w:r>
      <w:r>
        <w:rPr>
          <w:rFonts w:hint="eastAsia" w:ascii="仿宋_GB2312" w:hAnsi="Times New Roman" w:eastAsia="仿宋_GB2312"/>
          <w:kern w:val="0"/>
          <w:sz w:val="32"/>
          <w:szCs w:val="32"/>
        </w:rPr>
        <w:t>统筹发展与安全，维护公共安全。</w:t>
      </w:r>
    </w:p>
    <w:p>
      <w:pPr>
        <w:spacing w:line="600" w:lineRule="exact"/>
        <w:ind w:firstLine="643" w:firstLineChars="200"/>
        <w:textAlignment w:val="baseline"/>
        <w:rPr>
          <w:rFonts w:ascii="Times New Roman" w:hAnsi="Times New Roman" w:eastAsia="仿宋_GB2312"/>
          <w:kern w:val="0"/>
          <w:sz w:val="32"/>
          <w:szCs w:val="32"/>
        </w:rPr>
      </w:pPr>
      <w:r>
        <w:rPr>
          <w:rFonts w:hint="eastAsia" w:ascii="楷体_GB2312" w:hAnsi="Times New Roman" w:eastAsia="楷体_GB2312"/>
          <w:b/>
          <w:bCs/>
          <w:sz w:val="32"/>
          <w:szCs w:val="32"/>
        </w:rPr>
        <w:t>坚决维护政治安全。</w:t>
      </w:r>
      <w:r>
        <w:rPr>
          <w:rFonts w:hint="eastAsia" w:ascii="仿宋_GB2312" w:hAnsi="Times New Roman" w:eastAsia="仿宋_GB2312"/>
          <w:sz w:val="32"/>
          <w:szCs w:val="32"/>
        </w:rPr>
        <w:t>全面落实国家安全责任制，完善国家安全审查和监管机制，严格落实意识形态工作责任制。推动宗教治理由治标向治本深化，依法打击非法宗教和邪教活动。严密防范和严厉打击敌对势力渗透、破坏、颠覆、分裂活动。提升国防经济动员、人民防空和交通战备能力，健全军民共建机制。加强国家安全宣传教育和国防教育，增强全面国家安全意识和国防关键，巩固国家安全人民防线。</w:t>
      </w:r>
    </w:p>
    <w:p>
      <w:pPr>
        <w:spacing w:line="600" w:lineRule="exact"/>
        <w:ind w:firstLine="643" w:firstLineChars="200"/>
        <w:textAlignment w:val="baseline"/>
        <w:rPr>
          <w:rFonts w:ascii="Times New Roman" w:hAnsi="Times New Roman" w:eastAsia="仿宋_GB2312"/>
          <w:kern w:val="0"/>
          <w:sz w:val="32"/>
          <w:szCs w:val="32"/>
        </w:rPr>
      </w:pPr>
      <w:r>
        <w:rPr>
          <w:rFonts w:hint="eastAsia" w:ascii="楷体_GB2312" w:hAnsi="Times New Roman" w:eastAsia="楷体_GB2312"/>
          <w:b/>
          <w:bCs/>
          <w:sz w:val="32"/>
          <w:szCs w:val="32"/>
        </w:rPr>
        <w:t>坚决确保经济领域安全。</w:t>
      </w:r>
      <w:r>
        <w:rPr>
          <w:rFonts w:hint="eastAsia" w:ascii="仿宋_GB2312" w:hAnsi="Times New Roman" w:eastAsia="仿宋_GB2312"/>
          <w:sz w:val="32"/>
          <w:szCs w:val="32"/>
        </w:rPr>
        <w:t>强化经济安全风险预警、防控机制和能力建设，推动反垄断、反不正当竞争，依法打击各类经济违法犯罪。实施产业竞争力调查和评价工程，增强产业体系抗冲击能力，加强产业链供应链韧性建设，提升主导产业集群发展水平。维护重要基础设施安全和新型领域安全。加强金融市场监管，健全预防、预警、处置、问责制度机制，打击非法集资，防范企业债务风险、政府隐性债务风险，坚决防止区域性、系统性金融风险。</w:t>
      </w:r>
    </w:p>
    <w:p>
      <w:pPr>
        <w:spacing w:line="600" w:lineRule="exact"/>
        <w:ind w:firstLine="643" w:firstLineChars="200"/>
        <w:textAlignment w:val="baseline"/>
        <w:rPr>
          <w:rFonts w:ascii="Times New Roman" w:hAnsi="Times New Roman" w:eastAsia="仿宋_GB2312"/>
          <w:sz w:val="32"/>
          <w:szCs w:val="32"/>
        </w:rPr>
      </w:pPr>
      <w:r>
        <w:rPr>
          <w:rFonts w:hint="eastAsia" w:ascii="楷体_GB2312" w:hAnsi="Times New Roman" w:eastAsia="楷体_GB2312"/>
          <w:b/>
          <w:bCs/>
          <w:sz w:val="32"/>
          <w:szCs w:val="32"/>
        </w:rPr>
        <w:t>坚决保障人民生命财产安全。</w:t>
      </w:r>
      <w:r>
        <w:rPr>
          <w:rFonts w:hint="eastAsia" w:ascii="仿宋_GB2312" w:hAnsi="Times New Roman" w:eastAsia="仿宋_GB2312"/>
          <w:sz w:val="32"/>
          <w:szCs w:val="32"/>
        </w:rPr>
        <w:t>把保护人民生命安全摆在首位，全面提高公共安全保障能力。</w:t>
      </w:r>
    </w:p>
    <w:p>
      <w:pPr>
        <w:spacing w:line="600" w:lineRule="exact"/>
        <w:ind w:firstLine="643" w:firstLineChars="200"/>
        <w:textAlignment w:val="baseline"/>
        <w:rPr>
          <w:rFonts w:ascii="仿宋_GB2312" w:hAnsi="Times New Roman" w:eastAsia="仿宋_GB2312"/>
          <w:sz w:val="32"/>
          <w:szCs w:val="32"/>
        </w:rPr>
      </w:pPr>
      <w:r>
        <w:rPr>
          <w:rFonts w:ascii="Times New Roman" w:hAnsi="Times New Roman" w:eastAsia="仿宋_GB2312"/>
          <w:b/>
          <w:bCs/>
          <w:sz w:val="32"/>
          <w:szCs w:val="32"/>
        </w:rPr>
        <w:t>——</w:t>
      </w:r>
      <w:r>
        <w:rPr>
          <w:rFonts w:hint="eastAsia" w:ascii="仿宋_GB2312" w:hAnsi="Times New Roman" w:eastAsia="仿宋_GB2312"/>
          <w:b/>
          <w:bCs/>
          <w:sz w:val="32"/>
          <w:szCs w:val="32"/>
        </w:rPr>
        <w:t>保障生产安全和食品安全。</w:t>
      </w:r>
      <w:r>
        <w:rPr>
          <w:rFonts w:hint="eastAsia" w:ascii="仿宋_GB2312" w:hAnsi="Times New Roman" w:eastAsia="仿宋_GB2312"/>
          <w:bCs/>
          <w:sz w:val="32"/>
          <w:szCs w:val="32"/>
        </w:rPr>
        <w:t>按照管行业必须管安全、管业务必须管安全、管生产经营必须管安全和谁主管谁负责的原则，明确部门监管责任</w:t>
      </w:r>
      <w:r>
        <w:rPr>
          <w:rFonts w:hint="eastAsia" w:ascii="仿宋_GB2312" w:hAnsi="Times New Roman" w:eastAsia="仿宋_GB2312"/>
          <w:b/>
          <w:bCs/>
          <w:sz w:val="32"/>
          <w:szCs w:val="32"/>
        </w:rPr>
        <w:t>。</w:t>
      </w:r>
      <w:r>
        <w:rPr>
          <w:rFonts w:hint="eastAsia" w:ascii="仿宋_GB2312" w:hAnsi="Times New Roman" w:eastAsia="仿宋_GB2312"/>
          <w:sz w:val="32"/>
          <w:szCs w:val="32"/>
        </w:rPr>
        <w:t>完善落实党政同责、一岗双责、齐抓共管、失职追责的安全生产责任制，持续开展安全生产专项整治三年行动，加强安全生产监督执法，强化安全生产考核，有效遏制危险化学品、建筑施工、交通等特大安全事故。强化生物安全防护，加强食品药品安全监管，提升食品药品等关系人民健康产品和服务的安全监管，增加食品药品抽查，严格打击食品药品类犯罪。</w:t>
      </w:r>
    </w:p>
    <w:p>
      <w:pPr>
        <w:spacing w:line="600" w:lineRule="exact"/>
        <w:ind w:firstLine="643" w:firstLineChars="200"/>
        <w:textAlignment w:val="baseline"/>
        <w:rPr>
          <w:rFonts w:ascii="仿宋_GB2312" w:hAnsi="Times New Roman" w:eastAsia="仿宋_GB2312"/>
          <w:sz w:val="32"/>
          <w:szCs w:val="32"/>
        </w:rPr>
      </w:pPr>
      <w:r>
        <w:rPr>
          <w:rFonts w:ascii="Times New Roman" w:hAnsi="Times New Roman" w:eastAsia="仿宋_GB2312"/>
          <w:b/>
          <w:bCs/>
          <w:sz w:val="32"/>
          <w:szCs w:val="32"/>
        </w:rPr>
        <w:t>——</w:t>
      </w:r>
      <w:r>
        <w:rPr>
          <w:rFonts w:hint="eastAsia" w:ascii="仿宋_GB2312" w:hAnsi="Times New Roman" w:eastAsia="仿宋_GB2312"/>
          <w:b/>
          <w:bCs/>
          <w:sz w:val="32"/>
          <w:szCs w:val="32"/>
        </w:rPr>
        <w:t>健全现代应急管理体系。</w:t>
      </w:r>
      <w:r>
        <w:rPr>
          <w:rFonts w:hint="eastAsia" w:ascii="仿宋_GB2312" w:hAnsi="Times New Roman" w:eastAsia="仿宋_GB2312"/>
          <w:sz w:val="32"/>
          <w:szCs w:val="32"/>
        </w:rPr>
        <w:t>健全突发事件应急处置机制和应急保障体系，完善各类突发事件应急预案，强化应急演练，健全分级响应和跨区域协同联动机制，提高防灾、减灾、抗灾灾能力，打造韧性城市。健全自然灾害风险研判、隐患治理、监测预警和信息共享机制，提升洪涝干旱、森林火灾地质灾害、地震等自然灾害防御工程标准。加快气象预警发布平台建设，加强气象灾害防范，完善自然灾害救助制度。提高城市供水、排水防涝等行业快速反应和综合应对能力。融合各类救援力量，加强应急救援物资储备库和应急救援指挥中心建设和应急救援指挥信息化平台建设，健全和完善应急避难场所。发挥应急管理平台功能，整合应急救援队伍，推动基础设施和国家综合性消防救援队伍、地方专业救援队伍建设，加强应急决策指挥和救援实战能力，增强全灾种救援能力，广泛开展防灾救灾宣传教育。</w:t>
      </w:r>
    </w:p>
    <w:p>
      <w:pPr>
        <w:spacing w:line="600" w:lineRule="exact"/>
        <w:ind w:firstLine="643" w:firstLineChars="200"/>
        <w:textAlignment w:val="baseline"/>
        <w:rPr>
          <w:rFonts w:ascii="Times New Roman" w:hAnsi="Times New Roman" w:eastAsia="仿宋_GB2312"/>
          <w:sz w:val="32"/>
          <w:szCs w:val="32"/>
        </w:rPr>
      </w:pPr>
      <w:r>
        <w:rPr>
          <w:rFonts w:ascii="Times New Roman" w:hAnsi="Times New Roman" w:eastAsia="仿宋_GB2312"/>
          <w:b/>
          <w:bCs/>
          <w:sz w:val="32"/>
          <w:szCs w:val="32"/>
        </w:rPr>
        <w:t>——</w:t>
      </w:r>
      <w:r>
        <w:rPr>
          <w:rFonts w:hint="eastAsia" w:ascii="仿宋_GB2312" w:hAnsi="Times New Roman" w:eastAsia="仿宋_GB2312"/>
          <w:b/>
          <w:bCs/>
          <w:sz w:val="32"/>
          <w:szCs w:val="32"/>
        </w:rPr>
        <w:t>维护社会稳定安全。</w:t>
      </w:r>
      <w:r>
        <w:rPr>
          <w:rFonts w:hint="eastAsia" w:ascii="仿宋_GB2312" w:hAnsi="Times New Roman" w:eastAsia="仿宋_GB2312"/>
          <w:sz w:val="32"/>
          <w:szCs w:val="32"/>
        </w:rPr>
        <w:t>严格落实重大决策社会稳定风评制度。坚持发展新时代</w:t>
      </w:r>
      <w:r>
        <w:rPr>
          <w:rFonts w:hint="eastAsia" w:ascii="Times New Roman" w:hAnsi="Times New Roman" w:eastAsia="仿宋_GB2312"/>
          <w:sz w:val="32"/>
          <w:szCs w:val="32"/>
        </w:rPr>
        <w:t>“枫桥经验”，健全社会矛盾排查预警机制，创新完善调解、仲裁、行政裁决、行政复议、诉讼等有机衔接、相互协调、高效便捷的多元化解机制。创新运用“流动调解”“网络调解”等方式，广泛培育“品牌调解室”“金牌调解员”，健全社会心理服务体系和危机干预机制，将各类社会矛盾防范解决在县域范围。以县级综治中心为引领，加大资源整合力度，进一步完善乡村两极综治中心功能，加大信息化建设力度，深化拓展全域网格化服务管理，持续推进“雪亮工程”建设，强化重点地区排查</w:t>
      </w:r>
      <w:r>
        <w:rPr>
          <w:rFonts w:hint="eastAsia" w:ascii="仿宋_GB2312" w:hAnsi="Times New Roman" w:eastAsia="仿宋_GB2312"/>
          <w:sz w:val="32"/>
          <w:szCs w:val="32"/>
        </w:rPr>
        <w:t>整治，深化平安创建活动。推动扫黑除恶斗争常态化，严密防范和坚决打击各种渗透颠覆破坏、暴力恐怖、黑恶势力、新型网络犯罪和跨国犯罪，保持社会大局安全稳定。</w:t>
      </w:r>
    </w:p>
    <w:p>
      <w:pPr>
        <w:pStyle w:val="3"/>
        <w:spacing w:before="120" w:after="120" w:line="600" w:lineRule="exact"/>
        <w:jc w:val="center"/>
        <w:rPr>
          <w:rFonts w:ascii="仿宋_GB2312" w:hAnsi="Times New Roman" w:eastAsia="仿宋_GB2312"/>
          <w:szCs w:val="32"/>
        </w:rPr>
      </w:pPr>
      <w:bookmarkStart w:id="89" w:name="_Toc65514315"/>
      <w:r>
        <w:rPr>
          <w:rFonts w:hint="eastAsia" w:ascii="仿宋_GB2312" w:hAnsi="Times New Roman" w:eastAsia="仿宋_GB2312"/>
        </w:rPr>
        <w:t>第二节 推进社会治理创新发展</w:t>
      </w:r>
      <w:bookmarkEnd w:id="89"/>
    </w:p>
    <w:p>
      <w:pPr>
        <w:spacing w:line="600" w:lineRule="exact"/>
        <w:ind w:firstLine="640" w:firstLineChars="200"/>
        <w:textAlignment w:val="baseline"/>
        <w:rPr>
          <w:rFonts w:ascii="仿宋_GB2312" w:hAnsi="Times New Roman" w:eastAsia="仿宋_GB2312"/>
          <w:sz w:val="32"/>
          <w:szCs w:val="32"/>
        </w:rPr>
      </w:pPr>
      <w:r>
        <w:rPr>
          <w:rFonts w:hint="eastAsia" w:ascii="仿宋_GB2312" w:hAnsi="Times New Roman" w:eastAsia="仿宋_GB2312"/>
          <w:sz w:val="32"/>
          <w:szCs w:val="32"/>
        </w:rPr>
        <w:t>顺应大数据时代广泛参与、网络互动、扁平化运行的社会结构新特点，深化社会组织管理制度改革，加强社会治理创新，提升政府社会治理能力和水平。</w:t>
      </w:r>
    </w:p>
    <w:p>
      <w:pPr>
        <w:spacing w:line="600" w:lineRule="exact"/>
        <w:ind w:firstLine="643" w:firstLineChars="200"/>
        <w:textAlignment w:val="baseline"/>
        <w:rPr>
          <w:rFonts w:ascii="仿宋_GB2312" w:hAnsi="Times New Roman" w:eastAsia="仿宋_GB2312"/>
          <w:sz w:val="32"/>
          <w:szCs w:val="32"/>
        </w:rPr>
      </w:pPr>
      <w:r>
        <w:rPr>
          <w:rFonts w:hint="eastAsia" w:ascii="楷体_GB2312" w:hAnsi="Times New Roman" w:eastAsia="楷体_GB2312"/>
          <w:b/>
          <w:bCs/>
          <w:sz w:val="32"/>
          <w:szCs w:val="32"/>
        </w:rPr>
        <w:t>健全基层治理体系。</w:t>
      </w:r>
      <w:r>
        <w:rPr>
          <w:rFonts w:hint="eastAsia" w:ascii="仿宋_GB2312" w:hAnsi="Times New Roman" w:eastAsia="仿宋_GB2312"/>
          <w:sz w:val="32"/>
          <w:szCs w:val="32"/>
        </w:rPr>
        <w:t>牢固树立大抓基层基础导向，完善党组织领导的自治、法治、德治相结合的城乡基层治理体系。依法厘清基层政府与基层群众性自治组织的权责边界，减轻基层特别是村级组织负担。推动社会治理和服务重心向基层下移、资源向基层下沉，推广“基层党建+”模式和“街乡吹哨、部门报到”等经验，推进乡镇（街道）社会工作站、城乡社区综合服务设施建设，构建网格化、精细化服务、信息化支撑、开放共享的基层管理服务平台，探索实体社区“人网”与虚拟社区“云网”联动融合管理。加强基层群众性自治组织规范化建设。完善村（居）民自治制度，健全民主选举、民主协商、民主决策、民主管理、民主监督工作运行机制，加强村（居）民议事会、理事会、监督委员会等自治载体建设。</w:t>
      </w:r>
    </w:p>
    <w:p>
      <w:pPr>
        <w:spacing w:line="600" w:lineRule="exact"/>
        <w:ind w:firstLine="643" w:firstLineChars="200"/>
        <w:textAlignment w:val="baseline"/>
        <w:rPr>
          <w:rFonts w:ascii="仿宋_GB2312" w:hAnsi="Times New Roman" w:eastAsia="仿宋_GB2312"/>
          <w:sz w:val="32"/>
          <w:szCs w:val="32"/>
        </w:rPr>
      </w:pPr>
      <w:r>
        <w:rPr>
          <w:rFonts w:hint="eastAsia" w:ascii="楷体_GB2312" w:hAnsi="Times New Roman" w:eastAsia="楷体_GB2312"/>
          <w:b/>
          <w:bCs/>
          <w:sz w:val="32"/>
          <w:szCs w:val="32"/>
        </w:rPr>
        <w:t>积极引导社会力量参与。</w:t>
      </w:r>
      <w:r>
        <w:rPr>
          <w:rFonts w:hint="eastAsia" w:ascii="仿宋_GB2312" w:hAnsi="Times New Roman" w:eastAsia="仿宋_GB2312"/>
          <w:sz w:val="32"/>
          <w:szCs w:val="32"/>
        </w:rPr>
        <w:t>发挥群团组织和社会组织在社会治理中的作用，畅通和规范市场主体、新社会阶层、社会工作者和志愿者等参与社会治理的途径。培育规范化行业协会商会、公益慈善组织城乡社区社会组织，建立健全监管机制，推进自律互律。健全政府向社会组织购买服务制度和动态赋权机制，及时制定并动态发布可供社会力量参与的需求“菜单”。发展社会工作服务机构和志愿服务组织，壮大志愿者队伍，搭建更多志愿服务平台。</w:t>
      </w:r>
    </w:p>
    <w:p>
      <w:pPr>
        <w:spacing w:line="600" w:lineRule="exact"/>
        <w:ind w:firstLine="643" w:firstLineChars="200"/>
        <w:textAlignment w:val="baseline"/>
        <w:rPr>
          <w:rFonts w:ascii="仿宋_GB2312" w:hAnsi="Times New Roman" w:eastAsia="仿宋_GB2312"/>
          <w:sz w:val="32"/>
          <w:szCs w:val="32"/>
        </w:rPr>
      </w:pPr>
      <w:r>
        <w:rPr>
          <w:rFonts w:hint="eastAsia" w:ascii="楷体_GB2312" w:hAnsi="Times New Roman" w:eastAsia="楷体_GB2312"/>
          <w:b/>
          <w:bCs/>
          <w:sz w:val="32"/>
          <w:szCs w:val="32"/>
        </w:rPr>
        <w:t>创新社会治理模式。</w:t>
      </w:r>
      <w:r>
        <w:rPr>
          <w:rFonts w:hint="eastAsia" w:ascii="仿宋_GB2312" w:hAnsi="Times New Roman" w:eastAsia="仿宋_GB2312"/>
          <w:sz w:val="32"/>
          <w:szCs w:val="32"/>
        </w:rPr>
        <w:t>改进社会治理方式，提高社会治理社会化、法治化、智能化、专业化水平，构建全民共建共享的社会治理格局，维护和谐稳定的社会环境。不断提高网络治理水平，加快构建政府、企业、网络等多主题治理体系，做强网上正面宣传，营造网络良好生态。积极探索构建党政统一领导、部门齐抓共管、社会广泛参与的大信访工作格局，坚持领导干部接访约访下访和包案化解等制度，推动由事后处理向事前防范转变，由被动等访向主动下访转变、由行政推动向依法治理转变、由分头办理向整体联动转变；筑牢底线思维，坚持关口前移，突出预防为主，落实重大决策社会稳定风险评估，落实防范化解重大风险各项措施，完善社会稳定风险等级预警机制、责任追究机制和监督制约机制，提高防范化解重大风险能力。</w:t>
      </w:r>
    </w:p>
    <w:p>
      <w:pPr>
        <w:pStyle w:val="3"/>
        <w:spacing w:before="120" w:after="120" w:line="600" w:lineRule="exact"/>
        <w:jc w:val="center"/>
        <w:rPr>
          <w:rFonts w:ascii="仿宋_GB2312" w:hAnsi="Times New Roman" w:eastAsia="仿宋_GB2312"/>
          <w:szCs w:val="32"/>
        </w:rPr>
      </w:pPr>
      <w:bookmarkStart w:id="90" w:name="_Toc65514316"/>
      <w:r>
        <w:rPr>
          <w:rFonts w:hint="eastAsia" w:ascii="仿宋_GB2312" w:hAnsi="Times New Roman" w:eastAsia="仿宋_GB2312"/>
        </w:rPr>
        <w:t>第三节 推进社会主义民主法治建设</w:t>
      </w:r>
      <w:bookmarkEnd w:id="90"/>
    </w:p>
    <w:p>
      <w:pPr>
        <w:spacing w:line="600" w:lineRule="exact"/>
        <w:ind w:firstLine="640" w:firstLineChars="200"/>
        <w:textAlignment w:val="baseline"/>
        <w:rPr>
          <w:rFonts w:ascii="Times New Roman" w:hAnsi="Times New Roman" w:eastAsia="仿宋_GB2312"/>
          <w:sz w:val="32"/>
          <w:szCs w:val="32"/>
        </w:rPr>
      </w:pPr>
      <w:r>
        <w:rPr>
          <w:rFonts w:hint="eastAsia" w:ascii="仿宋_GB2312" w:hAnsi="Times New Roman" w:eastAsia="仿宋_GB2312"/>
          <w:sz w:val="32"/>
          <w:szCs w:val="32"/>
        </w:rPr>
        <w:t>坚持中国共产党领导、人民当家作主、依法治国有机统一，坚定不移走中国特色社会主义政治发展道路，巩固和发展生动活泼、安定团结的政治局面。</w:t>
      </w:r>
    </w:p>
    <w:p>
      <w:pPr>
        <w:spacing w:line="600" w:lineRule="exact"/>
        <w:ind w:firstLine="643" w:firstLineChars="200"/>
        <w:textAlignment w:val="baseline"/>
        <w:rPr>
          <w:rFonts w:ascii="Times New Roman" w:hAnsi="Times New Roman" w:eastAsia="仿宋_GB2312"/>
          <w:sz w:val="32"/>
          <w:szCs w:val="32"/>
        </w:rPr>
      </w:pPr>
      <w:r>
        <w:rPr>
          <w:rFonts w:hint="eastAsia" w:ascii="楷体_GB2312" w:hAnsi="Times New Roman" w:eastAsia="楷体_GB2312"/>
          <w:b/>
          <w:bCs/>
          <w:sz w:val="32"/>
          <w:szCs w:val="32"/>
        </w:rPr>
        <w:t>发展社会主义民主。</w:t>
      </w:r>
      <w:r>
        <w:rPr>
          <w:rFonts w:hint="eastAsia" w:ascii="仿宋_GB2312" w:hAnsi="Times New Roman" w:eastAsia="仿宋_GB2312"/>
          <w:sz w:val="32"/>
          <w:szCs w:val="32"/>
        </w:rPr>
        <w:t>坚持和完善人民代表大会制度，加强人大对</w:t>
      </w:r>
      <w:r>
        <w:rPr>
          <w:rFonts w:hint="eastAsia" w:ascii="Times New Roman" w:hAnsi="Times New Roman" w:eastAsia="仿宋_GB2312"/>
          <w:sz w:val="32"/>
          <w:szCs w:val="32"/>
        </w:rPr>
        <w:t>“一府一委两院”的监督，密切人大代表同人民群众的联系，保障人民依法通过各种途径和形式管理各项事务。大力推广“人大代表法院调解室”经验做法。坚持和完善中国共产党领导的多党合作和政治协商制度，加强人民政协专门协商机构建设，充分发挥民主党派、工商联和无党派人士作用，推进协商民主广泛、多层、制度化发展。全面贯彻党的民族政策，筑牢中华民族共同体意识。全面贯彻党的宗教工作基本方针，积极引导宗教与社会主义社会相适应。完善大统战</w:t>
      </w:r>
      <w:r>
        <w:rPr>
          <w:rFonts w:hint="eastAsia" w:ascii="仿宋_GB2312" w:hAnsi="Times New Roman" w:eastAsia="仿宋_GB2312"/>
          <w:sz w:val="32"/>
          <w:szCs w:val="32"/>
        </w:rPr>
        <w:t>工作</w:t>
      </w:r>
      <w:r>
        <w:rPr>
          <w:rFonts w:hint="eastAsia" w:ascii="Times New Roman" w:hAnsi="Times New Roman" w:eastAsia="仿宋_GB2312"/>
          <w:sz w:val="32"/>
          <w:szCs w:val="32"/>
        </w:rPr>
        <w:t>格局，加强基层统战工作，健全同党外知识分子、非公有制经济人士、新社会阶层人士的沟通联络机制，充分发挥工会、共青团、妇联等人民团体作用，全面彻党的侨务政策，做好新时代港澳和对台工作。</w:t>
      </w:r>
    </w:p>
    <w:p>
      <w:pPr>
        <w:spacing w:line="600" w:lineRule="exact"/>
        <w:ind w:firstLine="643" w:firstLineChars="200"/>
        <w:textAlignment w:val="baseline"/>
        <w:rPr>
          <w:rFonts w:ascii="楷体_GB2312" w:hAnsi="Times New Roman" w:eastAsia="楷体_GB2312"/>
          <w:b/>
          <w:bCs/>
          <w:sz w:val="32"/>
          <w:szCs w:val="32"/>
        </w:rPr>
      </w:pPr>
      <w:r>
        <w:rPr>
          <w:rFonts w:hint="eastAsia" w:ascii="楷体_GB2312" w:hAnsi="Times New Roman" w:eastAsia="楷体_GB2312"/>
          <w:b/>
          <w:bCs/>
          <w:sz w:val="32"/>
          <w:szCs w:val="32"/>
        </w:rPr>
        <w:t>全面推进依法治县。</w:t>
      </w:r>
      <w:r>
        <w:rPr>
          <w:rFonts w:hint="eastAsia" w:ascii="仿宋_GB2312" w:hAnsi="Times New Roman" w:eastAsia="仿宋_GB2312"/>
          <w:sz w:val="32"/>
          <w:szCs w:val="32"/>
        </w:rPr>
        <w:t>深入贯彻习近平法治思想，坚持历行法治，推进科学立法、严格执法、公正司法、全面守法，完善推进依法治县工作推进机制。</w:t>
      </w:r>
    </w:p>
    <w:p>
      <w:pPr>
        <w:spacing w:line="600" w:lineRule="exact"/>
        <w:ind w:firstLine="643" w:firstLineChars="200"/>
        <w:textAlignment w:val="baseline"/>
        <w:rPr>
          <w:rFonts w:ascii="楷体_GB2312" w:hAnsi="Times New Roman" w:eastAsia="楷体_GB2312"/>
          <w:b/>
          <w:bCs/>
          <w:sz w:val="32"/>
          <w:szCs w:val="32"/>
        </w:rPr>
      </w:pPr>
      <w:r>
        <w:rPr>
          <w:rFonts w:hint="eastAsia" w:ascii="楷体_GB2312" w:hAnsi="Times New Roman" w:eastAsia="楷体_GB2312"/>
          <w:b/>
          <w:bCs/>
          <w:sz w:val="32"/>
          <w:szCs w:val="32"/>
        </w:rPr>
        <w:t>——</w:t>
      </w:r>
      <w:r>
        <w:rPr>
          <w:rFonts w:hint="eastAsia" w:ascii="仿宋_GB2312" w:hAnsi="Times New Roman" w:eastAsia="仿宋_GB2312"/>
          <w:b/>
          <w:bCs/>
          <w:sz w:val="32"/>
          <w:szCs w:val="32"/>
        </w:rPr>
        <w:t>加快法治政府建设。</w:t>
      </w:r>
      <w:r>
        <w:rPr>
          <w:rFonts w:hint="eastAsia" w:ascii="仿宋_GB2312" w:hAnsi="Times New Roman" w:eastAsia="仿宋_GB2312"/>
          <w:sz w:val="32"/>
          <w:szCs w:val="32"/>
        </w:rPr>
        <w:t>全面落实政府权责清单制度，进一步完善依法科学民主决策机制，完善重大行政决策社会稳定风险评估制度，积极推进政府法律顾问和公职律师制度。严格规范性文件管理。深化行政执法体制改革，加强市场监管、生态环境保护等重点领域综合执法，探索乡镇综合执法改革路径。加强行政执法监督，认真落实行政执法</w:t>
      </w:r>
      <w:r>
        <w:rPr>
          <w:rFonts w:hint="eastAsia" w:ascii="Times New Roman" w:hAnsi="Times New Roman" w:eastAsia="仿宋_GB2312"/>
          <w:sz w:val="32"/>
          <w:szCs w:val="32"/>
        </w:rPr>
        <w:t>“三项制度”。</w:t>
      </w:r>
      <w:r>
        <w:rPr>
          <w:rFonts w:hint="eastAsia" w:ascii="仿宋_GB2312" w:hAnsi="Times New Roman" w:eastAsia="仿宋_GB2312"/>
          <w:sz w:val="32"/>
          <w:szCs w:val="32"/>
        </w:rPr>
        <w:t>严格</w:t>
      </w:r>
      <w:r>
        <w:rPr>
          <w:rFonts w:hint="eastAsia" w:ascii="Times New Roman" w:hAnsi="Times New Roman" w:eastAsia="仿宋_GB2312"/>
          <w:sz w:val="32"/>
          <w:szCs w:val="32"/>
        </w:rPr>
        <w:t>规范公正文明执法，深入推进服务型行政执法。扩大政府信息主动公开的范围和深度，优化完善依申请公开的程序。推进行政复议体制改革，由本级政府集中行使行政复议职责。加强对政府工作人员的法治教育培训。</w:t>
      </w:r>
    </w:p>
    <w:p>
      <w:pPr>
        <w:spacing w:line="600" w:lineRule="exact"/>
        <w:ind w:firstLine="643" w:firstLineChars="200"/>
        <w:textAlignment w:val="baseline"/>
        <w:rPr>
          <w:rFonts w:ascii="Times New Roman" w:hAnsi="Times New Roman" w:eastAsia="仿宋_GB2312"/>
          <w:sz w:val="32"/>
          <w:szCs w:val="32"/>
        </w:rPr>
      </w:pPr>
      <w:r>
        <w:rPr>
          <w:rFonts w:ascii="Times New Roman" w:hAnsi="Times New Roman" w:eastAsia="仿宋_GB2312"/>
          <w:b/>
          <w:bCs/>
          <w:sz w:val="32"/>
          <w:szCs w:val="32"/>
        </w:rPr>
        <w:t>——</w:t>
      </w:r>
      <w:r>
        <w:rPr>
          <w:rFonts w:hint="eastAsia" w:ascii="仿宋_GB2312" w:hAnsi="Times New Roman" w:eastAsia="仿宋_GB2312"/>
          <w:b/>
          <w:bCs/>
          <w:sz w:val="32"/>
          <w:szCs w:val="32"/>
        </w:rPr>
        <w:t>加强公正司法建设。</w:t>
      </w:r>
      <w:r>
        <w:rPr>
          <w:rFonts w:hint="eastAsia" w:ascii="仿宋_GB2312" w:hAnsi="Times New Roman" w:eastAsia="仿宋_GB2312"/>
          <w:sz w:val="32"/>
          <w:szCs w:val="32"/>
        </w:rPr>
        <w:t>完善人民法院、人民检察院依照法律规定独立行使审判权、检察权制度。深入推进司法体制改革，全面落实司法责任制。提升破产案件、商业纠纷案件办理效率，完善保护中小企业投资者各项制度。推进执行联动机制建设，从源头切实解决执行难问题。加强对民事、刑事行政案件审判的检察监督机制建设，完善检察建议工作机制制定完善公安机关与检察院、法院追诉定罪标准相协调的刑事案件立案标准。完善社区矫正工作体制机制。健全律师执业管理制度，加强涉外法律服务。完善仲裁制度，做好法律援助、司法鉴定和公证法律服务工作。</w:t>
      </w:r>
    </w:p>
    <w:p>
      <w:pPr>
        <w:spacing w:line="600" w:lineRule="exact"/>
        <w:ind w:firstLine="643" w:firstLineChars="200"/>
        <w:textAlignment w:val="baseline"/>
        <w:rPr>
          <w:rFonts w:ascii="Times New Roman" w:hAnsi="Times New Roman" w:eastAsia="仿宋_GB2312"/>
          <w:sz w:val="32"/>
          <w:szCs w:val="32"/>
        </w:rPr>
      </w:pPr>
      <w:r>
        <w:rPr>
          <w:rFonts w:ascii="Times New Roman" w:hAnsi="Times New Roman" w:eastAsia="仿宋_GB2312"/>
          <w:b/>
          <w:bCs/>
          <w:sz w:val="32"/>
          <w:szCs w:val="32"/>
        </w:rPr>
        <w:t>——</w:t>
      </w:r>
      <w:r>
        <w:rPr>
          <w:rFonts w:hint="eastAsia" w:ascii="仿宋_GB2312" w:hAnsi="Times New Roman" w:eastAsia="仿宋_GB2312"/>
          <w:b/>
          <w:bCs/>
          <w:sz w:val="32"/>
          <w:szCs w:val="32"/>
        </w:rPr>
        <w:t>加快法治社会建设。</w:t>
      </w:r>
      <w:r>
        <w:rPr>
          <w:rFonts w:hint="eastAsia" w:ascii="仿宋_GB2312" w:hAnsi="Times New Roman" w:eastAsia="仿宋_GB2312"/>
          <w:sz w:val="32"/>
          <w:szCs w:val="32"/>
        </w:rPr>
        <w:t>加大普法宣传力度，深入开展习近平法治思想的宣传教育活动，常态化开展《宪法》《民法典》等法律法规的学习宣传。加强普法工作的针对性和实效性，特别是加强青少年法治教育。大力弘扬社会主义法治文化，推动社会主义核心价值观融入法治建设。加强基层法治建设，巩固深化县、乡、村三级公共法律服务平台建设成果，开展公共法律服务中心创建活动。</w:t>
      </w:r>
    </w:p>
    <w:p>
      <w:pPr>
        <w:spacing w:line="600" w:lineRule="exact"/>
        <w:ind w:firstLine="643" w:firstLineChars="200"/>
        <w:textAlignment w:val="baseline"/>
        <w:rPr>
          <w:rFonts w:ascii="Times New Roman" w:hAnsi="Times New Roman" w:eastAsia="仿宋_GB2312"/>
          <w:sz w:val="32"/>
          <w:szCs w:val="32"/>
        </w:rPr>
      </w:pPr>
      <w:r>
        <w:rPr>
          <w:rFonts w:hint="eastAsia" w:ascii="楷体_GB2312" w:hAnsi="Times New Roman" w:eastAsia="楷体_GB2312"/>
          <w:b/>
          <w:bCs/>
          <w:sz w:val="32"/>
          <w:szCs w:val="32"/>
        </w:rPr>
        <w:t>完善权力运行监督机制。</w:t>
      </w:r>
      <w:r>
        <w:rPr>
          <w:rFonts w:hint="eastAsia" w:ascii="仿宋_GB2312" w:eastAsia="仿宋_GB2312"/>
          <w:sz w:val="32"/>
          <w:szCs w:val="32"/>
        </w:rPr>
        <w:t>健全党统一领导、全面覆盖、权威高效的监督体系，强化对公权力运行的制约和监督，完善监察权、审判权、检察权运行和监督机制。健全分事行权、分岗设权、分级授权定期轮岗制度，完善党务、政务、司法和各领域办事公开制度，建立权力运行可查询、可追溯的反馈机制，完善全覆盖的制度执行监督机制。深化重点监督机制改革和制度建设，强化政治监督，深入推进纪律、监察、巡视、派驻等四项监督全覆盖，加强党内监督与人大、政协、司法、行政、审计、统计、群众、舆论等监督统筹衔接，促进治理效能全面提升。</w:t>
      </w:r>
    </w:p>
    <w:p>
      <w:pPr>
        <w:pStyle w:val="2"/>
        <w:spacing w:before="120" w:after="120" w:line="600" w:lineRule="exact"/>
        <w:ind w:right="-340" w:rightChars="-162"/>
        <w:jc w:val="center"/>
        <w:rPr>
          <w:rFonts w:ascii="黑体" w:hAnsi="黑体" w:eastAsia="黑体"/>
          <w:b w:val="0"/>
          <w:sz w:val="32"/>
          <w:szCs w:val="32"/>
        </w:rPr>
      </w:pPr>
      <w:bookmarkStart w:id="91" w:name="_Toc65514317"/>
      <w:r>
        <w:rPr>
          <w:rFonts w:hint="eastAsia" w:ascii="黑体" w:hAnsi="黑体" w:eastAsia="黑体"/>
          <w:b w:val="0"/>
          <w:bCs/>
          <w:sz w:val="32"/>
          <w:szCs w:val="32"/>
        </w:rPr>
        <w:t>第十四章 加强规划实施保障</w:t>
      </w:r>
      <w:r>
        <w:rPr>
          <w:rFonts w:hint="eastAsia" w:ascii="黑体" w:hAnsi="黑体" w:eastAsia="黑体"/>
          <w:b w:val="0"/>
          <w:bCs/>
          <w:spacing w:val="-6"/>
          <w:sz w:val="32"/>
          <w:szCs w:val="32"/>
        </w:rPr>
        <w:t>，实现宏伟蓝图目标</w:t>
      </w:r>
      <w:bookmarkEnd w:id="91"/>
    </w:p>
    <w:p>
      <w:pPr>
        <w:spacing w:line="600" w:lineRule="exact"/>
        <w:ind w:firstLine="640" w:firstLineChars="200"/>
        <w:textAlignment w:val="baseline"/>
        <w:rPr>
          <w:rFonts w:ascii="仿宋_GB2312" w:hAnsi="Times New Roman" w:eastAsia="仿宋_GB2312"/>
          <w:sz w:val="32"/>
          <w:szCs w:val="32"/>
        </w:rPr>
      </w:pPr>
      <w:r>
        <w:rPr>
          <w:rFonts w:hint="eastAsia" w:ascii="仿宋_GB2312" w:hAnsi="Times New Roman" w:eastAsia="仿宋_GB2312"/>
          <w:sz w:val="32"/>
          <w:szCs w:val="32"/>
        </w:rPr>
        <w:t>加强党的全面领导，坚持和完善党领导经济社会发展的体制机制，强化政府责任，完善规划考核评价机制，汇集全社会力量，保障规划有序有效实施，确保一张蓝图干到底。</w:t>
      </w:r>
    </w:p>
    <w:p>
      <w:pPr>
        <w:pStyle w:val="3"/>
        <w:spacing w:before="120" w:after="120" w:line="600" w:lineRule="exact"/>
        <w:jc w:val="center"/>
        <w:rPr>
          <w:rFonts w:ascii="Times New Roman" w:hAnsi="Times New Roman" w:eastAsia="仿宋_GB2312"/>
          <w:szCs w:val="32"/>
        </w:rPr>
      </w:pPr>
      <w:bookmarkStart w:id="92" w:name="_Toc65514318"/>
      <w:r>
        <w:rPr>
          <w:rFonts w:hint="eastAsia" w:ascii="仿宋_GB2312" w:hAnsi="Times New Roman" w:eastAsia="仿宋_GB2312"/>
        </w:rPr>
        <w:t>第一节 加强党的全面领导</w:t>
      </w:r>
      <w:bookmarkEnd w:id="92"/>
    </w:p>
    <w:p>
      <w:pPr>
        <w:spacing w:line="600" w:lineRule="exact"/>
        <w:ind w:firstLine="640" w:firstLineChars="200"/>
        <w:textAlignment w:val="baseline"/>
        <w:rPr>
          <w:rFonts w:ascii="仿宋_GB2312" w:eastAsia="仿宋_GB2312" w:cs="仿宋_GB2312"/>
          <w:kern w:val="0"/>
          <w:sz w:val="32"/>
          <w:szCs w:val="32"/>
        </w:rPr>
      </w:pPr>
      <w:r>
        <w:rPr>
          <w:rFonts w:hint="eastAsia" w:ascii="仿宋_GB2312" w:eastAsia="仿宋_GB2312" w:cs="仿宋_GB2312"/>
          <w:kern w:val="0"/>
          <w:sz w:val="32"/>
          <w:szCs w:val="32"/>
        </w:rPr>
        <w:t>坚持和维护党总揽全局、协调各方的领导核心地位。完善党和国家监督体系，充分调动一切积极因素，广泛团结一切可以团结的力量，为规划实施筑牢政治根基，形成推动发展的强大合力。</w:t>
      </w:r>
    </w:p>
    <w:p>
      <w:pPr>
        <w:spacing w:line="600" w:lineRule="exact"/>
        <w:ind w:firstLine="643" w:firstLineChars="200"/>
        <w:textAlignment w:val="baseline"/>
        <w:rPr>
          <w:rFonts w:ascii="仿宋_GB2312" w:eastAsia="仿宋_GB2312" w:cs="仿宋_GB2312"/>
          <w:kern w:val="0"/>
          <w:sz w:val="32"/>
          <w:szCs w:val="32"/>
        </w:rPr>
      </w:pPr>
      <w:r>
        <w:rPr>
          <w:rFonts w:hint="eastAsia" w:ascii="楷体_GB2312" w:eastAsia="楷体_GB2312" w:cs="仿宋_GB2312"/>
          <w:b/>
          <w:kern w:val="0"/>
          <w:sz w:val="32"/>
          <w:szCs w:val="32"/>
        </w:rPr>
        <w:t>发挥党的领导核心作用。</w:t>
      </w:r>
      <w:r>
        <w:rPr>
          <w:rFonts w:hint="eastAsia" w:ascii="仿宋_GB2312" w:eastAsia="仿宋_GB2312" w:cs="仿宋_GB2312"/>
          <w:kern w:val="0"/>
          <w:sz w:val="32"/>
          <w:szCs w:val="32"/>
        </w:rPr>
        <w:t>提升党</w:t>
      </w:r>
      <w:r>
        <w:rPr>
          <w:rFonts w:hint="eastAsia" w:ascii="仿宋_GB2312" w:eastAsia="仿宋_GB2312" w:cs="TimesNewRomanPSMT"/>
          <w:kern w:val="0"/>
          <w:sz w:val="32"/>
          <w:szCs w:val="32"/>
        </w:rPr>
        <w:t>“</w:t>
      </w:r>
      <w:r>
        <w:rPr>
          <w:rFonts w:hint="eastAsia" w:ascii="仿宋_GB2312" w:eastAsia="仿宋_GB2312" w:cs="仿宋_GB2312"/>
          <w:kern w:val="0"/>
          <w:sz w:val="32"/>
          <w:szCs w:val="32"/>
        </w:rPr>
        <w:t>把方向、谋大局、定政策、促改革</w:t>
      </w:r>
      <w:r>
        <w:rPr>
          <w:rFonts w:hint="eastAsia" w:ascii="仿宋_GB2312" w:eastAsia="仿宋_GB2312" w:cs="TimesNewRomanPSMT"/>
          <w:kern w:val="0"/>
          <w:sz w:val="32"/>
          <w:szCs w:val="32"/>
        </w:rPr>
        <w:t>”</w:t>
      </w:r>
      <w:r>
        <w:rPr>
          <w:rFonts w:hint="eastAsia" w:ascii="仿宋_GB2312" w:eastAsia="仿宋_GB2312" w:cs="仿宋_GB2312"/>
          <w:kern w:val="0"/>
          <w:sz w:val="32"/>
          <w:szCs w:val="32"/>
        </w:rPr>
        <w:t>的能力和定力，强化思想引领，把习近平新时代中国特色社会主义思想武装全党、引领群众作为首要政治任务来抓，确保党的创新理论武装头脑、指导实践、推动工作。坚持党领导下的民主集中制，全面贯彻新时代党的组织</w:t>
      </w:r>
      <w:r>
        <w:rPr>
          <w:rFonts w:hint="eastAsia" w:ascii="仿宋_GB2312" w:hAnsi="Times New Roman" w:eastAsia="仿宋_GB2312"/>
          <w:sz w:val="32"/>
          <w:szCs w:val="32"/>
        </w:rPr>
        <w:t>路线</w:t>
      </w:r>
      <w:r>
        <w:rPr>
          <w:rFonts w:hint="eastAsia" w:ascii="仿宋_GB2312" w:eastAsia="仿宋_GB2312" w:cs="仿宋_GB2312"/>
          <w:kern w:val="0"/>
          <w:sz w:val="32"/>
          <w:szCs w:val="32"/>
        </w:rPr>
        <w:t>，注重发挥各级党组织作用，扛稳政治责任，引导各方面力量向中心工作聚焦发力，努力把基层党组织建设成为坚强有力的战斗堡垒，把重大任务转化为基层具体工作，抓牢抓实抓出成效。坚持好干部标准，树立</w:t>
      </w:r>
      <w:r>
        <w:rPr>
          <w:rFonts w:hint="eastAsia" w:ascii="仿宋_GB2312" w:eastAsia="仿宋_GB2312" w:cs="TimesNewRomanPSMT"/>
          <w:kern w:val="0"/>
          <w:sz w:val="32"/>
          <w:szCs w:val="32"/>
        </w:rPr>
        <w:t>“</w:t>
      </w:r>
      <w:r>
        <w:rPr>
          <w:rFonts w:hint="eastAsia" w:ascii="仿宋_GB2312" w:eastAsia="仿宋_GB2312" w:cs="仿宋_GB2312"/>
          <w:kern w:val="0"/>
          <w:sz w:val="32"/>
          <w:szCs w:val="32"/>
        </w:rPr>
        <w:t>重实干、重实绩、重基层</w:t>
      </w:r>
      <w:r>
        <w:rPr>
          <w:rFonts w:hint="eastAsia" w:ascii="仿宋_GB2312" w:eastAsia="仿宋_GB2312" w:cs="TimesNewRomanPSMT"/>
          <w:kern w:val="0"/>
          <w:sz w:val="32"/>
          <w:szCs w:val="32"/>
        </w:rPr>
        <w:t>”</w:t>
      </w:r>
      <w:r>
        <w:rPr>
          <w:rFonts w:hint="eastAsia" w:ascii="仿宋_GB2312" w:eastAsia="仿宋_GB2312" w:cs="仿宋_GB2312"/>
          <w:kern w:val="0"/>
          <w:sz w:val="32"/>
          <w:szCs w:val="32"/>
        </w:rPr>
        <w:t>干部选拔鲜明导向，注重忠诚干净担当，完善从严管理体系，优化选拔任用机制，系统推进干部年轻化，建设一支真心干事、善于干事、干净干事、能干成事的干部队伍。</w:t>
      </w:r>
    </w:p>
    <w:p>
      <w:pPr>
        <w:spacing w:line="600" w:lineRule="exact"/>
        <w:ind w:firstLine="643" w:firstLineChars="200"/>
        <w:textAlignment w:val="baseline"/>
        <w:rPr>
          <w:rFonts w:ascii="仿宋_GB2312" w:eastAsia="仿宋_GB2312" w:cs="仿宋_GB2312"/>
          <w:kern w:val="0"/>
          <w:sz w:val="32"/>
          <w:szCs w:val="32"/>
        </w:rPr>
      </w:pPr>
      <w:r>
        <w:rPr>
          <w:rFonts w:hint="eastAsia" w:ascii="楷体_GB2312" w:eastAsia="楷体_GB2312" w:cs="仿宋_GB2312"/>
          <w:b/>
          <w:kern w:val="0"/>
          <w:sz w:val="32"/>
          <w:szCs w:val="32"/>
        </w:rPr>
        <w:t>发展社会主义民主政治。</w:t>
      </w:r>
      <w:r>
        <w:rPr>
          <w:rFonts w:hint="eastAsia" w:ascii="仿宋_GB2312" w:eastAsia="仿宋_GB2312" w:cs="仿宋_GB2312"/>
          <w:kern w:val="0"/>
          <w:sz w:val="32"/>
          <w:szCs w:val="32"/>
        </w:rPr>
        <w:t>坚持和完善人民代表大会制度，支持和保证人大及其常委会依法行使各项权利。充分发挥人大代表作用，加强实质性监督。坚持和完善中国共产党领导下的多党合作和政治协商制度，推动政协工作制度化、规范化、程序化建设，畅通意见诉求表达渠道，有序扩大政治参与，发挥好参政议政重要作用。加强和改进统一战线工作，全面贯彻党的民族、宗教、对台和侨务政策，与民主党派、无党派、新的社会阶层、港澳台海外等各方面紧密联系。发挥好工会、共青团、妇联、文联等人民团体作用，把各自联系的群众和对象紧紧凝聚在党的周围。积极扩大基层民主，科学引导群众开展基层民主实践，切实保障人民群众享有更多更扎实的民主权利。</w:t>
      </w:r>
    </w:p>
    <w:p>
      <w:pPr>
        <w:spacing w:line="600" w:lineRule="exact"/>
        <w:ind w:firstLine="643" w:firstLineChars="200"/>
        <w:textAlignment w:val="baseline"/>
        <w:rPr>
          <w:rFonts w:ascii="仿宋_GB2312" w:eastAsia="仿宋_GB2312" w:cs="仿宋_GB2312"/>
          <w:kern w:val="0"/>
          <w:sz w:val="32"/>
          <w:szCs w:val="32"/>
        </w:rPr>
      </w:pPr>
      <w:r>
        <w:rPr>
          <w:rFonts w:hint="eastAsia" w:ascii="仿宋_GB2312" w:eastAsia="仿宋_GB2312" w:cs="仿宋_GB2312"/>
          <w:b/>
          <w:kern w:val="0"/>
          <w:sz w:val="32"/>
          <w:szCs w:val="32"/>
        </w:rPr>
        <w:t>持续加强反腐倡廉建设</w:t>
      </w:r>
      <w:r>
        <w:rPr>
          <w:rFonts w:hint="eastAsia" w:ascii="仿宋_GB2312" w:eastAsia="仿宋_GB2312" w:cs="仿宋_GB2312"/>
          <w:b/>
          <w:sz w:val="32"/>
          <w:szCs w:val="32"/>
        </w:rPr>
        <w:t>。</w:t>
      </w:r>
      <w:r>
        <w:rPr>
          <w:rFonts w:hint="eastAsia" w:ascii="仿宋_GB2312" w:eastAsia="仿宋_GB2312" w:cs="仿宋_GB2312"/>
          <w:sz w:val="32"/>
          <w:szCs w:val="32"/>
        </w:rPr>
        <w:t>坚</w:t>
      </w:r>
      <w:r>
        <w:rPr>
          <w:rFonts w:ascii="Times New Roman" w:hAnsi="Times New Roman" w:eastAsia="仿宋_GB2312"/>
          <w:spacing w:val="6"/>
          <w:sz w:val="32"/>
          <w:szCs w:val="32"/>
        </w:rPr>
        <w:t>决扛起全面从严治党主体责任、监督责任，坚持严的主基调，提高党的建设质量，营造风清气正的良好政治生态。严明政治纪律和政治规矩，推进政治监督具体化常态化。锲而不舍落实中央八项规定精神，持续纠治形式主义、官僚主义，切实为基层减负。</w:t>
      </w:r>
      <w:r>
        <w:rPr>
          <w:rFonts w:hint="eastAsia" w:ascii="Times New Roman" w:hAnsi="Times New Roman" w:eastAsia="仿宋_GB2312"/>
          <w:spacing w:val="6"/>
          <w:sz w:val="32"/>
          <w:szCs w:val="32"/>
        </w:rPr>
        <w:t>深化以案促改，</w:t>
      </w:r>
      <w:r>
        <w:rPr>
          <w:rFonts w:ascii="Times New Roman" w:hAnsi="Times New Roman" w:eastAsia="仿宋_GB2312"/>
          <w:spacing w:val="6"/>
          <w:sz w:val="32"/>
          <w:szCs w:val="32"/>
        </w:rPr>
        <w:t>一体推进不敢腐、不能腐、不想腐的</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三不</w:t>
      </w:r>
      <w:r>
        <w:rPr>
          <w:rFonts w:hint="eastAsia" w:ascii="Times New Roman" w:hAnsi="Times New Roman" w:eastAsia="仿宋_GB2312"/>
          <w:spacing w:val="6"/>
          <w:sz w:val="32"/>
          <w:szCs w:val="32"/>
        </w:rPr>
        <w:t>”</w:t>
      </w:r>
      <w:r>
        <w:rPr>
          <w:rFonts w:ascii="Times New Roman" w:hAnsi="Times New Roman" w:eastAsia="仿宋_GB2312"/>
          <w:spacing w:val="6"/>
          <w:sz w:val="32"/>
          <w:szCs w:val="32"/>
        </w:rPr>
        <w:t>机制。加强干部作风建设，实现作风建设制度化、规范化、常态化。以提升组织力为重点，突出政治功能，充分发挥基层党组织的战斗堡垒作用和党员先锋模范作用，推动基层党组织全面进步、全面过硬。</w:t>
      </w:r>
    </w:p>
    <w:p>
      <w:pPr>
        <w:pStyle w:val="3"/>
        <w:spacing w:before="120" w:after="120" w:line="600" w:lineRule="exact"/>
        <w:jc w:val="center"/>
        <w:rPr>
          <w:rFonts w:ascii="Times New Roman" w:hAnsi="Times New Roman" w:eastAsia="仿宋_GB2312"/>
          <w:szCs w:val="32"/>
        </w:rPr>
      </w:pPr>
      <w:bookmarkStart w:id="93" w:name="_Toc65514319"/>
      <w:r>
        <w:rPr>
          <w:rFonts w:hint="eastAsia" w:ascii="仿宋_GB2312" w:hAnsi="Times New Roman" w:eastAsia="仿宋_GB2312"/>
        </w:rPr>
        <w:t>第二节 完善规划实施机制</w:t>
      </w:r>
      <w:bookmarkEnd w:id="93"/>
    </w:p>
    <w:p>
      <w:pPr>
        <w:spacing w:line="600" w:lineRule="exact"/>
        <w:ind w:firstLine="640" w:firstLineChars="200"/>
        <w:textAlignment w:val="baseline"/>
        <w:rPr>
          <w:rFonts w:ascii="仿宋_GB2312" w:eastAsia="仿宋_GB2312"/>
          <w:kern w:val="0"/>
          <w:sz w:val="32"/>
          <w:szCs w:val="32"/>
        </w:rPr>
      </w:pPr>
      <w:r>
        <w:rPr>
          <w:rFonts w:hint="eastAsia" w:ascii="仿宋_GB2312" w:eastAsia="仿宋_GB2312"/>
          <w:kern w:val="0"/>
          <w:sz w:val="32"/>
          <w:szCs w:val="32"/>
        </w:rPr>
        <w:t>建立健全规划实施机制，推进规划实施工作的</w:t>
      </w:r>
      <w:r>
        <w:rPr>
          <w:rFonts w:hint="eastAsia" w:ascii="仿宋_GB2312" w:hAnsi="Times New Roman" w:eastAsia="仿宋_GB2312"/>
          <w:sz w:val="32"/>
          <w:szCs w:val="32"/>
        </w:rPr>
        <w:t>规范化</w:t>
      </w:r>
      <w:r>
        <w:rPr>
          <w:rFonts w:hint="eastAsia" w:ascii="仿宋_GB2312" w:eastAsia="仿宋_GB2312"/>
          <w:kern w:val="0"/>
          <w:sz w:val="32"/>
          <w:szCs w:val="32"/>
        </w:rPr>
        <w:t>、制度化，增强规划的科学性和执行力。</w:t>
      </w:r>
    </w:p>
    <w:p>
      <w:pPr>
        <w:spacing w:line="600" w:lineRule="exact"/>
        <w:ind w:firstLine="643" w:firstLineChars="200"/>
        <w:textAlignment w:val="baseline"/>
        <w:rPr>
          <w:rFonts w:ascii="仿宋_GB2312" w:eastAsia="仿宋_GB2312"/>
          <w:kern w:val="0"/>
          <w:sz w:val="32"/>
          <w:szCs w:val="32"/>
        </w:rPr>
      </w:pPr>
      <w:r>
        <w:rPr>
          <w:rFonts w:hint="eastAsia" w:ascii="仿宋_GB2312" w:eastAsia="仿宋_GB2312"/>
          <w:b/>
          <w:bCs/>
          <w:kern w:val="0"/>
          <w:sz w:val="32"/>
          <w:szCs w:val="32"/>
        </w:rPr>
        <w:t>强化项目带动推进。</w:t>
      </w:r>
      <w:r>
        <w:rPr>
          <w:rFonts w:hint="eastAsia" w:ascii="仿宋_GB2312" w:eastAsia="仿宋_GB2312"/>
          <w:kern w:val="0"/>
          <w:sz w:val="32"/>
          <w:szCs w:val="32"/>
        </w:rPr>
        <w:t>坚持“项目为王”理念，全力打造高质量发展强大引擎。把开放招商、项目带动作为推动高质量发展的重要抓手、重要路径。坚持项目为先、项目为基、项目为要，突出开放招商、强化项目带动，不断增强发展后劲。把强产业、兴城市、惠民生、优生态等落实到具体项目上。围绕科技创新、基础设施、乡村振兴、社会事业等谋划实施一批投资规模大、科技含量高的重大项目、重大工程，形成储备一批、建设一批、投产一批的良性循环。通过项目建设，有力地促进“十四五”规划的落实和经济社会发展。</w:t>
      </w:r>
    </w:p>
    <w:p>
      <w:pPr>
        <w:spacing w:line="600" w:lineRule="exact"/>
        <w:ind w:firstLine="643" w:firstLineChars="200"/>
        <w:textAlignment w:val="baseline"/>
        <w:rPr>
          <w:rFonts w:ascii="仿宋_GB2312" w:eastAsia="仿宋_GB2312"/>
          <w:kern w:val="0"/>
          <w:sz w:val="32"/>
          <w:szCs w:val="32"/>
        </w:rPr>
      </w:pPr>
      <w:r>
        <w:rPr>
          <w:rFonts w:hint="eastAsia" w:ascii="仿宋_GB2312" w:eastAsia="仿宋_GB2312"/>
          <w:b/>
          <w:bCs/>
          <w:kern w:val="0"/>
          <w:sz w:val="32"/>
          <w:szCs w:val="32"/>
        </w:rPr>
        <w:t>分解目标任务。</w:t>
      </w:r>
      <w:r>
        <w:rPr>
          <w:rFonts w:hint="eastAsia" w:ascii="仿宋_GB2312" w:eastAsia="仿宋_GB2312"/>
          <w:kern w:val="0"/>
          <w:sz w:val="32"/>
          <w:szCs w:val="32"/>
        </w:rPr>
        <w:t>将规划纲要确定的发展目标、重点任务和政策措施进行分解，明确牵头部门和工作责任，并将之作为综合考核的重要内容。各级各部门要深化细化落实措施，明确时间表、任务书、路线图，用目标倒逼措施，以责任推动落实，确保各项规划目标任务圆满完成。</w:t>
      </w:r>
    </w:p>
    <w:p>
      <w:pPr>
        <w:spacing w:line="600" w:lineRule="exact"/>
        <w:ind w:firstLine="643" w:firstLineChars="200"/>
        <w:textAlignment w:val="baseline"/>
        <w:rPr>
          <w:rFonts w:ascii="仿宋_GB2312" w:eastAsia="仿宋_GB2312"/>
          <w:kern w:val="0"/>
          <w:sz w:val="32"/>
          <w:szCs w:val="32"/>
        </w:rPr>
      </w:pPr>
      <w:r>
        <w:rPr>
          <w:rFonts w:hint="eastAsia" w:ascii="仿宋_GB2312" w:eastAsia="仿宋_GB2312"/>
          <w:b/>
          <w:bCs/>
          <w:kern w:val="0"/>
          <w:sz w:val="32"/>
          <w:szCs w:val="32"/>
        </w:rPr>
        <w:t>完善评估机制。</w:t>
      </w:r>
      <w:r>
        <w:rPr>
          <w:rFonts w:hint="eastAsia" w:ascii="仿宋_GB2312" w:eastAsia="仿宋_GB2312"/>
          <w:kern w:val="0"/>
          <w:sz w:val="32"/>
          <w:szCs w:val="32"/>
        </w:rPr>
        <w:t>建立健全规划纲要指标体系的统计和评价制度，确保数据权威准确、科学合理。加强对规划纲要的年度监测评估，创新引入第三方评估机制，增强规划评估的准确性和广泛性。对规划纲要执行中出现的新情况、新问题，要及时采取相应对策措施。建立规划中期评估制度，根据经济运行状况及发展实际，按程序对规划进行必要的调整。</w:t>
      </w:r>
    </w:p>
    <w:p>
      <w:pPr>
        <w:spacing w:line="600" w:lineRule="exact"/>
        <w:ind w:firstLine="643" w:firstLineChars="200"/>
        <w:textAlignment w:val="baseline"/>
        <w:rPr>
          <w:rFonts w:ascii="仿宋_GB2312" w:eastAsia="仿宋_GB2312"/>
          <w:kern w:val="0"/>
          <w:sz w:val="32"/>
          <w:szCs w:val="32"/>
        </w:rPr>
      </w:pPr>
      <w:r>
        <w:rPr>
          <w:rFonts w:hint="eastAsia" w:ascii="仿宋_GB2312" w:eastAsia="仿宋_GB2312"/>
          <w:b/>
          <w:bCs/>
          <w:kern w:val="0"/>
          <w:sz w:val="32"/>
          <w:szCs w:val="32"/>
        </w:rPr>
        <w:t>强化实施监督。</w:t>
      </w:r>
      <w:r>
        <w:rPr>
          <w:rFonts w:hint="eastAsia" w:ascii="仿宋_GB2312" w:eastAsia="仿宋_GB2312"/>
          <w:kern w:val="0"/>
          <w:sz w:val="32"/>
          <w:szCs w:val="32"/>
        </w:rPr>
        <w:t>建立规划纲要实施督促检查机制，加强对本规划纲要实施情况的监督，自觉接受县人民代表大会及其常务委员会对规划纲要实施情况的监督检查，主动接受县政协的民主监督。充分发挥新闻媒体和群众社团的桥梁和监督作用，促进各级各类规划的有效实施。</w:t>
      </w:r>
    </w:p>
    <w:p>
      <w:pPr>
        <w:pStyle w:val="3"/>
        <w:spacing w:before="120" w:after="120" w:line="600" w:lineRule="exact"/>
        <w:jc w:val="center"/>
        <w:rPr>
          <w:rFonts w:ascii="Times New Roman" w:hAnsi="Times New Roman" w:eastAsia="仿宋_GB2312"/>
          <w:szCs w:val="32"/>
        </w:rPr>
      </w:pPr>
      <w:bookmarkStart w:id="94" w:name="_Toc65514320"/>
      <w:r>
        <w:rPr>
          <w:rFonts w:hint="eastAsia" w:ascii="仿宋_GB2312" w:hAnsi="Times New Roman" w:eastAsia="仿宋_GB2312"/>
        </w:rPr>
        <w:t>第三节 充分调动全社会力量</w:t>
      </w:r>
      <w:bookmarkEnd w:id="94"/>
    </w:p>
    <w:p>
      <w:pPr>
        <w:spacing w:line="600" w:lineRule="exact"/>
        <w:ind w:firstLine="640" w:firstLineChars="200"/>
        <w:textAlignment w:val="baseline"/>
        <w:rPr>
          <w:rFonts w:ascii="仿宋_GB2312" w:eastAsia="仿宋_GB2312"/>
          <w:kern w:val="0"/>
          <w:sz w:val="32"/>
          <w:szCs w:val="32"/>
        </w:rPr>
      </w:pPr>
      <w:r>
        <w:rPr>
          <w:rFonts w:hint="eastAsia" w:ascii="仿宋_GB2312" w:eastAsia="仿宋_GB2312"/>
          <w:kern w:val="0"/>
          <w:sz w:val="32"/>
          <w:szCs w:val="32"/>
        </w:rPr>
        <w:t>人民群众是推动社会发展的根本力量，“十四五”规划的顺利实施和实现全面建成小康社会的伟大奋斗目标需要全社会的广泛参与。</w:t>
      </w:r>
    </w:p>
    <w:p>
      <w:pPr>
        <w:spacing w:line="600" w:lineRule="exact"/>
        <w:ind w:firstLine="643" w:firstLineChars="200"/>
        <w:textAlignment w:val="baseline"/>
        <w:rPr>
          <w:rFonts w:ascii="仿宋_GB2312" w:eastAsia="仿宋_GB2312"/>
          <w:kern w:val="0"/>
          <w:sz w:val="32"/>
          <w:szCs w:val="32"/>
        </w:rPr>
      </w:pPr>
      <w:r>
        <w:rPr>
          <w:rFonts w:hint="eastAsia" w:ascii="仿宋_GB2312" w:eastAsia="仿宋_GB2312"/>
          <w:b/>
          <w:bCs/>
          <w:kern w:val="0"/>
          <w:sz w:val="32"/>
          <w:szCs w:val="32"/>
        </w:rPr>
        <w:t>广泛凝聚强大合力。</w:t>
      </w:r>
      <w:r>
        <w:rPr>
          <w:rFonts w:hint="eastAsia" w:ascii="仿宋_GB2312" w:eastAsia="仿宋_GB2312"/>
          <w:kern w:val="0"/>
          <w:sz w:val="32"/>
          <w:szCs w:val="32"/>
        </w:rPr>
        <w:t>坚持人民主体地位，贯彻党的群众路线，激发全县人民建设西华的主人翁意识。注重发挥</w:t>
      </w:r>
      <w:r>
        <w:rPr>
          <w:rFonts w:hint="eastAsia" w:ascii="仿宋_GB2312" w:hAnsi="Times New Roman" w:eastAsia="仿宋_GB2312"/>
          <w:sz w:val="32"/>
          <w:szCs w:val="32"/>
        </w:rPr>
        <w:t>工会</w:t>
      </w:r>
      <w:r>
        <w:rPr>
          <w:rFonts w:hint="eastAsia" w:ascii="仿宋_GB2312" w:eastAsia="仿宋_GB2312"/>
          <w:kern w:val="0"/>
          <w:sz w:val="32"/>
          <w:szCs w:val="32"/>
        </w:rPr>
        <w:t>、共青团、妇联、文联等群团组织作用，巩固和发展最广泛的爱国统一战线，全面落实党的知识分子、民族、宗教、侨务等政策，充分发挥民主党派、工商联和无党派人士作用，最大限度凝聚全社会推进改革发展、维护社会和谐稳定的共识和力量。</w:t>
      </w:r>
    </w:p>
    <w:p>
      <w:pPr>
        <w:spacing w:line="600" w:lineRule="exact"/>
        <w:ind w:firstLine="643" w:firstLineChars="200"/>
        <w:textAlignment w:val="baseline"/>
        <w:rPr>
          <w:rFonts w:ascii="仿宋_GB2312" w:eastAsia="仿宋_GB2312"/>
          <w:kern w:val="0"/>
          <w:sz w:val="32"/>
          <w:szCs w:val="32"/>
        </w:rPr>
      </w:pPr>
      <w:r>
        <w:rPr>
          <w:rFonts w:hint="eastAsia" w:ascii="仿宋_GB2312" w:eastAsia="仿宋_GB2312"/>
          <w:b/>
          <w:bCs/>
          <w:kern w:val="0"/>
          <w:sz w:val="32"/>
          <w:szCs w:val="32"/>
        </w:rPr>
        <w:t>积极动员全社会参与。</w:t>
      </w:r>
      <w:r>
        <w:rPr>
          <w:rFonts w:hint="eastAsia" w:ascii="仿宋_GB2312" w:eastAsia="仿宋_GB2312"/>
          <w:kern w:val="0"/>
          <w:sz w:val="32"/>
          <w:szCs w:val="32"/>
        </w:rPr>
        <w:t>充分发挥社会各界参与规划纲要实施的主动性和创造性，健全规划纲要重大事项实施公开机制、社会监督机制和公众评议机制，使规划纲要的实施成为全社会的自觉行动，形成全社会关心、自觉参与和监督规划纲要实施的良好氛围，形成群策群力、共建共享的生动局面。</w:t>
      </w:r>
    </w:p>
    <w:p>
      <w:pPr>
        <w:spacing w:line="600" w:lineRule="exact"/>
        <w:ind w:firstLine="640" w:firstLineChars="200"/>
        <w:textAlignment w:val="baseline"/>
        <w:rPr>
          <w:rFonts w:ascii="Times New Roman" w:hAnsi="Times New Roman" w:eastAsia="仿宋_GB2312"/>
          <w:kern w:val="0"/>
          <w:sz w:val="32"/>
          <w:szCs w:val="32"/>
        </w:rPr>
      </w:pPr>
      <w:r>
        <w:rPr>
          <w:rFonts w:hint="eastAsia" w:ascii="仿宋_GB2312" w:hAnsi="Times New Roman" w:eastAsia="仿宋_GB2312"/>
          <w:sz w:val="32"/>
          <w:szCs w:val="32"/>
        </w:rPr>
        <w:t>实现</w:t>
      </w:r>
      <w:r>
        <w:rPr>
          <w:rFonts w:hint="eastAsia" w:ascii="Times New Roman" w:hAnsi="Times New Roman" w:eastAsia="仿宋_GB2312"/>
          <w:sz w:val="32"/>
          <w:szCs w:val="32"/>
        </w:rPr>
        <w:t>“十四五”规划和二</w:t>
      </w:r>
      <w:r>
        <w:rPr>
          <w:rFonts w:hint="eastAsia" w:ascii="宋体" w:hAnsi="宋体"/>
          <w:sz w:val="32"/>
          <w:szCs w:val="32"/>
        </w:rPr>
        <w:t>〇</w:t>
      </w:r>
      <w:r>
        <w:rPr>
          <w:rFonts w:hint="eastAsia" w:ascii="仿宋_GB2312" w:hAnsi="Times New Roman" w:eastAsia="仿宋_GB2312"/>
          <w:sz w:val="32"/>
          <w:szCs w:val="32"/>
        </w:rPr>
        <w:t>三五年远景目标，意义重大，任务艰巨。</w:t>
      </w:r>
      <w:r>
        <w:rPr>
          <w:rFonts w:hint="eastAsia" w:ascii="仿宋_GB2312" w:hAnsi="Times New Roman" w:eastAsia="仿宋_GB2312"/>
          <w:kern w:val="0"/>
          <w:sz w:val="32"/>
          <w:szCs w:val="32"/>
        </w:rPr>
        <w:t>全县各级各部门和广大干部群众，要紧密团结在以习近平同志为总书记的党中央周围，深入贯彻落实</w:t>
      </w:r>
      <w:r>
        <w:rPr>
          <w:rFonts w:hint="eastAsia" w:ascii="Times New Roman" w:hAnsi="Times New Roman" w:eastAsia="仿宋_GB2312"/>
          <w:kern w:val="0"/>
          <w:sz w:val="32"/>
          <w:szCs w:val="32"/>
        </w:rPr>
        <w:t>“四个全面”战略布局，在省委、省政府和市委、市政府的坚强领导下，围绕“四个西华”建设目标，万众一心、团结拼搏，艰苦奋斗、真抓实干，为圆满完成全县国民经济和社会发展第十四个五年规划目标任务，谱写新时代中原更加出彩的西华绚丽新篇章而努力奋斗！</w:t>
      </w:r>
    </w:p>
    <w:p>
      <w:pPr>
        <w:spacing w:line="600" w:lineRule="exact"/>
        <w:rPr>
          <w:rFonts w:ascii="Times New Roman" w:hAnsi="Times New Roman" w:eastAsia="仿宋_GB2312"/>
          <w:sz w:val="32"/>
          <w:szCs w:val="32"/>
        </w:rPr>
      </w:pPr>
    </w:p>
    <w:p>
      <w:pPr>
        <w:spacing w:line="576" w:lineRule="exact"/>
        <w:ind w:firstLine="664" w:firstLineChars="200"/>
        <w:jc w:val="left"/>
        <w:rPr>
          <w:rFonts w:ascii="Times New Roman" w:hAnsi="Times New Roman" w:eastAsia="仿宋_GB2312"/>
          <w:spacing w:val="6"/>
          <w:sz w:val="32"/>
          <w:szCs w:val="32"/>
        </w:rPr>
      </w:pPr>
    </w:p>
    <w:p>
      <w:pPr>
        <w:spacing w:line="600" w:lineRule="exact"/>
        <w:ind w:firstLine="640" w:firstLineChars="200"/>
        <w:rPr>
          <w:rFonts w:ascii="Times New Roman" w:hAnsi="Times New Roman" w:eastAsia="仿宋_GB2312"/>
          <w:sz w:val="32"/>
          <w:szCs w:val="32"/>
        </w:rPr>
      </w:pPr>
    </w:p>
    <w:p/>
    <w:sectPr>
      <w:pgSz w:w="11906" w:h="16838"/>
      <w:pgMar w:top="1440" w:right="1588" w:bottom="1440" w:left="1588" w:header="851" w:footer="992" w:gutter="0"/>
      <w:pgNumType w:start="1"/>
      <w:cols w:space="720"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2EFF" w:usb1="C000247B" w:usb2="00000009" w:usb3="00000000" w:csb0="200001FF" w:csb1="00000000"/>
  </w:font>
  <w:font w:name="Cambria">
    <w:panose1 w:val="02040503050406030204"/>
    <w:charset w:val="00"/>
    <w:family w:val="roman"/>
    <w:pitch w:val="default"/>
    <w:sig w:usb0="E00006FF" w:usb1="420024FF" w:usb2="02000000" w:usb3="00000000" w:csb0="2000019F" w:csb1="00000000"/>
  </w:font>
  <w:font w:name="方正小标宋简体">
    <w:altName w:val="黑体"/>
    <w:panose1 w:val="03000509000000000000"/>
    <w:charset w:val="86"/>
    <w:family w:val="script"/>
    <w:pitch w:val="default"/>
    <w:sig w:usb0="00000000" w:usb1="00000000" w:usb2="00000010" w:usb3="00000000" w:csb0="00040000" w:csb1="00000000"/>
  </w:font>
  <w:font w:name="仿宋_GB2312">
    <w:altName w:val="仿宋"/>
    <w:panose1 w:val="02010609030101010101"/>
    <w:charset w:val="86"/>
    <w:family w:val="modern"/>
    <w:pitch w:val="default"/>
    <w:sig w:usb0="00000000" w:usb1="00000000" w:usb2="00000010" w:usb3="00000000" w:csb0="00040000" w:csb1="00000000"/>
  </w:font>
  <w:font w:name="楷体_GB2312">
    <w:altName w:val="楷体"/>
    <w:panose1 w:val="02010609030101010101"/>
    <w:charset w:val="86"/>
    <w:family w:val="modern"/>
    <w:pitch w:val="default"/>
    <w:sig w:usb0="00000000" w:usb1="00000000" w:usb2="00000010" w:usb3="00000000" w:csb0="00040000" w:csb1="00000000"/>
  </w:font>
  <w:font w:name="仿宋">
    <w:panose1 w:val="02010609060101010101"/>
    <w:charset w:val="86"/>
    <w:family w:val="auto"/>
    <w:pitch w:val="default"/>
    <w:sig w:usb0="800002BF" w:usb1="38CF7CFA" w:usb2="00000016" w:usb3="00000000" w:csb0="00040001" w:csb1="00000000"/>
  </w:font>
  <w:font w:name="Tahoma">
    <w:panose1 w:val="020B0604030504040204"/>
    <w:charset w:val="00"/>
    <w:family w:val="swiss"/>
    <w:pitch w:val="default"/>
    <w:sig w:usb0="E1002EFF" w:usb1="C000605B" w:usb2="00000029" w:usb3="00000000" w:csb0="200101FF" w:csb1="20280000"/>
  </w:font>
  <w:font w:name="楷体">
    <w:panose1 w:val="02010609060101010101"/>
    <w:charset w:val="86"/>
    <w:family w:val="auto"/>
    <w:pitch w:val="default"/>
    <w:sig w:usb0="800002BF" w:usb1="38CF7CFA" w:usb2="00000016" w:usb3="00000000" w:csb0="00040001" w:csb1="00000000"/>
  </w:font>
  <w:font w:name="TimesNewRomanPSMT">
    <w:altName w:val="Times New Roman"/>
    <w:panose1 w:val="00000000000000000000"/>
    <w:charset w:val="86"/>
    <w:family w:val="auto"/>
    <w:pitch w:val="default"/>
    <w:sig w:usb0="00000000" w:usb1="00000000" w:usb2="00000010" w:usb3="00000000" w:csb0="00040000" w:csb1="00000000"/>
  </w:font>
  <w:font w:name="微软雅黑">
    <w:panose1 w:val="020B0503020204020204"/>
    <w:charset w:val="86"/>
    <w:family w:val="swiss"/>
    <w:pitch w:val="default"/>
    <w:sig w:usb0="80000287" w:usb1="2ACF3C50" w:usb2="00000016" w:usb3="00000000" w:csb0="0004001F" w:csb1="00000000"/>
  </w:font>
  <w:font w:name="??????">
    <w:altName w:val="微软雅黑"/>
    <w:panose1 w:val="00000000000000000000"/>
    <w:charset w:val="00"/>
    <w:family w:val="auto"/>
    <w:pitch w:val="default"/>
    <w:sig w:usb0="00000000" w:usb1="00000000" w:usb2="00000000"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3"/>
      </w:rPr>
    </w:pPr>
    <w:r>
      <w:rPr>
        <w:rStyle w:val="13"/>
        <w:rFonts w:hint="eastAsia"/>
      </w:rPr>
      <w:t>-</w:t>
    </w:r>
    <w:r>
      <w:fldChar w:fldCharType="begin"/>
    </w:r>
    <w:r>
      <w:rPr>
        <w:rStyle w:val="13"/>
      </w:rPr>
      <w:instrText xml:space="preserve">PAGE  </w:instrText>
    </w:r>
    <w:r>
      <w:fldChar w:fldCharType="separate"/>
    </w:r>
    <w:r>
      <w:rPr>
        <w:rStyle w:val="13"/>
      </w:rPr>
      <w:t>20</w:t>
    </w:r>
    <w:r>
      <w:fldChar w:fldCharType="end"/>
    </w:r>
    <w:r>
      <w:rPr>
        <w:rStyle w:val="13"/>
        <w:rFonts w:hint="eastAsia"/>
      </w:rPr>
      <w:t>-</w:t>
    </w:r>
  </w:p>
  <w:p>
    <w:pPr>
      <w:pStyle w:val="6"/>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framePr w:wrap="around" w:vAnchor="text" w:hAnchor="margin" w:xAlign="center" w:y="1"/>
      <w:rPr>
        <w:rStyle w:val="13"/>
      </w:rPr>
    </w:pPr>
    <w:r>
      <w:fldChar w:fldCharType="begin"/>
    </w:r>
    <w:r>
      <w:rPr>
        <w:rStyle w:val="13"/>
      </w:rPr>
      <w:instrText xml:space="preserve">PAGE  </w:instrText>
    </w:r>
    <w:r>
      <w:fldChar w:fldCharType="end"/>
    </w:r>
  </w:p>
  <w:p>
    <w:pPr>
      <w:pStyle w:val="6"/>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6"/>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7"/>
      <w:pBdr>
        <w:bottom w:val="none" w:color="auto" w:sz="0" w:space="0"/>
      </w:pBdr>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2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NzQyMjQ4NmM2MmZiZjcwYWRlNWI1MzVhNThkNjU5YjAifQ=="/>
  </w:docVars>
  <w:rsids>
    <w:rsidRoot w:val="32F0616A"/>
    <w:rsid w:val="2F4A1AFB"/>
    <w:rsid w:val="308F5415"/>
    <w:rsid w:val="32F0616A"/>
    <w:rsid w:val="42356D07"/>
    <w:rsid w:val="490613E1"/>
    <w:rsid w:val="6DF709CA"/>
    <w:rsid w:val="77EC3BB5"/>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heme="minorHAnsi" w:hAnsiTheme="minorHAnsi" w:eastAsiaTheme="minorEastAsia" w:cstheme="minorBidi"/>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nhideWhenUsed="0" w:uiPriority="9" w:semiHidden="0" w:name="heading 2"/>
    <w:lsdException w:qFormat="1" w:unhideWhenUsed="0" w:uiPriority="9" w:semiHidden="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qFormat="1" w:unhideWhenUsed="0" w:uiPriority="39" w:semiHidden="0" w:name="toc 1"/>
    <w:lsdException w:qFormat="1" w:unhideWhenUsed="0" w:uiPriority="39" w:semiHidden="0" w:name="toc 2"/>
    <w:lsdException w:qFormat="1" w:unhideWhenUsed="0" w:uiPriority="39"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99" w:semiHidden="0" w:name="header"/>
    <w:lsdException w:qFormat="1" w:unhideWhenUsed="0" w:uiPriority="99"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qFormat="1"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qFormat="1" w:unhideWhenUsed="0" w:uiPriority="99"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qFormat="1" w:unhideWhenUsed="0" w:uiPriority="99"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next w:val="2"/>
    <w:qFormat/>
    <w:uiPriority w:val="0"/>
    <w:pPr>
      <w:widowControl w:val="0"/>
      <w:jc w:val="both"/>
    </w:pPr>
    <w:rPr>
      <w:rFonts w:ascii="Calibri" w:hAnsi="Calibri" w:eastAsia="宋体" w:cs="Times New Roman"/>
      <w:kern w:val="2"/>
      <w:sz w:val="21"/>
      <w:szCs w:val="24"/>
      <w:lang w:val="en-US" w:eastAsia="zh-CN" w:bidi="ar-SA"/>
    </w:rPr>
  </w:style>
  <w:style w:type="paragraph" w:styleId="2">
    <w:name w:val="heading 1"/>
    <w:basedOn w:val="1"/>
    <w:next w:val="1"/>
    <w:qFormat/>
    <w:uiPriority w:val="9"/>
    <w:pPr>
      <w:keepNext/>
      <w:keepLines/>
      <w:spacing w:before="340" w:after="330" w:line="578" w:lineRule="auto"/>
      <w:outlineLvl w:val="0"/>
    </w:pPr>
    <w:rPr>
      <w:b/>
      <w:kern w:val="44"/>
      <w:sz w:val="44"/>
      <w:szCs w:val="20"/>
    </w:rPr>
  </w:style>
  <w:style w:type="paragraph" w:styleId="3">
    <w:name w:val="heading 2"/>
    <w:basedOn w:val="1"/>
    <w:next w:val="1"/>
    <w:qFormat/>
    <w:uiPriority w:val="9"/>
    <w:pPr>
      <w:keepNext/>
      <w:keepLines/>
      <w:spacing w:before="260" w:after="260" w:line="416" w:lineRule="auto"/>
      <w:outlineLvl w:val="1"/>
    </w:pPr>
    <w:rPr>
      <w:rFonts w:ascii="Cambria" w:hAnsi="Cambria"/>
      <w:b/>
      <w:kern w:val="0"/>
      <w:sz w:val="32"/>
      <w:szCs w:val="20"/>
    </w:rPr>
  </w:style>
  <w:style w:type="paragraph" w:styleId="4">
    <w:name w:val="heading 3"/>
    <w:basedOn w:val="1"/>
    <w:next w:val="1"/>
    <w:qFormat/>
    <w:uiPriority w:val="9"/>
    <w:pPr>
      <w:keepNext/>
      <w:keepLines/>
      <w:spacing w:before="260" w:after="260" w:line="416" w:lineRule="auto"/>
      <w:outlineLvl w:val="2"/>
    </w:pPr>
    <w:rPr>
      <w:b/>
      <w:bCs/>
      <w:sz w:val="32"/>
      <w:szCs w:val="32"/>
    </w:rPr>
  </w:style>
  <w:style w:type="character" w:default="1" w:styleId="12">
    <w:name w:val="Default Paragraph Font"/>
    <w:semiHidden/>
    <w:qFormat/>
    <w:uiPriority w:val="0"/>
  </w:style>
  <w:style w:type="table" w:default="1" w:styleId="11">
    <w:name w:val="Normal Table"/>
    <w:semiHidden/>
    <w:qFormat/>
    <w:uiPriority w:val="0"/>
    <w:tblPr>
      <w:tblCellMar>
        <w:top w:w="0" w:type="dxa"/>
        <w:left w:w="108" w:type="dxa"/>
        <w:bottom w:w="0" w:type="dxa"/>
        <w:right w:w="108" w:type="dxa"/>
      </w:tblCellMar>
    </w:tblPr>
  </w:style>
  <w:style w:type="paragraph" w:styleId="5">
    <w:name w:val="toc 3"/>
    <w:basedOn w:val="1"/>
    <w:next w:val="1"/>
    <w:qFormat/>
    <w:uiPriority w:val="39"/>
    <w:pPr>
      <w:ind w:left="840" w:leftChars="400"/>
    </w:pPr>
  </w:style>
  <w:style w:type="paragraph" w:styleId="6">
    <w:name w:val="footer"/>
    <w:basedOn w:val="1"/>
    <w:qFormat/>
    <w:uiPriority w:val="99"/>
    <w:pPr>
      <w:tabs>
        <w:tab w:val="center" w:pos="4153"/>
        <w:tab w:val="right" w:pos="8306"/>
      </w:tabs>
      <w:snapToGrid w:val="0"/>
      <w:jc w:val="left"/>
    </w:pPr>
    <w:rPr>
      <w:sz w:val="18"/>
      <w:szCs w:val="18"/>
    </w:rPr>
  </w:style>
  <w:style w:type="paragraph" w:styleId="7">
    <w:name w:val="header"/>
    <w:basedOn w:val="1"/>
    <w:qFormat/>
    <w:uiPriority w:val="99"/>
    <w:pPr>
      <w:pBdr>
        <w:bottom w:val="single" w:color="auto" w:sz="6" w:space="1"/>
      </w:pBdr>
      <w:tabs>
        <w:tab w:val="center" w:pos="4153"/>
        <w:tab w:val="right" w:pos="8306"/>
      </w:tabs>
      <w:snapToGrid w:val="0"/>
      <w:jc w:val="center"/>
    </w:pPr>
    <w:rPr>
      <w:sz w:val="18"/>
      <w:szCs w:val="18"/>
    </w:rPr>
  </w:style>
  <w:style w:type="paragraph" w:styleId="8">
    <w:name w:val="toc 1"/>
    <w:basedOn w:val="1"/>
    <w:next w:val="1"/>
    <w:qFormat/>
    <w:uiPriority w:val="39"/>
  </w:style>
  <w:style w:type="paragraph" w:styleId="9">
    <w:name w:val="toc 2"/>
    <w:basedOn w:val="1"/>
    <w:next w:val="1"/>
    <w:qFormat/>
    <w:uiPriority w:val="39"/>
    <w:pPr>
      <w:ind w:left="420" w:leftChars="200"/>
    </w:pPr>
  </w:style>
  <w:style w:type="paragraph" w:styleId="10">
    <w:name w:val="Normal (Web)"/>
    <w:basedOn w:val="1"/>
    <w:qFormat/>
    <w:uiPriority w:val="99"/>
    <w:pPr>
      <w:widowControl/>
      <w:spacing w:before="100" w:beforeAutospacing="1" w:after="100" w:afterAutospacing="1"/>
      <w:jc w:val="left"/>
    </w:pPr>
    <w:rPr>
      <w:rFonts w:ascii="宋体" w:hAnsi="宋体" w:cs="宋体"/>
      <w:kern w:val="0"/>
      <w:sz w:val="24"/>
    </w:rPr>
  </w:style>
  <w:style w:type="character" w:styleId="13">
    <w:name w:val="page number"/>
    <w:basedOn w:val="12"/>
    <w:qFormat/>
    <w:uiPriority w:val="0"/>
  </w:style>
  <w:style w:type="character" w:styleId="14">
    <w:name w:val="Hyperlink"/>
    <w:basedOn w:val="12"/>
    <w:qFormat/>
    <w:uiPriority w:val="99"/>
    <w:rPr>
      <w:color w:val="0000FF"/>
      <w:u w:val="single"/>
    </w:rPr>
  </w:style>
  <w:style w:type="paragraph" w:customStyle="1" w:styleId="15">
    <w:name w:val="Default"/>
    <w:basedOn w:val="1"/>
    <w:qFormat/>
    <w:uiPriority w:val="0"/>
    <w:pPr>
      <w:autoSpaceDE w:val="0"/>
      <w:autoSpaceDN w:val="0"/>
      <w:adjustRightInd w:val="0"/>
      <w:jc w:val="left"/>
    </w:pPr>
    <w:rPr>
      <w:rFonts w:cs="宋体"/>
      <w:color w:val="000000"/>
      <w:kern w:val="0"/>
      <w:sz w:val="24"/>
    </w:rPr>
  </w:style>
</w:styles>
</file>

<file path=word/_rels/document.xml.rels><?xml version="1.0" encoding="UTF-8" standalone="yes"?>
<Relationships xmlns="http://schemas.openxmlformats.org/package/2006/relationships"><Relationship Id="rId9" Type="http://schemas.openxmlformats.org/officeDocument/2006/relationships/theme" Target="theme/theme1.xml"/><Relationship Id="rId8" Type="http://schemas.openxmlformats.org/officeDocument/2006/relationships/footer" Target="footer3.xml"/><Relationship Id="rId7" Type="http://schemas.openxmlformats.org/officeDocument/2006/relationships/footer" Target="footer2.xml"/><Relationship Id="rId6" Type="http://schemas.openxmlformats.org/officeDocument/2006/relationships/footer" Target="footer1.xml"/><Relationship Id="rId5" Type="http://schemas.openxmlformats.org/officeDocument/2006/relationships/header" Target="header3.xml"/><Relationship Id="rId4" Type="http://schemas.openxmlformats.org/officeDocument/2006/relationships/header" Target="header2.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Normal.dotm</Template>
  <Pages>139</Pages>
  <Words>78735</Words>
  <Characters>79467</Characters>
  <Lines>0</Lines>
  <Paragraphs>0</Paragraphs>
  <TotalTime>73</TotalTime>
  <ScaleCrop>false</ScaleCrop>
  <LinksUpToDate>false</LinksUpToDate>
  <CharactersWithSpaces>79615</CharactersWithSpaces>
  <Application>WPS Office_11.1.0.14309_F1E327BC-269C-435d-A152-05C5408002CA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2021-09-08T00:26:00Z</dcterms:created>
  <dc:creator>WPS_1530691683</dc:creator>
  <cp:lastModifiedBy>WPS_1530691683</cp:lastModifiedBy>
  <dcterms:modified xsi:type="dcterms:W3CDTF">2023-05-30T01:08:29Z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2052-11.1.0.14309</vt:lpwstr>
  </property>
  <property fmtid="{D5CDD505-2E9C-101B-9397-08002B2CF9AE}" pid="3" name="ICV">
    <vt:lpwstr>8B636696C6344AAE898547AF3ED0BBA3</vt:lpwstr>
  </property>
</Properties>
</file>