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_GB2312" w:hAnsi="仿宋_GB2312" w:eastAsia="仿宋_GB2312"/>
          <w:b w:val="0"/>
          <w:snapToGrid/>
          <w:sz w:val="32"/>
          <w:lang w:eastAsia="zh-CN"/>
        </w:rPr>
      </w:pPr>
    </w:p>
    <w:p>
      <w:pPr>
        <w:jc w:val="center"/>
        <w:rPr>
          <w:rFonts w:hint="eastAsia" w:ascii="仿宋_GB2312" w:hAnsi="仿宋_GB2312" w:eastAsia="仿宋_GB2312"/>
          <w:b w:val="0"/>
          <w:snapToGrid/>
          <w:sz w:val="32"/>
          <w:lang w:eastAsia="zh-CN"/>
        </w:rPr>
      </w:pPr>
    </w:p>
    <w:p>
      <w:pPr>
        <w:jc w:val="both"/>
        <w:rPr>
          <w:rFonts w:hint="eastAsia" w:ascii="仿宋_GB2312" w:hAnsi="仿宋_GB2312" w:eastAsia="仿宋_GB2312"/>
          <w:b w:val="0"/>
          <w:snapToGrid/>
          <w:sz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/>
          <w:b w:val="0"/>
          <w:snapToGrid/>
          <w:sz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 w:val="0"/>
          <w:snapToGrid/>
          <w:sz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 w:val="0"/>
          <w:snapToGrid/>
          <w:sz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/>
          <w:b w:val="0"/>
          <w:snapToGrid/>
          <w:sz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西市监</w:t>
      </w:r>
      <w:r>
        <w:rPr>
          <w:rFonts w:hint="eastAsia" w:ascii="仿宋_GB2312" w:eastAsia="仿宋_GB2312"/>
          <w:sz w:val="32"/>
          <w:szCs w:val="32"/>
        </w:rPr>
        <w:t>字〔20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25</w:t>
      </w:r>
      <w:r>
        <w:rPr>
          <w:rFonts w:hint="eastAsia" w:ascii="仿宋_GB2312" w:eastAsia="仿宋_GB2312"/>
          <w:sz w:val="32"/>
          <w:szCs w:val="32"/>
        </w:rPr>
        <w:t>〕</w:t>
      </w:r>
      <w:r>
        <w:rPr>
          <w:rFonts w:hint="eastAsia" w:ascii="仿宋" w:hAnsi="仿宋" w:eastAsia="仿宋" w:cs="仿宋"/>
          <w:b w:val="0"/>
          <w:bCs w:val="0"/>
          <w:snapToGrid/>
          <w:sz w:val="32"/>
          <w:u w:val="none"/>
          <w:lang w:val="en-US" w:eastAsia="zh-CN"/>
        </w:rPr>
        <w:t>65</w:t>
      </w:r>
      <w:r>
        <w:rPr>
          <w:rFonts w:hint="eastAsia" w:ascii="仿宋" w:hAnsi="仿宋" w:eastAsia="仿宋" w:cs="仿宋"/>
          <w:b w:val="0"/>
          <w:bCs w:val="0"/>
          <w:snapToGrid/>
          <w:sz w:val="32"/>
          <w:lang w:eastAsia="zh-CN"/>
        </w:rPr>
        <w:t>号</w:t>
      </w:r>
      <w:r>
        <w:rPr>
          <w:rFonts w:hint="eastAsia" w:ascii="仿宋" w:hAnsi="仿宋" w:eastAsia="仿宋" w:cs="仿宋"/>
          <w:b w:val="0"/>
          <w:snapToGrid/>
          <w:sz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/>
          <w:b w:val="0"/>
          <w:snapToGrid/>
          <w:sz w:val="32"/>
          <w:lang w:val="en-US" w:eastAsia="zh-CN"/>
        </w:rPr>
        <w:t xml:space="preserve">                签发人：</w:t>
      </w:r>
      <w:r>
        <w:rPr>
          <w:rFonts w:hint="eastAsia" w:ascii="仿宋" w:hAnsi="仿宋" w:eastAsia="仿宋" w:cs="仿宋"/>
          <w:b w:val="0"/>
          <w:snapToGrid/>
          <w:sz w:val="32"/>
          <w:lang w:val="en-US" w:eastAsia="zh-CN"/>
        </w:rPr>
        <w:t>刘威海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/>
          <w:b w:val="0"/>
          <w:snapToGrid/>
          <w:sz w:val="32"/>
          <w:lang w:val="en-US" w:eastAsia="zh-CN"/>
        </w:rPr>
      </w:pPr>
      <w:r>
        <w:rPr>
          <w:rFonts w:hint="eastAsia" w:ascii="仿宋_GB2312" w:hAnsi="仿宋_GB2312" w:eastAsia="仿宋_GB2312"/>
          <w:b w:val="0"/>
          <w:snapToGrid/>
          <w:sz w:val="32"/>
          <w:lang w:val="en-US" w:eastAsia="zh-CN"/>
        </w:rPr>
        <w:t xml:space="preserve">                                     </w:t>
      </w:r>
      <w:r>
        <w:rPr>
          <w:rFonts w:hint="eastAsia"/>
          <w:b w:val="0"/>
          <w:snapToGrid/>
          <w:sz w:val="32"/>
          <w:lang w:val="en-US" w:eastAsia="zh-CN"/>
        </w:rPr>
        <w:t xml:space="preserve"> </w:t>
      </w:r>
      <w:r>
        <w:rPr>
          <w:rFonts w:hint="eastAsia" w:ascii="仿宋_GB2312" w:hAnsi="仿宋_GB2312" w:eastAsia="仿宋_GB2312"/>
          <w:b w:val="0"/>
          <w:snapToGrid/>
          <w:sz w:val="32"/>
          <w:lang w:val="en-US" w:eastAsia="zh-CN"/>
        </w:rPr>
        <w:t>办理结果：</w:t>
      </w:r>
      <w:r>
        <w:rPr>
          <w:rFonts w:hint="eastAsia"/>
          <w:b w:val="0"/>
          <w:snapToGrid/>
          <w:sz w:val="32"/>
          <w:lang w:val="en-US" w:eastAsia="zh-CN"/>
        </w:rPr>
        <w:t>A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75" w:beforeAutospacing="0" w:after="150" w:afterAutospacing="0" w:line="420" w:lineRule="atLeast"/>
        <w:ind w:right="0" w:firstLine="1767" w:firstLineChars="400"/>
        <w:jc w:val="left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firstLine="1760" w:firstLineChars="400"/>
        <w:jc w:val="left"/>
        <w:textAlignment w:val="auto"/>
        <w:rPr>
          <w:rStyle w:val="7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Style w:val="7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对县十六届人大五次会议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2200" w:firstLineChars="500"/>
        <w:jc w:val="left"/>
        <w:textAlignment w:val="auto"/>
        <w:rPr>
          <w:rStyle w:val="7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Style w:val="7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 xml:space="preserve">第96号建议的答复 </w:t>
      </w:r>
    </w:p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</w:p>
    <w:p>
      <w:pPr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尊敬的李守焕、黄凤芝代表：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Style w:val="7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您好！你们提出的关于“</w:t>
      </w:r>
      <w:bookmarkStart w:id="0" w:name="OLE_LINK1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营商环境文明执法</w:t>
      </w:r>
      <w:bookmarkEnd w:id="0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的建议”已收悉，首先感谢您对我县市场监管执法工作的高度关注与积极建言。</w:t>
      </w:r>
      <w:r>
        <w:rPr>
          <w:rStyle w:val="7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现答复如下：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提升执法能力，增强服务意识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（一）</w:t>
      </w:r>
      <w:r>
        <w:rPr>
          <w:rFonts w:hint="eastAsia" w:ascii="楷体" w:hAnsi="楷体" w:eastAsia="楷体" w:cs="楷体"/>
          <w:sz w:val="32"/>
          <w:szCs w:val="32"/>
        </w:rPr>
        <w:t>加强执法人员培训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通过集中授课、案例研讨、线上学习等多种方式，组织执法人员学习市场监管法律法规、执法程序、执法技巧等知识，今年共开展各类执法培训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次，培训执法人员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200</w:t>
      </w:r>
      <w:r>
        <w:rPr>
          <w:rFonts w:hint="eastAsia" w:ascii="仿宋" w:hAnsi="仿宋" w:eastAsia="仿宋" w:cs="仿宋"/>
          <w:sz w:val="32"/>
          <w:szCs w:val="32"/>
        </w:rPr>
        <w:t>人次，有效提升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了</w:t>
      </w:r>
      <w:r>
        <w:rPr>
          <w:rFonts w:hint="eastAsia" w:ascii="仿宋" w:hAnsi="仿宋" w:eastAsia="仿宋" w:cs="仿宋"/>
          <w:sz w:val="32"/>
          <w:szCs w:val="32"/>
        </w:rPr>
        <w:t>执法人员业务水平。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（二）</w:t>
      </w:r>
      <w:r>
        <w:rPr>
          <w:rFonts w:hint="eastAsia" w:ascii="楷体" w:hAnsi="楷体" w:eastAsia="楷体" w:cs="楷体"/>
          <w:sz w:val="32"/>
          <w:szCs w:val="32"/>
        </w:rPr>
        <w:t>开展执法案件回访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建立行政处罚案件回访制度，对已办结的涉企行政处罚案件进行回访，了解企业对执法工作的意见和建议，检查执法人员是否存在不规范、不公正、不廉洁等问题，今年共回访涉企行政处罚案件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"/>
          <w:sz w:val="32"/>
          <w:szCs w:val="32"/>
        </w:rPr>
        <w:t>件，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约谈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11人，发放调查问卷19份，</w:t>
      </w:r>
      <w:r>
        <w:rPr>
          <w:rFonts w:hint="eastAsia" w:ascii="仿宋" w:hAnsi="仿宋" w:eastAsia="仿宋" w:cs="仿宋"/>
          <w:sz w:val="32"/>
          <w:szCs w:val="32"/>
        </w:rPr>
        <w:t>企业满意度达到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95</w:t>
      </w:r>
      <w:r>
        <w:rPr>
          <w:rFonts w:hint="eastAsia" w:ascii="仿宋" w:hAnsi="仿宋" w:eastAsia="仿宋" w:cs="仿宋"/>
          <w:sz w:val="32"/>
          <w:szCs w:val="32"/>
        </w:rPr>
        <w:t>% 。</w:t>
      </w:r>
    </w:p>
    <w:p>
      <w:pPr>
        <w:ind w:firstLine="640" w:firstLineChars="200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强化制度建设，规范执法行为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（一）</w:t>
      </w:r>
      <w:r>
        <w:rPr>
          <w:rFonts w:hint="eastAsia" w:ascii="楷体" w:hAnsi="楷体" w:eastAsia="楷体" w:cs="楷体"/>
          <w:sz w:val="32"/>
          <w:szCs w:val="32"/>
        </w:rPr>
        <w:t>落实行政执法“三项制度”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全面推行行政执法公示制度，在国家企业信用信息公示系统、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全国市场监管执法平台、河南省市场监管综合执法办案系统、</w:t>
      </w:r>
      <w:r>
        <w:rPr>
          <w:rFonts w:hint="eastAsia" w:ascii="仿宋" w:hAnsi="仿宋" w:eastAsia="仿宋" w:cs="仿宋"/>
          <w:sz w:val="32"/>
          <w:szCs w:val="32"/>
        </w:rPr>
        <w:t>政府网站等平台及时公示行政许可、行政处罚等执法信息，今年以来共公示涉企执法信息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126</w:t>
      </w:r>
      <w:r>
        <w:rPr>
          <w:rFonts w:hint="eastAsia" w:ascii="仿宋" w:hAnsi="仿宋" w:eastAsia="仿宋" w:cs="仿宋"/>
          <w:sz w:val="32"/>
          <w:szCs w:val="32"/>
        </w:rPr>
        <w:t>条，做到执法信息公开透明。严格执行行政执法全过程记录制度，为执法人员配备执法记录仪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46</w:t>
      </w:r>
      <w:r>
        <w:rPr>
          <w:rFonts w:hint="eastAsia" w:ascii="仿宋" w:hAnsi="仿宋" w:eastAsia="仿宋" w:cs="仿宋"/>
          <w:sz w:val="32"/>
          <w:szCs w:val="32"/>
        </w:rPr>
        <w:t>台，要求执法人员对现场检查、调查取证、送达等执法环节进行全程音像记录，确保执法过程有据可查。落实重大执法决定法制审核制度，成立法制审核工作小组，对拟作出的责令停产停业、吊销许可证、较大数额罚款等重大执法决定进行法制审核，有效防范执法风险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（二）</w:t>
      </w:r>
      <w:r>
        <w:rPr>
          <w:rFonts w:hint="eastAsia" w:ascii="楷体" w:hAnsi="楷体" w:eastAsia="楷体" w:cs="楷体"/>
          <w:sz w:val="32"/>
          <w:szCs w:val="32"/>
        </w:rPr>
        <w:t>完善涉企行政检查机制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严格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按照</w:t>
      </w:r>
      <w:r>
        <w:rPr>
          <w:rFonts w:hint="eastAsia" w:ascii="仿宋" w:hAnsi="仿宋" w:eastAsia="仿宋" w:cs="仿宋"/>
          <w:sz w:val="32"/>
          <w:szCs w:val="32"/>
        </w:rPr>
        <w:t>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全市市场监管系统规范涉企行政执法专项行动实施方案</w:t>
      </w:r>
      <w:r>
        <w:rPr>
          <w:rFonts w:hint="eastAsia" w:ascii="仿宋" w:hAnsi="仿宋" w:eastAsia="仿宋" w:cs="仿宋"/>
          <w:sz w:val="32"/>
          <w:szCs w:val="32"/>
        </w:rPr>
        <w:t>》，全面推行“双随机、一公开”监管制度，制定年度抽查计划，随机抽取检查对象和执法人员，今年共开展“双随机、一公开”涉企检查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62</w:t>
      </w:r>
      <w:r>
        <w:rPr>
          <w:rFonts w:hint="eastAsia" w:ascii="仿宋" w:hAnsi="仿宋" w:eastAsia="仿宋" w:cs="仿宋"/>
          <w:sz w:val="32"/>
          <w:szCs w:val="32"/>
        </w:rPr>
        <w:t>次，涵盖市场监管多个领域。大力推广“综合查一次”模式，联合相关部门对企业开展综合性检查，避免多头执法、重复检查，减少对企业正常经营的干扰，今年已开展跨部门“综合查一次”联合检查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29</w:t>
      </w:r>
      <w:r>
        <w:rPr>
          <w:rFonts w:hint="eastAsia" w:ascii="仿宋" w:hAnsi="仿宋" w:eastAsia="仿宋" w:cs="仿宋"/>
          <w:sz w:val="32"/>
          <w:szCs w:val="32"/>
        </w:rPr>
        <w:t>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，检查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114家，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我局主导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7次，检查39家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ind w:firstLine="640" w:firstLineChars="200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健全监督机制，织密防控网络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（一）</w:t>
      </w:r>
      <w:r>
        <w:rPr>
          <w:rFonts w:hint="eastAsia" w:ascii="楷体" w:hAnsi="楷体" w:eastAsia="楷体" w:cs="楷体"/>
          <w:sz w:val="32"/>
          <w:szCs w:val="32"/>
        </w:rPr>
        <w:t>强化内部监督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充分发挥法制审核、案件评查、执法监督的“防火墙”作用。定期组织对行政处罚案卷进行交叉评查，重点评查程序合法性、证据充分性、裁量适当性。运用信息化手段加强对执法过程的记录和回溯管理。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（二）</w:t>
      </w:r>
      <w:r>
        <w:rPr>
          <w:rFonts w:hint="eastAsia" w:ascii="楷体" w:hAnsi="楷体" w:eastAsia="楷体" w:cs="楷体"/>
          <w:sz w:val="32"/>
          <w:szCs w:val="32"/>
        </w:rPr>
        <w:t>拓宽外部监督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畅通“12315”投诉举报热线、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举报</w:t>
      </w:r>
      <w:r>
        <w:rPr>
          <w:rFonts w:hint="eastAsia" w:ascii="仿宋" w:hAnsi="仿宋" w:eastAsia="仿宋" w:cs="仿宋"/>
          <w:sz w:val="32"/>
          <w:szCs w:val="32"/>
        </w:rPr>
        <w:t>信箱等渠道，鼓励市场主体和群众反映问题。主动邀请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司法局开展伴随式执法</w:t>
      </w:r>
      <w:r>
        <w:rPr>
          <w:rFonts w:hint="eastAsia" w:ascii="仿宋" w:hAnsi="仿宋" w:eastAsia="仿宋" w:cs="仿宋"/>
          <w:sz w:val="32"/>
          <w:szCs w:val="32"/>
        </w:rPr>
        <w:t>参与监督。定期开展市场主体满意度调查和回访。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（三）</w:t>
      </w:r>
      <w:r>
        <w:rPr>
          <w:rFonts w:hint="eastAsia" w:ascii="楷体" w:hAnsi="楷体" w:eastAsia="楷体" w:cs="楷体"/>
          <w:sz w:val="32"/>
          <w:szCs w:val="32"/>
        </w:rPr>
        <w:t>深化所（队）联动监督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建立局机关与基层所（队）的联动监督机制，加强对一线执法人员的日常管理和监督提醒，防止“微腐败”滋生。</w:t>
      </w:r>
    </w:p>
    <w:p>
      <w:pPr>
        <w:ind w:firstLine="640" w:firstLineChars="20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下一步，我局将以您提出的宝贵建议为持续努力的方向，坚决贯彻落实县委、县政府决策部署，继续以提升行政执法质量和效能为核心，纵深推进执法方式创新，不断健全执法监督体系，巩固深化涉企执法专项行动成果，着力解决企业和群众反映强烈的执法突出问题。我们将以更高标准、更实举措，推动全县市场监管系统行政执法工作再上新台阶，为打造稳定、公平、透明、可预期的法治化营商环境提供更加坚强有力的法治保障。</w:t>
      </w:r>
      <w:bookmarkStart w:id="1" w:name="_GoBack"/>
      <w:bookmarkEnd w:id="1"/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再次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感谢您对我们工作的关心和支持，希望继续予以监督和指导。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960" w:firstLineChars="3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960" w:firstLineChars="3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                        西华县市场监督管理局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960" w:firstLineChars="3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                          2025年9月3日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val="en-US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val="en-US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/>
        </w:rPr>
        <w:t>联系单位及电话：西华县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市场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/>
        </w:rPr>
        <w:t>监督管理局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2554508  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/>
        </w:rPr>
        <w:t>联 系 人：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张金伟</w:t>
      </w:r>
    </w:p>
    <w:p>
      <w:pPr>
        <w:ind w:firstLine="640" w:firstLineChars="200"/>
        <w:jc w:val="right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441A78"/>
    <w:rsid w:val="1067005B"/>
    <w:rsid w:val="11BE4BFE"/>
    <w:rsid w:val="1AC10435"/>
    <w:rsid w:val="24F34E63"/>
    <w:rsid w:val="25C40B58"/>
    <w:rsid w:val="28365B43"/>
    <w:rsid w:val="28E7257E"/>
    <w:rsid w:val="34C648BA"/>
    <w:rsid w:val="3BAB5F89"/>
    <w:rsid w:val="5621100B"/>
    <w:rsid w:val="5C534AE5"/>
    <w:rsid w:val="6291712A"/>
    <w:rsid w:val="63FA6BE6"/>
    <w:rsid w:val="79574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color w:val="000000"/>
      <w:kern w:val="0"/>
    </w:rPr>
  </w:style>
  <w:style w:type="paragraph" w:styleId="3">
    <w:name w:val="Body Text 2"/>
    <w:qFormat/>
    <w:uiPriority w:val="0"/>
    <w:pPr>
      <w:widowControl w:val="0"/>
      <w:spacing w:after="120" w:line="480" w:lineRule="auto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2025-09-08T00:26:00Z</dcterms:created>
  <dc:creator>Administrator</dc:creator>
  <cp:lastModifiedBy>Administrator</cp:lastModifiedBy>
  <cp:lastPrinted>2025-09-08T08:59:44Z</cp:lastPrinted>
  <dcterms:modified xsi:type="dcterms:W3CDTF">2025-09-08T08:59:48Z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D274948F9A654685B365D3034C3B20DC</vt:lpwstr>
  </property>
</Properties>
</file>