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/>
          <w:b w:val="0"/>
          <w:snapToGrid/>
          <w:sz w:val="32"/>
          <w:lang w:eastAsia="zh-CN"/>
        </w:rPr>
      </w:pPr>
    </w:p>
    <w:p>
      <w:pPr>
        <w:jc w:val="center"/>
        <w:rPr>
          <w:rFonts w:hint="eastAsia" w:ascii="仿宋_GB2312" w:hAnsi="仿宋_GB2312" w:eastAsia="仿宋_GB2312"/>
          <w:b w:val="0"/>
          <w:snapToGrid/>
          <w:sz w:val="32"/>
          <w:lang w:eastAsia="zh-CN"/>
        </w:rPr>
      </w:pPr>
    </w:p>
    <w:p>
      <w:pPr>
        <w:jc w:val="both"/>
        <w:rPr>
          <w:rFonts w:hint="eastAsia" w:ascii="仿宋_GB2312" w:hAnsi="仿宋_GB2312" w:eastAsia="仿宋_GB2312"/>
          <w:b w:val="0"/>
          <w:snapToGrid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/>
          <w:b w:val="0"/>
          <w:snapToGrid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snapToGrid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snapToGrid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/>
          <w:b w:val="0"/>
          <w:snapToGrid/>
          <w:sz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西市监</w:t>
      </w:r>
      <w:r>
        <w:rPr>
          <w:rFonts w:hint="eastAsia" w:ascii="仿宋_GB2312" w:eastAsia="仿宋_GB2312"/>
          <w:sz w:val="32"/>
          <w:szCs w:val="32"/>
        </w:rPr>
        <w:t>字〔20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66</w:t>
      </w:r>
      <w:r>
        <w:rPr>
          <w:rFonts w:hint="eastAsia" w:ascii="仿宋" w:hAnsi="仿宋" w:eastAsia="仿宋" w:cs="仿宋"/>
          <w:b w:val="0"/>
          <w:bCs w:val="0"/>
          <w:snapToGrid/>
          <w:sz w:val="32"/>
          <w:lang w:eastAsia="zh-CN"/>
        </w:rPr>
        <w:t>号</w:t>
      </w:r>
      <w:r>
        <w:rPr>
          <w:rFonts w:hint="eastAsia" w:ascii="仿宋" w:hAnsi="仿宋" w:eastAsia="仿宋" w:cs="仿宋"/>
          <w:b w:val="0"/>
          <w:snapToGrid/>
          <w:sz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/>
          <w:b w:val="0"/>
          <w:snapToGrid/>
          <w:sz w:val="32"/>
          <w:lang w:val="en-US" w:eastAsia="zh-CN"/>
        </w:rPr>
        <w:t xml:space="preserve">                签发人：</w:t>
      </w:r>
      <w:r>
        <w:rPr>
          <w:rFonts w:hint="eastAsia" w:ascii="仿宋" w:hAnsi="仿宋" w:eastAsia="仿宋" w:cs="仿宋"/>
          <w:b w:val="0"/>
          <w:snapToGrid/>
          <w:sz w:val="32"/>
          <w:lang w:val="en-US" w:eastAsia="zh-CN"/>
        </w:rPr>
        <w:t>刘威海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b w:val="0"/>
          <w:snapToGrid/>
          <w:sz w:val="32"/>
          <w:lang w:val="en-US" w:eastAsia="zh-CN"/>
        </w:rPr>
      </w:pPr>
      <w:r>
        <w:rPr>
          <w:rFonts w:hint="eastAsia" w:ascii="仿宋_GB2312" w:hAnsi="仿宋_GB2312" w:eastAsia="仿宋_GB2312"/>
          <w:b w:val="0"/>
          <w:snapToGrid/>
          <w:sz w:val="32"/>
          <w:lang w:val="en-US" w:eastAsia="zh-CN"/>
        </w:rPr>
        <w:t xml:space="preserve">                                     </w:t>
      </w:r>
      <w:r>
        <w:rPr>
          <w:rFonts w:hint="eastAsia"/>
          <w:b w:val="0"/>
          <w:snapToGrid/>
          <w:sz w:val="32"/>
          <w:lang w:val="en-US" w:eastAsia="zh-CN"/>
        </w:rPr>
        <w:t xml:space="preserve"> </w:t>
      </w:r>
      <w:r>
        <w:rPr>
          <w:rFonts w:hint="eastAsia" w:ascii="仿宋_GB2312" w:hAnsi="仿宋_GB2312" w:eastAsia="仿宋_GB2312"/>
          <w:b w:val="0"/>
          <w:snapToGrid/>
          <w:sz w:val="32"/>
          <w:lang w:val="en-US" w:eastAsia="zh-CN"/>
        </w:rPr>
        <w:t>办理结果：</w:t>
      </w:r>
      <w:r>
        <w:rPr>
          <w:rFonts w:hint="eastAsia"/>
          <w:b w:val="0"/>
          <w:snapToGrid/>
          <w:sz w:val="32"/>
          <w:lang w:val="en-US" w:eastAsia="zh-CN"/>
        </w:rPr>
        <w:t>A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75" w:beforeAutospacing="0" w:after="150" w:afterAutospacing="0" w:line="420" w:lineRule="atLeast"/>
        <w:ind w:right="0" w:firstLine="1767" w:firstLineChars="400"/>
        <w:jc w:val="left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1760" w:firstLineChars="400"/>
        <w:jc w:val="left"/>
        <w:textAlignment w:val="auto"/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对县十六届人大五次会议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2200" w:firstLineChars="500"/>
        <w:jc w:val="left"/>
        <w:textAlignment w:val="auto"/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 xml:space="preserve">第02号建议的答复 </w:t>
      </w: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尊敬的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程崇瑞、高群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生、杨凤琴、孙培杰、白洪顺代表</w:t>
      </w:r>
      <w:r>
        <w:rPr>
          <w:rFonts w:hint="eastAsia" w:ascii="仿宋" w:hAnsi="仿宋" w:eastAsia="仿宋" w:cs="仿宋"/>
          <w:sz w:val="32"/>
          <w:szCs w:val="32"/>
        </w:rPr>
        <w:t xml:space="preserve">： 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们</w:t>
      </w:r>
      <w:r>
        <w:rPr>
          <w:rFonts w:hint="eastAsia" w:ascii="仿宋" w:hAnsi="仿宋" w:eastAsia="仿宋" w:cs="仿宋"/>
          <w:sz w:val="32"/>
          <w:szCs w:val="32"/>
        </w:rPr>
        <w:t>提出的“加强市场监管；加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大信贷支持；建立健全融资担保体系</w:t>
      </w:r>
      <w:r>
        <w:rPr>
          <w:rFonts w:hint="eastAsia" w:ascii="仿宋" w:hAnsi="仿宋" w:eastAsia="仿宋" w:cs="仿宋"/>
          <w:sz w:val="32"/>
          <w:szCs w:val="32"/>
        </w:rPr>
        <w:t>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建议</w:t>
      </w:r>
      <w:r>
        <w:rPr>
          <w:rFonts w:hint="eastAsia" w:ascii="仿宋" w:hAnsi="仿宋" w:eastAsia="仿宋" w:cs="仿宋"/>
          <w:sz w:val="32"/>
          <w:szCs w:val="32"/>
        </w:rPr>
        <w:t>已收悉。</w:t>
      </w:r>
      <w:r>
        <w:rPr>
          <w:rFonts w:hint="eastAsia" w:ascii="仿宋" w:hAnsi="仿宋" w:eastAsia="仿宋" w:cs="仿宋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感谢您对市场监督管理局工作的重视和支持。</w:t>
      </w:r>
      <w:r>
        <w:rPr>
          <w:rStyle w:val="7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现答复如下：</w:t>
      </w:r>
    </w:p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>一、加强市场监管，打击不正当竞争，营造公平竞争市场环境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（一）完善监管体系建设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我局积极构建以“双随机、一公开”监管为基本手段、以重点监管为补充、以信用监管为基础的新型监管机制。一方面，持续完善“一单、两库、一细则”，合理确定随机抽查的比例和频次，实现监管全覆盖且不扰民。另一方面，充分运用大数据、云计算等技术，整合市场监管数据资源，搭建智慧监管平台，提升监管的精准性和有效性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今年全县共开展跨部门联合检查121次，检查企业183家，我局牵头62次，检查80家，实现了综合查一次，有效避免了多头检查、重复检查。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（二）严厉打击不正当竞争行为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我们加大了对虚假宣传、商业贿赂、侵犯商业秘密等不正当竞争行为的打击力度。成立专项执法小组，针对重点行业、重点领域开展专项整治行动。同时，畅通投诉举报渠道，鼓励企业和群众积极举报不正当竞争行为，对查实的案件依法依规严肃处理，并及时向社会公开，形成强大的舆论监督和法律威慑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今年共办理商标侵权案件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19件，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不正当竞争案件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2件，</w:t>
      </w:r>
      <w:r>
        <w:rPr>
          <w:rFonts w:hint="eastAsia" w:ascii="仿宋" w:hAnsi="仿宋" w:eastAsia="仿宋" w:cs="仿宋"/>
          <w:sz w:val="32"/>
          <w:szCs w:val="32"/>
        </w:rPr>
        <w:t>有效维护了企业合法权益和市场竞争秩序。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（三）助推民营经济加快发展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为更好地服务民营经济，我局推出多项举措。一是实施“一站式”服务，简化行政审批流程，缩短审批时限，为民营企业提供便捷高效的政务服务。二是建立企业帮扶机制，安排专人对接民营企业，及时了解企业发展需求，为企业提供政策解读、业务指导等服务。三是开展公平竞争审查工作，清理和废除妨碍统一市场和公平竞争的各种规定和做法，为民营企业营造公平竞争的市场准入环境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二、加强知识产权融资工作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楷体" w:hAnsi="楷体" w:eastAsia="楷体" w:cs="楷体"/>
          <w:sz w:val="32"/>
          <w:szCs w:val="32"/>
        </w:rPr>
        <w:t>（一）强化知识产权价值评估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我局联合专业的知识产权评估机构，制定科学合理的知识产权价值评估标准和流程，提高评估的准确性和公正性。同时，加强对评估机构的监管，规范评估行为，确保知识产权评估结果真实可靠，为知识产权融资提供坚实的价值基础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（二）搭建银企对接平台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积极与金融机构沟通协调，定期组织开展知识产权融资对接会、座谈会等活动，向金融机构推介优质的民营企业知识产权项目，增进银企之间的了解与合作。此外，推动金融机构创新知识产权金融产品和服务，如知识产权质押贷款、知识产权保险等，拓宽民营企业融资渠道。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楷体" w:hAnsi="楷体" w:eastAsia="楷体" w:cs="楷体"/>
          <w:sz w:val="32"/>
          <w:szCs w:val="32"/>
        </w:rPr>
        <w:t>（三）完善风险分担机制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探索建立知识产权融资风险补偿基金，对金融机构因知识产权质押贷款产生的风险进行一定比例的补偿，降低金融机构的风险顾虑，提高其开展知识产权融资业务的积极性。同时，加强与担保机构合作，鼓励担保机构为民营企业知识产权融资提供担保服务，进一步完善风险分担体系。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下一步，我局将持续推进上述工作，不断总结经验，根据实际情况调整和完善工作措施。我们也希望您能继续关注市场监管工作，多提宝贵意见和建议，共同推动民营经济高质量发展。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再次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感谢您对我们工作的关心和支持，希望继续予以监督和指导。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960" w:firstLineChars="3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960" w:firstLineChars="3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        西华县市场监督管理局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960" w:firstLineChars="3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          2025年9月3日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>联系单位及电话：西华县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市场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>监督管理局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2554508 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>联 系 人：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张金伟</w:t>
      </w:r>
    </w:p>
    <w:p>
      <w:pPr>
        <w:jc w:val="right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A8691C"/>
    <w:rsid w:val="14092E46"/>
    <w:rsid w:val="3D0635EC"/>
    <w:rsid w:val="47706BD9"/>
    <w:rsid w:val="5FC65CDA"/>
    <w:rsid w:val="61482A4B"/>
    <w:rsid w:val="65610C09"/>
    <w:rsid w:val="7272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color w:val="000000"/>
      <w:kern w:val="0"/>
    </w:rPr>
  </w:style>
  <w:style w:type="paragraph" w:styleId="3">
    <w:name w:val="Body Text 2"/>
    <w:qFormat/>
    <w:uiPriority w:val="0"/>
    <w:pPr>
      <w:widowControl w:val="0"/>
      <w:spacing w:after="120" w:line="480" w:lineRule="auto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2025-09-08T01:14:00Z</dcterms:created>
  <dc:creator>Administrator</dc:creator>
  <cp:lastModifiedBy>Administrator</cp:lastModifiedBy>
  <dcterms:modified xsi:type="dcterms:W3CDTF">2025-09-17T08:27:05Z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5802A2F77B4246EA8E2D296CDA2A01E0</vt:lpwstr>
  </property>
</Properties>
</file>