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仿宋_GB2312" w:hAnsi="仿宋_GB2312" w:eastAsia="仿宋_GB2312"/>
          <w:b w:val="0"/>
          <w:snapToGrid/>
          <w:sz w:val="32"/>
          <w:u w:val="none"/>
          <w:lang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1"/>
          <w:szCs w:val="21"/>
          <w:shd w:val="clear" w:fill="FFFFFF"/>
        </w:rPr>
        <w:t> </w:t>
      </w:r>
    </w:p>
    <w:p>
      <w:pPr>
        <w:jc w:val="center"/>
        <w:rPr>
          <w:rFonts w:hint="eastAsia" w:ascii="仿宋_GB2312" w:hAnsi="仿宋_GB2312" w:eastAsia="仿宋_GB2312"/>
          <w:b w:val="0"/>
          <w:snapToGrid/>
          <w:sz w:val="32"/>
          <w:u w:val="none"/>
          <w:lang w:eastAsia="zh-CN"/>
        </w:rPr>
      </w:pPr>
    </w:p>
    <w:p>
      <w:pPr>
        <w:jc w:val="both"/>
        <w:rPr>
          <w:rFonts w:hint="eastAsia" w:ascii="仿宋_GB2312" w:hAnsi="仿宋_GB2312" w:eastAsia="仿宋_GB2312"/>
          <w:b w:val="0"/>
          <w:snapToGrid/>
          <w:sz w:val="32"/>
          <w:u w:val="none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_GB2312" w:hAnsi="仿宋_GB2312" w:eastAsia="仿宋_GB2312"/>
          <w:b w:val="0"/>
          <w:snapToGrid/>
          <w:sz w:val="32"/>
          <w:u w:val="none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b w:val="0"/>
          <w:snapToGrid/>
          <w:sz w:val="32"/>
          <w:u w:val="none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b w:val="0"/>
          <w:snapToGrid/>
          <w:sz w:val="32"/>
          <w:u w:val="none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_GB2312" w:eastAsia="仿宋_GB2312"/>
          <w:sz w:val="32"/>
          <w:szCs w:val="32"/>
          <w:u w:val="none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_GB2312" w:hAnsi="仿宋_GB2312" w:eastAsia="仿宋_GB2312"/>
          <w:b w:val="0"/>
          <w:snapToGrid/>
          <w:sz w:val="32"/>
          <w:u w:val="none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u w:val="none"/>
          <w:lang w:eastAsia="zh-CN"/>
        </w:rPr>
        <w:t>西市监</w:t>
      </w:r>
      <w:r>
        <w:rPr>
          <w:rFonts w:hint="eastAsia" w:ascii="仿宋_GB2312" w:eastAsia="仿宋_GB2312"/>
          <w:sz w:val="32"/>
          <w:szCs w:val="32"/>
          <w:u w:val="none"/>
        </w:rPr>
        <w:t>字〔20</w:t>
      </w:r>
      <w:r>
        <w:rPr>
          <w:rFonts w:hint="eastAsia" w:ascii="仿宋_GB2312" w:eastAsia="仿宋_GB2312"/>
          <w:sz w:val="32"/>
          <w:szCs w:val="32"/>
          <w:u w:val="none"/>
          <w:lang w:val="en-US" w:eastAsia="zh-CN"/>
        </w:rPr>
        <w:t>25</w:t>
      </w:r>
      <w:r>
        <w:rPr>
          <w:rFonts w:hint="eastAsia" w:ascii="仿宋_GB2312" w:eastAsia="仿宋_GB2312"/>
          <w:sz w:val="32"/>
          <w:szCs w:val="32"/>
          <w:u w:val="none"/>
        </w:rPr>
        <w:t>〕</w:t>
      </w:r>
      <w:r>
        <w:rPr>
          <w:rFonts w:hint="eastAsia" w:ascii="仿宋" w:hAnsi="仿宋" w:eastAsia="仿宋" w:cs="仿宋"/>
          <w:b w:val="0"/>
          <w:bCs w:val="0"/>
          <w:snapToGrid/>
          <w:sz w:val="32"/>
          <w:u w:val="none"/>
          <w:lang w:val="en-US" w:eastAsia="zh-CN"/>
        </w:rPr>
        <w:t>62</w:t>
      </w:r>
      <w:r>
        <w:rPr>
          <w:rFonts w:hint="eastAsia" w:ascii="仿宋" w:hAnsi="仿宋" w:eastAsia="仿宋" w:cs="仿宋"/>
          <w:b w:val="0"/>
          <w:bCs w:val="0"/>
          <w:snapToGrid/>
          <w:sz w:val="32"/>
          <w:u w:val="none"/>
          <w:lang w:eastAsia="zh-CN"/>
        </w:rPr>
        <w:t>号</w:t>
      </w:r>
      <w:r>
        <w:rPr>
          <w:rFonts w:hint="eastAsia" w:ascii="仿宋" w:hAnsi="仿宋" w:eastAsia="仿宋" w:cs="仿宋"/>
          <w:b w:val="0"/>
          <w:snapToGrid/>
          <w:sz w:val="32"/>
          <w:u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/>
          <w:b w:val="0"/>
          <w:snapToGrid/>
          <w:sz w:val="32"/>
          <w:u w:val="none"/>
          <w:lang w:val="en-US" w:eastAsia="zh-CN"/>
        </w:rPr>
        <w:t xml:space="preserve">                签发人：</w:t>
      </w:r>
      <w:r>
        <w:rPr>
          <w:rFonts w:hint="eastAsia" w:ascii="仿宋" w:hAnsi="仿宋" w:eastAsia="仿宋" w:cs="仿宋"/>
          <w:b w:val="0"/>
          <w:snapToGrid/>
          <w:sz w:val="32"/>
          <w:u w:val="none"/>
          <w:lang w:val="en-US" w:eastAsia="zh-CN"/>
        </w:rPr>
        <w:t>刘威海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/>
          <w:b w:val="0"/>
          <w:snapToGrid/>
          <w:sz w:val="32"/>
          <w:u w:val="none"/>
          <w:lang w:val="en-US" w:eastAsia="zh-CN"/>
        </w:rPr>
      </w:pPr>
      <w:r>
        <w:rPr>
          <w:rFonts w:hint="eastAsia" w:ascii="仿宋_GB2312" w:hAnsi="仿宋_GB2312" w:eastAsia="仿宋_GB2312"/>
          <w:b w:val="0"/>
          <w:snapToGrid/>
          <w:sz w:val="32"/>
          <w:u w:val="none"/>
          <w:lang w:val="en-US" w:eastAsia="zh-CN"/>
        </w:rPr>
        <w:t xml:space="preserve">                                     </w:t>
      </w:r>
      <w:r>
        <w:rPr>
          <w:rFonts w:hint="eastAsia"/>
          <w:b w:val="0"/>
          <w:snapToGrid/>
          <w:sz w:val="32"/>
          <w:u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/>
          <w:b w:val="0"/>
          <w:snapToGrid/>
          <w:sz w:val="32"/>
          <w:u w:val="none"/>
          <w:lang w:val="en-US" w:eastAsia="zh-CN"/>
        </w:rPr>
        <w:t>办理结果：</w:t>
      </w:r>
      <w:r>
        <w:rPr>
          <w:rFonts w:hint="eastAsia"/>
          <w:b w:val="0"/>
          <w:snapToGrid/>
          <w:sz w:val="32"/>
          <w:u w:val="none"/>
          <w:lang w:val="en-US" w:eastAsia="zh-CN"/>
        </w:rPr>
        <w:t>A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1760" w:firstLineChars="400"/>
        <w:rPr>
          <w:rFonts w:hint="eastAsia" w:ascii="仿宋_GB2312" w:hAnsi="SourceHanSansCN-Regular" w:eastAsia="仿宋_GB2312" w:cs="仿宋_GB2312"/>
          <w:i w:val="0"/>
          <w:iCs w:val="0"/>
          <w:caps w:val="0"/>
          <w:color w:val="333333"/>
          <w:spacing w:val="0"/>
          <w:sz w:val="44"/>
          <w:szCs w:val="44"/>
          <w:u w:val="none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left="0" w:right="0" w:firstLine="1760" w:firstLineChars="400"/>
        <w:textAlignment w:val="auto"/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333333"/>
          <w:spacing w:val="0"/>
          <w:sz w:val="44"/>
          <w:szCs w:val="44"/>
          <w:u w:val="no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333333"/>
          <w:spacing w:val="0"/>
          <w:sz w:val="44"/>
          <w:szCs w:val="44"/>
          <w:u w:val="none"/>
          <w:lang w:val="en-US" w:eastAsia="zh-CN"/>
        </w:rPr>
        <w:t>对县政协十一届四次会议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left="0" w:right="0" w:firstLine="2200" w:firstLineChars="500"/>
        <w:textAlignment w:val="auto"/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333333"/>
          <w:spacing w:val="0"/>
          <w:sz w:val="44"/>
          <w:szCs w:val="44"/>
          <w:u w:val="no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333333"/>
          <w:spacing w:val="0"/>
          <w:sz w:val="44"/>
          <w:szCs w:val="44"/>
          <w:u w:val="none"/>
          <w:lang w:val="en-US" w:eastAsia="zh-CN"/>
        </w:rPr>
        <w:t>第175号提案的答复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40" w:lineRule="atLeast"/>
        <w:ind w:left="0" w:right="0" w:firstLine="0"/>
        <w:textAlignment w:val="top"/>
        <w:rPr>
          <w:rFonts w:hint="default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尊敬的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海丽娟委员：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您提出的“关于改善高中学校食堂就餐状况的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议案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”收悉。非常感谢您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对市场监管工作的关心、支持和监督。现答复如下：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60" w:lineRule="atLeast"/>
        <w:ind w:left="0" w:right="0" w:firstLine="640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一、</w:t>
      </w:r>
      <w:r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加强部门联动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60" w:lineRule="atLeast"/>
        <w:ind w:left="0" w:right="0" w:firstLine="640"/>
        <w:jc w:val="both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在春季秋季开学期间，联合教育部门对学校食堂进行了检查，严格审核其资质、人员及管理、进货查验、环境卫生等方面内容，严格要求学校食堂按照文件要求加强自查，从业人员持有效健康证上岗，新入职或临时工作人员也需在上岗前取得健康证，实施每日晨检制度，对有发热、咳嗽、腹泻等症状的从业人员，立即暂停其工作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对食品安全进行全方位、常态化的监督管理，确保师生用餐安全。对检查中发现的问题要求整改，并在规定时间内提交整改报告，并对整改情况进行跟踪复查，确保问题整改到位。对部分违法现象相对严重的，我局立案查处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。截至目前，共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检查学校食堂361家次，消除食品安全隐患127个，立案23起。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60" w:lineRule="atLeast"/>
        <w:ind w:left="0" w:right="0" w:firstLine="640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二、</w:t>
      </w:r>
      <w:r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推动“互联网+明厨亮灶”工程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60" w:lineRule="atLeast"/>
        <w:ind w:left="0" w:right="0" w:firstLine="640"/>
        <w:jc w:val="both"/>
        <w:rPr>
          <w:rFonts w:hint="eastAsia" w:ascii="Times New Roman" w:hAnsi="Times New Roman" w:eastAsia="仿宋" w:cs="Times New Roman"/>
          <w:i w:val="0"/>
          <w:iCs w:val="0"/>
          <w:caps w:val="0"/>
          <w:color w:val="333333"/>
          <w:spacing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推动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学校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食堂安装</w:t>
      </w:r>
      <w:r>
        <w:rPr>
          <w:rFonts w:hint="default" w:ascii="Times New Roman" w:hAnsi="Times New Roman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“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互联网</w:t>
      </w:r>
      <w:r>
        <w:rPr>
          <w:rFonts w:hint="default" w:ascii="Times New Roman" w:hAnsi="Times New Roman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+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明厨亮灶</w:t>
      </w:r>
      <w:r>
        <w:rPr>
          <w:rFonts w:hint="default" w:ascii="Times New Roman" w:hAnsi="Times New Roman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”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视频监控系统，目前覆盖率达到</w:t>
      </w:r>
      <w:r>
        <w:rPr>
          <w:rFonts w:hint="default" w:ascii="Times New Roman" w:hAnsi="Times New Roman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100%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。通过该系统学校食堂加工区、贮存区、消毒区等重点部位可实现</w:t>
      </w:r>
      <w:r>
        <w:rPr>
          <w:rFonts w:hint="default" w:ascii="Times New Roman" w:hAnsi="Times New Roman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24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小时全天候远程监管，实时掌握餐饮加工场所和食品加工过程人员操作等情况，市场监管部门、教育部门、校方、承包商以及家长都可以通过视频监控系统进行实时观看，推进建立政府监管、主体自律、公众监督</w:t>
      </w:r>
      <w:r>
        <w:rPr>
          <w:rFonts w:hint="default" w:ascii="Times New Roman" w:hAnsi="Times New Roman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“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三位一体</w:t>
      </w:r>
      <w:r>
        <w:rPr>
          <w:rFonts w:hint="default" w:ascii="Times New Roman" w:hAnsi="Times New Roman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”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的社会共治共享格局。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三、加强食品安全培训。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开学前开展学校食堂食品安全知识培训。联合县教体局对全县学校及幼儿园食品安全第一责任人、食堂总监、食品安全员共计300余人进行了食品安全法律法规知识培训。围绕学校食堂检查常见问题和食品安全操作规范要求等重点内容，结合典型案例分析，重点对鼠害防治、餐饮具清洗消毒、食品进货查验、食品加工操作、食品留样、“日管控、周排查、月调度”制度落实等方面进行具体讲解。进一步明确学校食品安全主体责任，加强了食品安全总监、食品安全员的安全意识、责任意识、法律意识和服务意识，为推动校园食品安全主体责任落实，筑牢校园食品安全防线打下坚实基础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  下一步，我局将持续加强高中学校食堂食品安全检查力度，严厉打击各类违法违规行为，对违法行为从严从快组织查处，切实保障全县师生“舌尖上的安全”。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bidi w:val="0"/>
        <w:adjustRightInd/>
        <w:snapToGrid/>
        <w:spacing w:before="0" w:beforeAutospacing="0" w:after="0" w:afterAutospacing="0" w:line="560" w:lineRule="exact"/>
        <w:ind w:left="0" w:right="0" w:firstLine="640"/>
        <w:jc w:val="left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再次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感谢您对我们工作的关心和支持，希望继续予以监督和指导。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right"/>
        <w:textAlignment w:val="auto"/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right"/>
        <w:textAlignment w:val="auto"/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right"/>
        <w:textAlignment w:val="auto"/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right"/>
        <w:textAlignment w:val="auto"/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 xml:space="preserve">西华县市场监督管理局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center"/>
        <w:textAlignment w:val="auto"/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 xml:space="preserve">                           2025年8月27日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outlineLvl w:val="9"/>
        <w:rPr>
          <w:rFonts w:hint="eastAsia" w:ascii="仿宋" w:hAnsi="仿宋" w:eastAsia="仿宋" w:cs="仿宋"/>
          <w:color w:val="000000"/>
          <w:sz w:val="32"/>
          <w:szCs w:val="32"/>
          <w:lang w:val="en-US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outlineLvl w:val="9"/>
        <w:rPr>
          <w:rFonts w:hint="eastAsia" w:ascii="仿宋" w:hAnsi="仿宋" w:eastAsia="仿宋" w:cs="仿宋"/>
          <w:color w:val="000000"/>
          <w:sz w:val="32"/>
          <w:szCs w:val="32"/>
          <w:lang w:val="en-US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/>
        </w:rPr>
        <w:t>联系单位及电话：西华县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市场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/>
        </w:rPr>
        <w:t>监督管理局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/>
        </w:rPr>
        <w:t xml:space="preserve"> 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 xml:space="preserve"> 2554508  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outlineLvl w:val="9"/>
        <w:rPr>
          <w:rFonts w:hint="default" w:hAnsi="仿宋" w:eastAsia="仿宋" w:cs="仿宋"/>
          <w:color w:val="00000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/>
        </w:rPr>
        <w:t>联 系 人：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张金伟</w:t>
      </w:r>
    </w:p>
    <w:p>
      <w:pPr>
        <w:rPr>
          <w:rFonts w:hint="eastAsia" w:ascii="仿宋" w:hAnsi="仿宋" w:eastAsia="仿宋" w:cs="仿宋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PMingLiU">
    <w:panose1 w:val="02020500000000000000"/>
    <w:charset w:val="88"/>
    <w:family w:val="roman"/>
    <w:pitch w:val="default"/>
    <w:sig w:usb0="A00002FF" w:usb1="28CFFCFA" w:usb2="00000016" w:usb3="00000000" w:csb0="0010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ourceHanSansCN-Regular">
    <w:altName w:val="Segoe Print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ExZWEyMjcwOWU4NDk1NmI2MGMxMTNjZDVhYzk2ZjQifQ=="/>
  </w:docVars>
  <w:rsids>
    <w:rsidRoot w:val="6DBB2C66"/>
    <w:rsid w:val="001570FF"/>
    <w:rsid w:val="0678659F"/>
    <w:rsid w:val="102E38C6"/>
    <w:rsid w:val="132B744E"/>
    <w:rsid w:val="17E23913"/>
    <w:rsid w:val="19197809"/>
    <w:rsid w:val="1AED7C88"/>
    <w:rsid w:val="1F696BEA"/>
    <w:rsid w:val="230824A0"/>
    <w:rsid w:val="252464F5"/>
    <w:rsid w:val="28BA0B89"/>
    <w:rsid w:val="3B1479D8"/>
    <w:rsid w:val="48D52555"/>
    <w:rsid w:val="4960336B"/>
    <w:rsid w:val="4B922F2E"/>
    <w:rsid w:val="53230B25"/>
    <w:rsid w:val="638C66F5"/>
    <w:rsid w:val="67BC4C81"/>
    <w:rsid w:val="6AD2649C"/>
    <w:rsid w:val="6C6338DA"/>
    <w:rsid w:val="6DBB2C66"/>
    <w:rsid w:val="78B90C9C"/>
    <w:rsid w:val="78D8593D"/>
    <w:rsid w:val="796B01E8"/>
    <w:rsid w:val="79E345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1"/>
    <w:pPr>
      <w:autoSpaceDE w:val="0"/>
      <w:autoSpaceDN w:val="0"/>
      <w:jc w:val="left"/>
    </w:pPr>
    <w:rPr>
      <w:rFonts w:ascii="PMingLiU" w:hAnsi="PMingLiU" w:eastAsia="PMingLiU" w:cs="PMingLiU"/>
      <w:kern w:val="0"/>
      <w:sz w:val="32"/>
      <w:szCs w:val="32"/>
      <w:lang w:val="zh-CN" w:bidi="zh-CN"/>
    </w:rPr>
  </w:style>
  <w:style w:type="paragraph" w:styleId="3">
    <w:name w:val="Body Text 2"/>
    <w:basedOn w:val="1"/>
    <w:qFormat/>
    <w:uiPriority w:val="0"/>
    <w:pPr>
      <w:spacing w:after="120" w:line="480" w:lineRule="auto"/>
    </w:p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7">
    <w:name w:val="0"/>
    <w:basedOn w:val="1"/>
    <w:qFormat/>
    <w:uiPriority w:val="0"/>
    <w:pPr>
      <w:widowControl/>
    </w:pPr>
    <w:rPr>
      <w:kern w:val="0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989</Words>
  <Characters>1008</Characters>
  <Lines>0</Lines>
  <Paragraphs>0</Paragraphs>
  <TotalTime>2</TotalTime>
  <ScaleCrop>false</ScaleCrop>
  <LinksUpToDate>false</LinksUpToDate>
  <CharactersWithSpaces>1118</CharactersWithSpaces>
  <Application>WPS Office_11.1.0.10463_F1E327BC-269C-435d-A152-05C5408002CA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2024-09-23T03:02:00Z</dcterms:created>
  <dc:creator>刘树哲</dc:creator>
  <cp:lastModifiedBy>Administrator</cp:lastModifiedBy>
  <cp:lastPrinted>2024-09-27T00:46:00Z</cp:lastPrinted>
  <dcterms:modified xsi:type="dcterms:W3CDTF">2025-09-08T00:38:52Z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2052-11.1.0.10463</vt:lpwstr>
  </property>
  <property fmtid="{D5CDD505-2E9C-101B-9397-08002B2CF9AE}" pid="3" name="ICV">
    <vt:lpwstr>4542F405DD2C42F1A3E9A6DDD0B7E650_11</vt:lpwstr>
  </property>
  <property fmtid="{D5CDD505-2E9C-101B-9397-08002B2CF9AE}" pid="4" name="KSOTemplateDocerSaveRecord">
    <vt:lpwstr>eyJoZGlkIjoiOGMzNWQ3YTgwOTlmN2U3MzMxYjg0MGJlYzZiNmViOWIiLCJ1c2VySWQiOiI5ODQ1MjgzOTEifQ==</vt:lpwstr>
  </property>
</Properties>
</file>