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041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1-2月全县经济运行情况</w:t>
      </w:r>
    </w:p>
    <w:p w14:paraId="1354F4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一、经济运行情况</w:t>
      </w:r>
    </w:p>
    <w:p w14:paraId="66FDAC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（一）规模以上工业增加值。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1-2月，全县规模以上工业增加值增长13.9%，位居全市第八，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1"/>
          <w:szCs w:val="31"/>
          <w:highlight w:val="none"/>
          <w:lang w:val="en-US" w:eastAsia="zh-CN" w:bidi="ar"/>
        </w:rPr>
        <w:t>高于全市（7.0%）6.9个百分点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。1-2月，全县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工业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增值税完成14527万元，同比增长10.2%，位居全市第一，高于全市（-58.5%）68.7个百分点。1-2月，全县工业用电量完成5908.21万千瓦时，同比下降-11.57%，位居全市第十。</w:t>
      </w:r>
    </w:p>
    <w:p w14:paraId="20E026D9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（三）固定资产投资。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1-2月，全县固定资产投资增长7.8%，</w:t>
      </w:r>
      <w:r>
        <w:rPr>
          <w:rFonts w:hint="eastAsia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 w:bidi="ar"/>
        </w:rPr>
        <w:t>与全市持平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，位居全市第二。建安工程投资增长（季度数据）。工业完成投资同比增长16.3%。工业技改完成同比增速下降77.14%。</w:t>
      </w:r>
    </w:p>
    <w:p w14:paraId="53B7A46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1"/>
          <w:szCs w:val="31"/>
          <w:highlight w:val="none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（四）社会消费品零售总额增速。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1-2月，全县社会消费品零售总额累计实现26.9695亿元，增速6.0%，低于全市（7.5%）1.5个百分点，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位居全市第十二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。1-2月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全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县商业增值税完成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5363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万元，同比增长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-61.0%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，位居全市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第五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低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于全市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（-55.4%）5.6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个百分点。</w:t>
      </w:r>
    </w:p>
    <w:p w14:paraId="31A68C03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ascii="仿宋_GB2312" w:hAnsi="仿宋_GB2312" w:eastAsia="仿宋_GB2312" w:cs="仿宋_GB2312"/>
          <w:b w:val="0"/>
          <w:bCs w:val="0"/>
          <w:color w:val="auto"/>
          <w:sz w:val="31"/>
          <w:szCs w:val="31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（五）财政一般公共预算收入增速</w:t>
      </w:r>
      <w:r>
        <w:rPr>
          <w:rFonts w:hint="eastAsia" w:ascii="楷体_GB2312" w:hAnsi="楷体_GB2312" w:eastAsia="楷体_GB2312" w:cs="楷体_GB2312"/>
          <w:b/>
          <w:bCs/>
          <w:color w:val="auto"/>
          <w:kern w:val="0"/>
          <w:sz w:val="31"/>
          <w:szCs w:val="31"/>
          <w:lang w:val="en-US" w:eastAsia="zh-CN" w:bidi="ar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1-2月，全县累计完成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4.2亿元，同比增长7.68%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，完成全年任务的29.55%（全年任务14.24亿元）。其中</w:t>
      </w:r>
      <w:r>
        <w:rPr>
          <w:rFonts w:ascii="仿宋_GB2312" w:hAnsi="仿宋_GB2312" w:eastAsia="仿宋_GB2312" w:cs="仿宋_GB2312"/>
          <w:b w:val="0"/>
          <w:bCs w:val="0"/>
          <w:color w:val="auto"/>
          <w:sz w:val="31"/>
          <w:szCs w:val="31"/>
        </w:rPr>
        <w:t>：</w:t>
      </w:r>
      <w:r>
        <w:rPr>
          <w:rFonts w:ascii="仿宋_GB2312" w:hAnsi="仿宋_GB2312" w:eastAsia="仿宋_GB2312" w:cs="仿宋_GB2312"/>
          <w:b/>
          <w:bCs/>
          <w:color w:val="auto"/>
          <w:sz w:val="31"/>
          <w:szCs w:val="31"/>
        </w:rPr>
        <w:t>税收收入方面，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累计完成2.3亿元，同比增长5.13%，税占比54.8%</w:t>
      </w:r>
      <w:r>
        <w:rPr>
          <w:rFonts w:ascii="仿宋_GB2312" w:hAnsi="仿宋_GB2312" w:eastAsia="仿宋_GB2312" w:cs="仿宋_GB2312"/>
          <w:b w:val="0"/>
          <w:bCs w:val="0"/>
          <w:color w:val="auto"/>
          <w:sz w:val="31"/>
          <w:szCs w:val="31"/>
        </w:rPr>
        <w:t>。</w:t>
      </w:r>
      <w:r>
        <w:rPr>
          <w:rFonts w:ascii="仿宋_GB2312" w:hAnsi="仿宋_GB2312" w:eastAsia="仿宋_GB2312" w:cs="仿宋_GB2312"/>
          <w:b/>
          <w:bCs/>
          <w:color w:val="auto"/>
          <w:sz w:val="31"/>
          <w:szCs w:val="31"/>
        </w:rPr>
        <w:t>非税收入方面，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累计完成1.9亿元，同比增长10.94%。</w:t>
      </w:r>
    </w:p>
    <w:p w14:paraId="329ADC3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jc w:val="left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（六）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建筑业总产值（季度报表）</w:t>
      </w:r>
    </w:p>
    <w:p w14:paraId="60D546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jc w:val="left"/>
        <w:textAlignment w:val="auto"/>
        <w:rPr>
          <w:rFonts w:hint="default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（七）商品房销售面积。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1-2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，全县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完成销售面积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3.02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万平方米，同比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增速0.7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%。</w:t>
      </w:r>
    </w:p>
    <w:p w14:paraId="3189FB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（八）其他营利性服务业营业收入增速。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1-2月，全县其他营利性服务业营业收入增速31.45%。互联网和软件业营业收入增长27.3%。位次暂无。</w:t>
      </w:r>
    </w:p>
    <w:p w14:paraId="24147F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（九）邮政业务总量。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1-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月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邮政业务总量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增长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64.27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%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位居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全市第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一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。</w:t>
      </w:r>
    </w:p>
    <w:p w14:paraId="4F1C43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（十）公路客货运周转量。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1-2月份客货运综合周转量1.7万吨公里，增幅17.06%，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位居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全市第五。</w:t>
      </w:r>
      <w:bookmarkStart w:id="1" w:name="_GoBack"/>
      <w:bookmarkEnd w:id="1"/>
    </w:p>
    <w:p w14:paraId="43C4F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</w:t>
      </w:r>
      <w:bookmarkStart w:id="0" w:name="_Toc1960098280"/>
      <w:r>
        <w:rPr>
          <w:rFonts w:hint="eastAsia" w:ascii="Times New Roman" w:hAnsi="Times New Roman" w:eastAsia="黑体" w:cs="黑体"/>
          <w:bCs/>
          <w:color w:val="auto"/>
          <w:kern w:val="2"/>
          <w:sz w:val="32"/>
          <w:szCs w:val="32"/>
          <w:lang w:val="en-US" w:eastAsia="zh-CN" w:bidi="ar-SA"/>
        </w:rPr>
        <w:t>入库纳统情况</w:t>
      </w:r>
      <w:bookmarkEnd w:id="0"/>
    </w:p>
    <w:p w14:paraId="69C510F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（一）“四上”企业入库情况</w:t>
      </w:r>
    </w:p>
    <w:p w14:paraId="2623AA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2025年1-3月，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1"/>
          <w:szCs w:val="31"/>
        </w:rPr>
        <w:t>全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新增入库“四上”企业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44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分专业看，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工业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13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家、贸易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17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家、服务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9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 xml:space="preserve">家、建筑业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4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房地产1家。</w:t>
      </w:r>
    </w:p>
    <w:p w14:paraId="27F2A8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（二）投资项目纳统情况</w:t>
      </w:r>
    </w:p>
    <w:p w14:paraId="2F6C19DC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2025年1-2月全县34个省市重点项目，已入投资项目库30个，入库率88.2%。</w:t>
      </w:r>
    </w:p>
    <w:p w14:paraId="2381E265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2025年1-2月全县4个第十五期“签约一批”项目，截止目前项目入库三个，入库率75%。8个第十五期开工一批项目，截止目前已全部入库。全县10个第十五期“开工一批”项目，已入投资项目库10个，入库率100%。</w:t>
      </w:r>
    </w:p>
    <w:p w14:paraId="3CF94092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both"/>
        <w:rPr>
          <w:rFonts w:hint="eastAsia" w:ascii="方正仿宋_GB2312" w:hAnsi="方正仿宋_GB2312" w:eastAsia="方正仿宋_GB2312" w:cs="方正仿宋_GB2312"/>
          <w:color w:val="auto"/>
          <w:spacing w:val="0"/>
          <w:w w:val="100"/>
          <w:sz w:val="31"/>
          <w:szCs w:val="31"/>
          <w:lang w:val="en-US" w:eastAsia="zh-CN"/>
        </w:rPr>
        <w:sectPr>
          <w:footerReference r:id="rId3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199F950F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月度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全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主要经济指标</w:t>
      </w:r>
    </w:p>
    <w:tbl>
      <w:tblPr>
        <w:tblStyle w:val="9"/>
        <w:tblpPr w:leftFromText="180" w:rightFromText="180" w:vertAnchor="text" w:horzAnchor="page" w:tblpX="1057" w:tblpY="487"/>
        <w:tblOverlap w:val="never"/>
        <w:tblW w:w="102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1"/>
        <w:gridCol w:w="1674"/>
        <w:gridCol w:w="950"/>
        <w:gridCol w:w="1600"/>
        <w:gridCol w:w="1310"/>
        <w:gridCol w:w="1524"/>
        <w:gridCol w:w="1949"/>
      </w:tblGrid>
      <w:tr w14:paraId="2B096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restart"/>
            <w:vAlign w:val="center"/>
          </w:tcPr>
          <w:p w14:paraId="1F73C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财政局</w:t>
            </w:r>
          </w:p>
        </w:tc>
        <w:tc>
          <w:tcPr>
            <w:tcW w:w="2624" w:type="dxa"/>
            <w:gridSpan w:val="2"/>
            <w:vAlign w:val="center"/>
          </w:tcPr>
          <w:p w14:paraId="7344C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一般公共预算收入增速</w:t>
            </w:r>
          </w:p>
        </w:tc>
        <w:tc>
          <w:tcPr>
            <w:tcW w:w="2910" w:type="dxa"/>
            <w:gridSpan w:val="2"/>
            <w:vAlign w:val="center"/>
          </w:tcPr>
          <w:p w14:paraId="6AD6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一般公共预算支出增速</w:t>
            </w:r>
          </w:p>
        </w:tc>
        <w:tc>
          <w:tcPr>
            <w:tcW w:w="3473" w:type="dxa"/>
            <w:gridSpan w:val="2"/>
            <w:vAlign w:val="center"/>
          </w:tcPr>
          <w:p w14:paraId="53E562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45DFE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continue"/>
            <w:vAlign w:val="center"/>
          </w:tcPr>
          <w:p w14:paraId="77348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657C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950" w:type="dxa"/>
            <w:vAlign w:val="center"/>
          </w:tcPr>
          <w:p w14:paraId="62012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00C3A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1310" w:type="dxa"/>
            <w:vAlign w:val="center"/>
          </w:tcPr>
          <w:p w14:paraId="57433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1B31C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</w:p>
        </w:tc>
      </w:tr>
      <w:tr w14:paraId="64B8D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1261" w:type="dxa"/>
            <w:vMerge w:val="continue"/>
            <w:vAlign w:val="center"/>
          </w:tcPr>
          <w:p w14:paraId="5C9EAF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F999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7.68</w:t>
            </w:r>
          </w:p>
        </w:tc>
        <w:tc>
          <w:tcPr>
            <w:tcW w:w="950" w:type="dxa"/>
            <w:vAlign w:val="center"/>
          </w:tcPr>
          <w:p w14:paraId="4DEC74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600" w:type="dxa"/>
            <w:vAlign w:val="center"/>
          </w:tcPr>
          <w:p w14:paraId="1A5226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15.4</w:t>
            </w:r>
          </w:p>
        </w:tc>
        <w:tc>
          <w:tcPr>
            <w:tcW w:w="1310" w:type="dxa"/>
            <w:vAlign w:val="center"/>
          </w:tcPr>
          <w:p w14:paraId="41BBC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3473" w:type="dxa"/>
            <w:gridSpan w:val="2"/>
            <w:vAlign w:val="center"/>
          </w:tcPr>
          <w:p w14:paraId="7D8815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6756F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restart"/>
            <w:vAlign w:val="center"/>
          </w:tcPr>
          <w:p w14:paraId="104E47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税务局</w:t>
            </w:r>
          </w:p>
        </w:tc>
        <w:tc>
          <w:tcPr>
            <w:tcW w:w="2624" w:type="dxa"/>
            <w:gridSpan w:val="2"/>
            <w:vAlign w:val="center"/>
          </w:tcPr>
          <w:p w14:paraId="356107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工业增值税增速</w:t>
            </w:r>
          </w:p>
        </w:tc>
        <w:tc>
          <w:tcPr>
            <w:tcW w:w="2910" w:type="dxa"/>
            <w:gridSpan w:val="2"/>
            <w:vAlign w:val="center"/>
          </w:tcPr>
          <w:p w14:paraId="430937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商业增值税增速</w:t>
            </w:r>
          </w:p>
        </w:tc>
        <w:tc>
          <w:tcPr>
            <w:tcW w:w="3473" w:type="dxa"/>
            <w:gridSpan w:val="2"/>
            <w:vAlign w:val="center"/>
          </w:tcPr>
          <w:p w14:paraId="34FB85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建筑业税收收入</w:t>
            </w:r>
          </w:p>
        </w:tc>
      </w:tr>
      <w:tr w14:paraId="5C898F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continue"/>
            <w:vAlign w:val="center"/>
          </w:tcPr>
          <w:p w14:paraId="43FE81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DD163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950" w:type="dxa"/>
            <w:vAlign w:val="center"/>
          </w:tcPr>
          <w:p w14:paraId="1CB727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6735B2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1310" w:type="dxa"/>
            <w:vAlign w:val="center"/>
          </w:tcPr>
          <w:p w14:paraId="5D564B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648FC4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1-2月（总量）</w:t>
            </w:r>
          </w:p>
        </w:tc>
        <w:tc>
          <w:tcPr>
            <w:tcW w:w="1949" w:type="dxa"/>
            <w:vAlign w:val="center"/>
          </w:tcPr>
          <w:p w14:paraId="393D9A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20020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261" w:type="dxa"/>
            <w:vMerge w:val="continue"/>
            <w:vAlign w:val="center"/>
          </w:tcPr>
          <w:p w14:paraId="2F3C5C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002A76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10.2</w:t>
            </w:r>
          </w:p>
        </w:tc>
        <w:tc>
          <w:tcPr>
            <w:tcW w:w="950" w:type="dxa"/>
            <w:vAlign w:val="center"/>
          </w:tcPr>
          <w:p w14:paraId="77EB6B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600" w:type="dxa"/>
            <w:vAlign w:val="center"/>
          </w:tcPr>
          <w:p w14:paraId="3A18A6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-61.0</w:t>
            </w:r>
          </w:p>
        </w:tc>
        <w:tc>
          <w:tcPr>
            <w:tcW w:w="1310" w:type="dxa"/>
            <w:vAlign w:val="center"/>
          </w:tcPr>
          <w:p w14:paraId="608978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524" w:type="dxa"/>
            <w:vAlign w:val="center"/>
          </w:tcPr>
          <w:p w14:paraId="54A48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2291万</w:t>
            </w:r>
          </w:p>
        </w:tc>
        <w:tc>
          <w:tcPr>
            <w:tcW w:w="1949" w:type="dxa"/>
            <w:vAlign w:val="center"/>
          </w:tcPr>
          <w:p w14:paraId="6FAE39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</w:tr>
      <w:tr w14:paraId="1CB3F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restart"/>
            <w:vAlign w:val="center"/>
          </w:tcPr>
          <w:p w14:paraId="3C21D6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交通局</w:t>
            </w:r>
          </w:p>
        </w:tc>
        <w:tc>
          <w:tcPr>
            <w:tcW w:w="4224" w:type="dxa"/>
            <w:gridSpan w:val="3"/>
            <w:vAlign w:val="center"/>
          </w:tcPr>
          <w:p w14:paraId="7D146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公路客货运周转量增速</w:t>
            </w:r>
          </w:p>
        </w:tc>
        <w:tc>
          <w:tcPr>
            <w:tcW w:w="1310" w:type="dxa"/>
            <w:vMerge w:val="restart"/>
            <w:vAlign w:val="center"/>
          </w:tcPr>
          <w:p w14:paraId="60ACA2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邮政局</w:t>
            </w:r>
          </w:p>
        </w:tc>
        <w:tc>
          <w:tcPr>
            <w:tcW w:w="3473" w:type="dxa"/>
            <w:gridSpan w:val="2"/>
            <w:vAlign w:val="center"/>
          </w:tcPr>
          <w:p w14:paraId="402B9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邮政业务总量增速</w:t>
            </w:r>
          </w:p>
        </w:tc>
      </w:tr>
      <w:tr w14:paraId="23AF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261" w:type="dxa"/>
            <w:vMerge w:val="continue"/>
            <w:vAlign w:val="center"/>
          </w:tcPr>
          <w:p w14:paraId="5C2E3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3D2DB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2550" w:type="dxa"/>
            <w:gridSpan w:val="2"/>
            <w:vAlign w:val="center"/>
          </w:tcPr>
          <w:p w14:paraId="2C507C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310" w:type="dxa"/>
            <w:vMerge w:val="continue"/>
            <w:vAlign w:val="center"/>
          </w:tcPr>
          <w:p w14:paraId="66673D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3E45F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1949" w:type="dxa"/>
            <w:vAlign w:val="center"/>
          </w:tcPr>
          <w:p w14:paraId="50466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43D4B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1261" w:type="dxa"/>
            <w:vMerge w:val="continue"/>
            <w:vAlign w:val="center"/>
          </w:tcPr>
          <w:p w14:paraId="6FA7B2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B330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2550" w:type="dxa"/>
            <w:gridSpan w:val="2"/>
            <w:vAlign w:val="center"/>
          </w:tcPr>
          <w:p w14:paraId="6DC82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310" w:type="dxa"/>
            <w:vMerge w:val="continue"/>
            <w:vAlign w:val="center"/>
          </w:tcPr>
          <w:p w14:paraId="4649D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6040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64.27</w:t>
            </w:r>
          </w:p>
        </w:tc>
        <w:tc>
          <w:tcPr>
            <w:tcW w:w="1949" w:type="dxa"/>
            <w:vAlign w:val="center"/>
          </w:tcPr>
          <w:p w14:paraId="5A1D5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</w:tr>
      <w:tr w14:paraId="13195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261" w:type="dxa"/>
            <w:vMerge w:val="restart"/>
            <w:vAlign w:val="center"/>
          </w:tcPr>
          <w:p w14:paraId="171CA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both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电业局</w:t>
            </w:r>
          </w:p>
        </w:tc>
        <w:tc>
          <w:tcPr>
            <w:tcW w:w="2624" w:type="dxa"/>
            <w:gridSpan w:val="2"/>
            <w:vAlign w:val="center"/>
          </w:tcPr>
          <w:p w14:paraId="4E2B4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全社会用电量增速</w:t>
            </w:r>
          </w:p>
        </w:tc>
        <w:tc>
          <w:tcPr>
            <w:tcW w:w="2910" w:type="dxa"/>
            <w:gridSpan w:val="2"/>
            <w:vAlign w:val="center"/>
          </w:tcPr>
          <w:p w14:paraId="4A863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工业用电量增速</w:t>
            </w:r>
          </w:p>
        </w:tc>
        <w:tc>
          <w:tcPr>
            <w:tcW w:w="3473" w:type="dxa"/>
            <w:gridSpan w:val="2"/>
            <w:vAlign w:val="center"/>
          </w:tcPr>
          <w:p w14:paraId="30961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建筑业用电量（万瓦时）</w:t>
            </w:r>
          </w:p>
        </w:tc>
      </w:tr>
      <w:tr w14:paraId="0F925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61" w:type="dxa"/>
            <w:vMerge w:val="continue"/>
            <w:vAlign w:val="center"/>
          </w:tcPr>
          <w:p w14:paraId="67CF1E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965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950" w:type="dxa"/>
            <w:vAlign w:val="center"/>
          </w:tcPr>
          <w:p w14:paraId="72C12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219F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1310" w:type="dxa"/>
            <w:vAlign w:val="center"/>
          </w:tcPr>
          <w:p w14:paraId="36C3E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24FEC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1949" w:type="dxa"/>
            <w:vAlign w:val="center"/>
          </w:tcPr>
          <w:p w14:paraId="21B06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247BA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261" w:type="dxa"/>
            <w:vMerge w:val="continue"/>
            <w:vAlign w:val="center"/>
          </w:tcPr>
          <w:p w14:paraId="20E297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B8AB3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-4.01</w:t>
            </w:r>
          </w:p>
        </w:tc>
        <w:tc>
          <w:tcPr>
            <w:tcW w:w="950" w:type="dxa"/>
            <w:vAlign w:val="center"/>
          </w:tcPr>
          <w:p w14:paraId="3E6E7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600" w:type="dxa"/>
            <w:vAlign w:val="center"/>
          </w:tcPr>
          <w:p w14:paraId="73948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-11.57</w:t>
            </w:r>
          </w:p>
        </w:tc>
        <w:tc>
          <w:tcPr>
            <w:tcW w:w="1310" w:type="dxa"/>
            <w:vAlign w:val="center"/>
          </w:tcPr>
          <w:p w14:paraId="4A4A1D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524" w:type="dxa"/>
            <w:vAlign w:val="center"/>
          </w:tcPr>
          <w:p w14:paraId="5F82C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388.51</w:t>
            </w:r>
          </w:p>
        </w:tc>
        <w:tc>
          <w:tcPr>
            <w:tcW w:w="1949" w:type="dxa"/>
            <w:vAlign w:val="center"/>
          </w:tcPr>
          <w:p w14:paraId="56D1E6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</w:tr>
      <w:tr w14:paraId="760E4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1261" w:type="dxa"/>
            <w:vMerge w:val="restart"/>
            <w:vAlign w:val="center"/>
          </w:tcPr>
          <w:p w14:paraId="26495B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统计局</w:t>
            </w:r>
          </w:p>
        </w:tc>
        <w:tc>
          <w:tcPr>
            <w:tcW w:w="2624" w:type="dxa"/>
            <w:gridSpan w:val="2"/>
            <w:vAlign w:val="center"/>
          </w:tcPr>
          <w:p w14:paraId="04164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规模以上工业增加值增速（工信局）</w:t>
            </w:r>
          </w:p>
        </w:tc>
        <w:tc>
          <w:tcPr>
            <w:tcW w:w="2910" w:type="dxa"/>
            <w:gridSpan w:val="2"/>
            <w:vAlign w:val="center"/>
          </w:tcPr>
          <w:p w14:paraId="2DD2F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固定资产投资</w:t>
            </w:r>
          </w:p>
          <w:p w14:paraId="4977D5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3473" w:type="dxa"/>
            <w:gridSpan w:val="2"/>
            <w:vAlign w:val="center"/>
          </w:tcPr>
          <w:p w14:paraId="071AE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地区生产总值</w:t>
            </w:r>
          </w:p>
        </w:tc>
      </w:tr>
      <w:tr w14:paraId="0284C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1261" w:type="dxa"/>
            <w:vMerge w:val="continue"/>
            <w:vAlign w:val="center"/>
          </w:tcPr>
          <w:p w14:paraId="3684A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A92A1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950" w:type="dxa"/>
            <w:vAlign w:val="center"/>
          </w:tcPr>
          <w:p w14:paraId="4EE7A7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F89E0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1310" w:type="dxa"/>
            <w:vAlign w:val="center"/>
          </w:tcPr>
          <w:p w14:paraId="3D1F99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18ED96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1949" w:type="dxa"/>
            <w:vAlign w:val="center"/>
          </w:tcPr>
          <w:p w14:paraId="35E2F9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0279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261" w:type="dxa"/>
            <w:vMerge w:val="continue"/>
            <w:vAlign w:val="center"/>
          </w:tcPr>
          <w:p w14:paraId="4B9DDB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1040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13.9</w:t>
            </w:r>
          </w:p>
        </w:tc>
        <w:tc>
          <w:tcPr>
            <w:tcW w:w="950" w:type="dxa"/>
            <w:vAlign w:val="center"/>
          </w:tcPr>
          <w:p w14:paraId="24C4F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600" w:type="dxa"/>
            <w:vAlign w:val="center"/>
          </w:tcPr>
          <w:p w14:paraId="05C6AE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7.8</w:t>
            </w:r>
          </w:p>
        </w:tc>
        <w:tc>
          <w:tcPr>
            <w:tcW w:w="1310" w:type="dxa"/>
            <w:vAlign w:val="center"/>
          </w:tcPr>
          <w:p w14:paraId="7F0B5E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524" w:type="dxa"/>
            <w:vAlign w:val="center"/>
          </w:tcPr>
          <w:p w14:paraId="1122E0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949" w:type="dxa"/>
            <w:vAlign w:val="center"/>
          </w:tcPr>
          <w:p w14:paraId="7D2E62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-</w:t>
            </w:r>
          </w:p>
        </w:tc>
      </w:tr>
      <w:tr w14:paraId="25287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261" w:type="dxa"/>
            <w:vMerge w:val="continue"/>
            <w:vAlign w:val="center"/>
          </w:tcPr>
          <w:p w14:paraId="564CBB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437C5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社消零总额增速</w:t>
            </w:r>
          </w:p>
          <w:p w14:paraId="2F4533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（商务局）</w:t>
            </w:r>
          </w:p>
        </w:tc>
        <w:tc>
          <w:tcPr>
            <w:tcW w:w="2910" w:type="dxa"/>
            <w:gridSpan w:val="2"/>
            <w:vAlign w:val="center"/>
          </w:tcPr>
          <w:p w14:paraId="335E6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规模以下工业增加值增速（工信局）</w:t>
            </w:r>
          </w:p>
        </w:tc>
        <w:tc>
          <w:tcPr>
            <w:tcW w:w="3473" w:type="dxa"/>
            <w:gridSpan w:val="2"/>
            <w:vAlign w:val="center"/>
          </w:tcPr>
          <w:p w14:paraId="0C8BB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建筑业总产值增速</w:t>
            </w:r>
          </w:p>
          <w:p w14:paraId="583D2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（住建局）</w:t>
            </w:r>
          </w:p>
        </w:tc>
      </w:tr>
      <w:tr w14:paraId="60DEC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261" w:type="dxa"/>
            <w:vMerge w:val="continue"/>
            <w:vAlign w:val="center"/>
          </w:tcPr>
          <w:p w14:paraId="1598B6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F960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950" w:type="dxa"/>
            <w:vAlign w:val="center"/>
          </w:tcPr>
          <w:p w14:paraId="67615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132DC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1310" w:type="dxa"/>
            <w:vAlign w:val="center"/>
          </w:tcPr>
          <w:p w14:paraId="089D9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76E601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1949" w:type="dxa"/>
            <w:vAlign w:val="center"/>
          </w:tcPr>
          <w:p w14:paraId="3C6F5D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5E8B7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261" w:type="dxa"/>
            <w:vMerge w:val="continue"/>
            <w:vAlign w:val="center"/>
          </w:tcPr>
          <w:p w14:paraId="16AB9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01A76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6.0</w:t>
            </w:r>
          </w:p>
        </w:tc>
        <w:tc>
          <w:tcPr>
            <w:tcW w:w="950" w:type="dxa"/>
            <w:vAlign w:val="center"/>
          </w:tcPr>
          <w:p w14:paraId="0CAFE2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12</w:t>
            </w:r>
          </w:p>
        </w:tc>
        <w:tc>
          <w:tcPr>
            <w:tcW w:w="1600" w:type="dxa"/>
            <w:vAlign w:val="center"/>
          </w:tcPr>
          <w:p w14:paraId="189C8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310" w:type="dxa"/>
            <w:vAlign w:val="center"/>
          </w:tcPr>
          <w:p w14:paraId="4699D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524" w:type="dxa"/>
            <w:vAlign w:val="center"/>
          </w:tcPr>
          <w:p w14:paraId="5B7F2B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949" w:type="dxa"/>
            <w:vAlign w:val="center"/>
          </w:tcPr>
          <w:p w14:paraId="687CED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-</w:t>
            </w:r>
          </w:p>
        </w:tc>
      </w:tr>
      <w:tr w14:paraId="369F7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261" w:type="dxa"/>
            <w:vMerge w:val="continue"/>
            <w:vAlign w:val="center"/>
          </w:tcPr>
          <w:p w14:paraId="6725A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5186A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建安工程投资增速</w:t>
            </w:r>
          </w:p>
          <w:p w14:paraId="5EBDD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2910" w:type="dxa"/>
            <w:gridSpan w:val="2"/>
            <w:vAlign w:val="center"/>
          </w:tcPr>
          <w:p w14:paraId="4644A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其他运输业</w:t>
            </w:r>
          </w:p>
          <w:p w14:paraId="2DE1B8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营收增速</w:t>
            </w:r>
          </w:p>
        </w:tc>
        <w:tc>
          <w:tcPr>
            <w:tcW w:w="3473" w:type="dxa"/>
            <w:gridSpan w:val="2"/>
            <w:vAlign w:val="center"/>
          </w:tcPr>
          <w:p w14:paraId="0BDD3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新建商品房销售面积</w:t>
            </w:r>
          </w:p>
          <w:p w14:paraId="3E158D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增速（住建局）</w:t>
            </w:r>
          </w:p>
        </w:tc>
      </w:tr>
      <w:tr w14:paraId="39C43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61" w:type="dxa"/>
            <w:vMerge w:val="continue"/>
            <w:vAlign w:val="center"/>
          </w:tcPr>
          <w:p w14:paraId="202044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3AFA4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950" w:type="dxa"/>
            <w:vAlign w:val="center"/>
          </w:tcPr>
          <w:p w14:paraId="0B2FC7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0ED65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1310" w:type="dxa"/>
            <w:vAlign w:val="center"/>
          </w:tcPr>
          <w:p w14:paraId="32D045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054804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1-2月</w:t>
            </w:r>
          </w:p>
        </w:tc>
        <w:tc>
          <w:tcPr>
            <w:tcW w:w="1949" w:type="dxa"/>
            <w:vAlign w:val="center"/>
          </w:tcPr>
          <w:p w14:paraId="00E764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39757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61" w:type="dxa"/>
            <w:vMerge w:val="continue"/>
            <w:vAlign w:val="center"/>
          </w:tcPr>
          <w:p w14:paraId="7B299B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DD1C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950" w:type="dxa"/>
            <w:vAlign w:val="center"/>
          </w:tcPr>
          <w:p w14:paraId="6F81F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600" w:type="dxa"/>
            <w:vAlign w:val="center"/>
          </w:tcPr>
          <w:p w14:paraId="2DA340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13.7</w:t>
            </w:r>
          </w:p>
        </w:tc>
        <w:tc>
          <w:tcPr>
            <w:tcW w:w="1310" w:type="dxa"/>
            <w:vAlign w:val="center"/>
          </w:tcPr>
          <w:p w14:paraId="549409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524" w:type="dxa"/>
            <w:vAlign w:val="center"/>
          </w:tcPr>
          <w:p w14:paraId="38E99F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0.7</w:t>
            </w:r>
          </w:p>
        </w:tc>
        <w:tc>
          <w:tcPr>
            <w:tcW w:w="1949" w:type="dxa"/>
            <w:vAlign w:val="center"/>
          </w:tcPr>
          <w:p w14:paraId="7195B7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</w:tr>
      <w:tr w14:paraId="280B8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261" w:type="dxa"/>
            <w:vMerge w:val="continue"/>
            <w:vAlign w:val="center"/>
          </w:tcPr>
          <w:p w14:paraId="33C4B3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7E7D47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互联网软件信息服务业营收增速（发改委）</w:t>
            </w:r>
          </w:p>
        </w:tc>
        <w:tc>
          <w:tcPr>
            <w:tcW w:w="2910" w:type="dxa"/>
            <w:gridSpan w:val="2"/>
            <w:vAlign w:val="center"/>
          </w:tcPr>
          <w:p w14:paraId="4433DA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其他营利性服务业营业收入增速（发改委）</w:t>
            </w:r>
          </w:p>
        </w:tc>
        <w:tc>
          <w:tcPr>
            <w:tcW w:w="3473" w:type="dxa"/>
            <w:gridSpan w:val="2"/>
            <w:vAlign w:val="center"/>
          </w:tcPr>
          <w:p w14:paraId="25198E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6A7BF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261" w:type="dxa"/>
            <w:vMerge w:val="continue"/>
            <w:vAlign w:val="center"/>
          </w:tcPr>
          <w:p w14:paraId="5A4BC7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55B37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1-2月</w:t>
            </w:r>
          </w:p>
        </w:tc>
        <w:tc>
          <w:tcPr>
            <w:tcW w:w="950" w:type="dxa"/>
            <w:vAlign w:val="center"/>
          </w:tcPr>
          <w:p w14:paraId="314CFB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113DB6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1-2月</w:t>
            </w:r>
          </w:p>
        </w:tc>
        <w:tc>
          <w:tcPr>
            <w:tcW w:w="1310" w:type="dxa"/>
            <w:vAlign w:val="center"/>
          </w:tcPr>
          <w:p w14:paraId="60FF7B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D64BE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6C81B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1261" w:type="dxa"/>
            <w:vMerge w:val="continue"/>
            <w:vAlign w:val="center"/>
          </w:tcPr>
          <w:p w14:paraId="137F54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AE31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27.3</w:t>
            </w:r>
          </w:p>
        </w:tc>
        <w:tc>
          <w:tcPr>
            <w:tcW w:w="950" w:type="dxa"/>
            <w:vAlign w:val="center"/>
          </w:tcPr>
          <w:p w14:paraId="41BFF9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600" w:type="dxa"/>
            <w:vAlign w:val="center"/>
          </w:tcPr>
          <w:p w14:paraId="1FD687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31.45</w:t>
            </w:r>
          </w:p>
        </w:tc>
        <w:tc>
          <w:tcPr>
            <w:tcW w:w="1310" w:type="dxa"/>
            <w:vAlign w:val="center"/>
          </w:tcPr>
          <w:p w14:paraId="2BBFCD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未反馈</w:t>
            </w:r>
          </w:p>
        </w:tc>
        <w:tc>
          <w:tcPr>
            <w:tcW w:w="3473" w:type="dxa"/>
            <w:gridSpan w:val="2"/>
            <w:vAlign w:val="center"/>
          </w:tcPr>
          <w:p w14:paraId="1A57B3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</w:tbl>
    <w:p w14:paraId="3082E3FC">
      <w:pPr>
        <w:pStyle w:val="3"/>
        <w:bidi w:val="0"/>
        <w:sectPr>
          <w:footerReference r:id="rId4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40357AE1">
      <w:pPr>
        <w:rPr>
          <w:color w:val="0000FF"/>
        </w:rPr>
      </w:pPr>
    </w:p>
    <w:sectPr>
      <w:footerReference r:id="rId5" w:type="default"/>
      <w:pgSz w:w="11906" w:h="16838"/>
      <w:pgMar w:top="1134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F370ED8-B546-4B55-89B6-2B4410F3021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AB5ECC0A-DD53-437D-884D-05926133991E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6B089B6C-6E95-44D3-85AB-C7BFEE6F9090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9ED1CB4B-68E4-4002-A51E-D0670C2AB16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6916AC88-F2A1-4FAF-B38E-BD28C49EE747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2EE68ADC-3165-4F9A-88A9-CEC84E717EC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E4639D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200244">
                          <w:pPr>
                            <w:pStyle w:val="5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200244">
                    <w:pPr>
                      <w:pStyle w:val="5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3FDE04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6492C9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2B5C1C38"/>
    <w:rsid w:val="000B6D5A"/>
    <w:rsid w:val="00B150C6"/>
    <w:rsid w:val="016A5229"/>
    <w:rsid w:val="01AD6E83"/>
    <w:rsid w:val="01FA24EA"/>
    <w:rsid w:val="020379CE"/>
    <w:rsid w:val="0213766F"/>
    <w:rsid w:val="02922C89"/>
    <w:rsid w:val="02EA41B2"/>
    <w:rsid w:val="04863C1B"/>
    <w:rsid w:val="048B25ED"/>
    <w:rsid w:val="065B3B61"/>
    <w:rsid w:val="07603356"/>
    <w:rsid w:val="07794418"/>
    <w:rsid w:val="07797E87"/>
    <w:rsid w:val="078737E4"/>
    <w:rsid w:val="07CC7DDD"/>
    <w:rsid w:val="07D33702"/>
    <w:rsid w:val="080C528C"/>
    <w:rsid w:val="085421BF"/>
    <w:rsid w:val="09803589"/>
    <w:rsid w:val="09F558AC"/>
    <w:rsid w:val="0A2A6843"/>
    <w:rsid w:val="0A3B1E0F"/>
    <w:rsid w:val="0A79028B"/>
    <w:rsid w:val="0A825391"/>
    <w:rsid w:val="0B84338B"/>
    <w:rsid w:val="0BBF2615"/>
    <w:rsid w:val="0CA37841"/>
    <w:rsid w:val="0CD619C5"/>
    <w:rsid w:val="0CE95B9C"/>
    <w:rsid w:val="0D4E54D5"/>
    <w:rsid w:val="0D660F9A"/>
    <w:rsid w:val="0DA815B3"/>
    <w:rsid w:val="0DED5218"/>
    <w:rsid w:val="0E96765D"/>
    <w:rsid w:val="0EF12AE6"/>
    <w:rsid w:val="0F19203C"/>
    <w:rsid w:val="0F3026C4"/>
    <w:rsid w:val="0F84360C"/>
    <w:rsid w:val="0FEA40CE"/>
    <w:rsid w:val="10DA645D"/>
    <w:rsid w:val="118D70CB"/>
    <w:rsid w:val="120E7E53"/>
    <w:rsid w:val="12BA3179"/>
    <w:rsid w:val="133E6515"/>
    <w:rsid w:val="134A310C"/>
    <w:rsid w:val="1351449B"/>
    <w:rsid w:val="1457163D"/>
    <w:rsid w:val="14611454"/>
    <w:rsid w:val="149A5040"/>
    <w:rsid w:val="15221E3A"/>
    <w:rsid w:val="15581B10"/>
    <w:rsid w:val="156C55BC"/>
    <w:rsid w:val="1573694A"/>
    <w:rsid w:val="15CA4DE4"/>
    <w:rsid w:val="15F335E7"/>
    <w:rsid w:val="15FE030B"/>
    <w:rsid w:val="160475A2"/>
    <w:rsid w:val="178A1D29"/>
    <w:rsid w:val="182C2DE0"/>
    <w:rsid w:val="18A84B5D"/>
    <w:rsid w:val="18B06FD7"/>
    <w:rsid w:val="18C43019"/>
    <w:rsid w:val="1951074E"/>
    <w:rsid w:val="19CA28B1"/>
    <w:rsid w:val="1A0A7151"/>
    <w:rsid w:val="1A4C776A"/>
    <w:rsid w:val="1A710F7F"/>
    <w:rsid w:val="1A8D50BE"/>
    <w:rsid w:val="1B296F56"/>
    <w:rsid w:val="1C041A09"/>
    <w:rsid w:val="1C142509"/>
    <w:rsid w:val="1CB6711D"/>
    <w:rsid w:val="1CEC6777"/>
    <w:rsid w:val="1D310127"/>
    <w:rsid w:val="1E0933F1"/>
    <w:rsid w:val="1E3D5D47"/>
    <w:rsid w:val="1E7E7C75"/>
    <w:rsid w:val="1EF94A0C"/>
    <w:rsid w:val="20F14BC7"/>
    <w:rsid w:val="21C20E86"/>
    <w:rsid w:val="2322550C"/>
    <w:rsid w:val="23BF2B98"/>
    <w:rsid w:val="23F0560A"/>
    <w:rsid w:val="242464CC"/>
    <w:rsid w:val="242537B9"/>
    <w:rsid w:val="244A2F6C"/>
    <w:rsid w:val="25F75CDF"/>
    <w:rsid w:val="262A6E79"/>
    <w:rsid w:val="273D2914"/>
    <w:rsid w:val="282A314C"/>
    <w:rsid w:val="285144E4"/>
    <w:rsid w:val="28E13773"/>
    <w:rsid w:val="28EB5676"/>
    <w:rsid w:val="297F3B23"/>
    <w:rsid w:val="29C55347"/>
    <w:rsid w:val="2A0D2590"/>
    <w:rsid w:val="2AB54598"/>
    <w:rsid w:val="2B5C1C38"/>
    <w:rsid w:val="2CA9155E"/>
    <w:rsid w:val="2EAD1531"/>
    <w:rsid w:val="2EF91817"/>
    <w:rsid w:val="30E738F1"/>
    <w:rsid w:val="311B6281"/>
    <w:rsid w:val="31490108"/>
    <w:rsid w:val="315419A0"/>
    <w:rsid w:val="317038E6"/>
    <w:rsid w:val="32C03301"/>
    <w:rsid w:val="32D06779"/>
    <w:rsid w:val="3344502A"/>
    <w:rsid w:val="33445D70"/>
    <w:rsid w:val="33F40CA7"/>
    <w:rsid w:val="346371B6"/>
    <w:rsid w:val="350C7C26"/>
    <w:rsid w:val="363860C1"/>
    <w:rsid w:val="369A451D"/>
    <w:rsid w:val="388F02BB"/>
    <w:rsid w:val="38D27F89"/>
    <w:rsid w:val="392B2900"/>
    <w:rsid w:val="39D53485"/>
    <w:rsid w:val="3A213355"/>
    <w:rsid w:val="3A255AA1"/>
    <w:rsid w:val="3AD82C28"/>
    <w:rsid w:val="3AF17846"/>
    <w:rsid w:val="3AFE1BEF"/>
    <w:rsid w:val="3B021A53"/>
    <w:rsid w:val="3BE26AE1"/>
    <w:rsid w:val="3BF8559B"/>
    <w:rsid w:val="3C2123AD"/>
    <w:rsid w:val="3C4E6795"/>
    <w:rsid w:val="3C636521"/>
    <w:rsid w:val="3D775644"/>
    <w:rsid w:val="3E952BDE"/>
    <w:rsid w:val="40784565"/>
    <w:rsid w:val="41C01CC2"/>
    <w:rsid w:val="42612A7A"/>
    <w:rsid w:val="42C13FA2"/>
    <w:rsid w:val="42DC4A8D"/>
    <w:rsid w:val="43025564"/>
    <w:rsid w:val="44DF4BB3"/>
    <w:rsid w:val="44E4666D"/>
    <w:rsid w:val="45433394"/>
    <w:rsid w:val="45A656D1"/>
    <w:rsid w:val="46731A57"/>
    <w:rsid w:val="46DB0986"/>
    <w:rsid w:val="46F1348B"/>
    <w:rsid w:val="46FC1A4C"/>
    <w:rsid w:val="471D2703"/>
    <w:rsid w:val="48894BB5"/>
    <w:rsid w:val="48944DBC"/>
    <w:rsid w:val="48E11A0D"/>
    <w:rsid w:val="494D47E1"/>
    <w:rsid w:val="49E05655"/>
    <w:rsid w:val="49FE3D2D"/>
    <w:rsid w:val="4A82656C"/>
    <w:rsid w:val="4AC551B7"/>
    <w:rsid w:val="4B8D2674"/>
    <w:rsid w:val="4BEB4ADC"/>
    <w:rsid w:val="4D1D3062"/>
    <w:rsid w:val="4E28459B"/>
    <w:rsid w:val="4EB8427F"/>
    <w:rsid w:val="4EFD45B3"/>
    <w:rsid w:val="4FB31116"/>
    <w:rsid w:val="4FF764F0"/>
    <w:rsid w:val="503C55AF"/>
    <w:rsid w:val="5077187E"/>
    <w:rsid w:val="512D0F30"/>
    <w:rsid w:val="530E39A3"/>
    <w:rsid w:val="544D723E"/>
    <w:rsid w:val="54640C31"/>
    <w:rsid w:val="552D3719"/>
    <w:rsid w:val="55546EF7"/>
    <w:rsid w:val="559D264C"/>
    <w:rsid w:val="55DD513F"/>
    <w:rsid w:val="569A4DDE"/>
    <w:rsid w:val="56CD51B3"/>
    <w:rsid w:val="57323268"/>
    <w:rsid w:val="57430FD1"/>
    <w:rsid w:val="575757B0"/>
    <w:rsid w:val="5890597E"/>
    <w:rsid w:val="58E3165F"/>
    <w:rsid w:val="58F92290"/>
    <w:rsid w:val="5AD97498"/>
    <w:rsid w:val="5AE40D1D"/>
    <w:rsid w:val="5B431A41"/>
    <w:rsid w:val="5B6C658C"/>
    <w:rsid w:val="5C3E620B"/>
    <w:rsid w:val="5C967DF5"/>
    <w:rsid w:val="5D1B550A"/>
    <w:rsid w:val="5D235B2D"/>
    <w:rsid w:val="5D5553E7"/>
    <w:rsid w:val="5E636240"/>
    <w:rsid w:val="5EA424AB"/>
    <w:rsid w:val="5EAC56AE"/>
    <w:rsid w:val="5FAE3F0B"/>
    <w:rsid w:val="5FEC48FC"/>
    <w:rsid w:val="5FF429E6"/>
    <w:rsid w:val="602A71D2"/>
    <w:rsid w:val="603C4F45"/>
    <w:rsid w:val="604C29C3"/>
    <w:rsid w:val="61357BDD"/>
    <w:rsid w:val="615A37FC"/>
    <w:rsid w:val="61954924"/>
    <w:rsid w:val="61E0223F"/>
    <w:rsid w:val="61F62C4B"/>
    <w:rsid w:val="623C143F"/>
    <w:rsid w:val="627806C9"/>
    <w:rsid w:val="62C76F5B"/>
    <w:rsid w:val="63B514A9"/>
    <w:rsid w:val="644115AE"/>
    <w:rsid w:val="647933E3"/>
    <w:rsid w:val="64DC0A3A"/>
    <w:rsid w:val="65896632"/>
    <w:rsid w:val="65DC4ACB"/>
    <w:rsid w:val="66E23B23"/>
    <w:rsid w:val="672C7CD4"/>
    <w:rsid w:val="68190258"/>
    <w:rsid w:val="681A5D7E"/>
    <w:rsid w:val="68E5013A"/>
    <w:rsid w:val="693B1F92"/>
    <w:rsid w:val="69CB37D4"/>
    <w:rsid w:val="69CE0BCF"/>
    <w:rsid w:val="6A254C33"/>
    <w:rsid w:val="6A2A7182"/>
    <w:rsid w:val="6B293E71"/>
    <w:rsid w:val="6B9F7803"/>
    <w:rsid w:val="6BC70CEF"/>
    <w:rsid w:val="6D04610E"/>
    <w:rsid w:val="6F0B4673"/>
    <w:rsid w:val="700026E9"/>
    <w:rsid w:val="72185137"/>
    <w:rsid w:val="723B2C85"/>
    <w:rsid w:val="72442376"/>
    <w:rsid w:val="726F6CC7"/>
    <w:rsid w:val="73374C56"/>
    <w:rsid w:val="73A155A6"/>
    <w:rsid w:val="73C53042"/>
    <w:rsid w:val="74E2752E"/>
    <w:rsid w:val="76292989"/>
    <w:rsid w:val="76C03F95"/>
    <w:rsid w:val="76C53359"/>
    <w:rsid w:val="77AE5890"/>
    <w:rsid w:val="77D4763B"/>
    <w:rsid w:val="786F7A21"/>
    <w:rsid w:val="78CE1DD7"/>
    <w:rsid w:val="79960FDD"/>
    <w:rsid w:val="79E2650F"/>
    <w:rsid w:val="79F04194"/>
    <w:rsid w:val="7AC12F0E"/>
    <w:rsid w:val="7AFD7566"/>
    <w:rsid w:val="7D954702"/>
    <w:rsid w:val="7DE762AB"/>
    <w:rsid w:val="7E521976"/>
    <w:rsid w:val="7E8B2623"/>
    <w:rsid w:val="7E971A7F"/>
    <w:rsid w:val="7F4E25C4"/>
    <w:rsid w:val="7F822EBC"/>
    <w:rsid w:val="7FC47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paragraph" w:styleId="3">
    <w:name w:val="heading 3"/>
    <w:basedOn w:val="1"/>
    <w:next w:val="1"/>
    <w:autoRedefine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"/>
    <w:basedOn w:val="4"/>
    <w:next w:val="1"/>
    <w:autoRedefine/>
    <w:qFormat/>
    <w:uiPriority w:val="0"/>
    <w:pPr>
      <w:spacing w:after="0" w:line="600" w:lineRule="exact"/>
      <w:ind w:firstLine="420"/>
    </w:pPr>
    <w:rPr>
      <w:rFonts w:ascii="Times New Roman" w:hAnsi="Times New Roman"/>
      <w:bCs/>
      <w:sz w:val="30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正文文本首行缩进1"/>
    <w:basedOn w:val="4"/>
    <w:autoRedefine/>
    <w:qFormat/>
    <w:uiPriority w:val="0"/>
    <w:pPr>
      <w:spacing w:line="600" w:lineRule="exact"/>
      <w:ind w:firstLine="420"/>
    </w:pPr>
    <w:rPr>
      <w:bCs/>
      <w:sz w:val="3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1232</Words>
  <Characters>1510</Characters>
  <Lines>0</Lines>
  <Paragraphs>0</Paragraphs>
  <TotalTime>1</TotalTime>
  <ScaleCrop>false</ScaleCrop>
  <LinksUpToDate>false</LinksUpToDate>
  <CharactersWithSpaces>1512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2024-06-12T06:47:00Z</dcterms:created>
  <dc:creator>玉洁</dc:creator>
  <cp:lastModifiedBy>WPS_1219258675</cp:lastModifiedBy>
  <cp:lastPrinted>2024-10-23T00:58:00Z</cp:lastPrinted>
  <dcterms:modified xsi:type="dcterms:W3CDTF">2025-05-26T02:36:19Z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EEAD5F58B8104AE78D6D59FE2A3B53E1_13</vt:lpwstr>
  </property>
  <property fmtid="{D5CDD505-2E9C-101B-9397-08002B2CF9AE}" pid="4" name="KSOTemplateDocerSaveRecord">
    <vt:lpwstr>eyJoZGlkIjoiZWYxYmJkYTZmMjQ2NmEwNWQzMjEzNGM2YjA1Zjc0YTMiLCJ1c2VySWQiOiIxMjE5MjU4Njc1In0=</vt:lpwstr>
  </property>
</Properties>
</file>