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8041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1-5月全县经济运行情况</w:t>
      </w:r>
    </w:p>
    <w:p w14:paraId="1354F48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一、经济运行情况</w:t>
      </w:r>
    </w:p>
    <w:p w14:paraId="66FDAC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50" w:lineRule="exact"/>
        <w:ind w:left="0" w:firstLine="622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（一）规模以上工业增加值。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1-5月，全县规模以上工业增加值增长10.0%，位居全市第五，</w:t>
      </w:r>
      <w:r>
        <w:rPr>
          <w:rFonts w:hint="eastAsia" w:ascii="方正仿宋_GB2312" w:hAnsi="方正仿宋_GB2312" w:eastAsia="方正仿宋_GB2312" w:cs="方正仿宋_GB2312"/>
          <w:color w:val="auto"/>
          <w:kern w:val="2"/>
          <w:sz w:val="31"/>
          <w:szCs w:val="31"/>
          <w:highlight w:val="none"/>
          <w:lang w:val="en-US" w:eastAsia="zh-CN" w:bidi="ar"/>
        </w:rPr>
        <w:t>高于全市（7.4%）2.6个百分点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。1-5月，全县工业用电量完成16854.11万千瓦时，同比-1.56%，位居全市第十。</w:t>
      </w:r>
    </w:p>
    <w:p w14:paraId="20E026D9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（二）固定资产投资。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1-5月，全县固定资产投资增长7.4%，</w:t>
      </w:r>
      <w:r>
        <w:rPr>
          <w:rFonts w:hint="eastAsia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 w:bidi="ar"/>
        </w:rPr>
        <w:t>高于全市（7.2%）0.2个百分点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，位居全市第九。工业完成投资同比增长85.58%。工业技改完成同比增速下降86.46%。</w:t>
      </w:r>
    </w:p>
    <w:p w14:paraId="53B7A463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color w:val="auto"/>
          <w:sz w:val="31"/>
          <w:szCs w:val="31"/>
          <w:highlight w:val="none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（三）社会消费品零售总额增速。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1-5月，全县社会消费品零售总额累计实现61.5亿元，增速5.1%，低于全市（7.8%）2.7个百分点，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位居全市第十二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</w:t>
      </w:r>
    </w:p>
    <w:p w14:paraId="31A68C03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（四）财政一般公共预算收入增速</w:t>
      </w:r>
      <w:r>
        <w:rPr>
          <w:rFonts w:hint="eastAsia" w:ascii="楷体_GB2312" w:hAnsi="楷体_GB2312" w:eastAsia="楷体_GB2312" w:cs="楷体_GB2312"/>
          <w:b/>
          <w:bCs/>
          <w:color w:val="auto"/>
          <w:kern w:val="0"/>
          <w:sz w:val="31"/>
          <w:szCs w:val="31"/>
          <w:lang w:val="en-US" w:eastAsia="zh-CN" w:bidi="ar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1-5月，全县累计完成7.76亿元，同比增长6.2%，完成全年任务的54.5%（全年任务14.24亿元）。其中：税收收入方面，累计完成5亿元，同比增长0.9%，税占比54.1%。非税收入方面，累计完成2.76亿元，同比增长17.2%。</w:t>
      </w:r>
    </w:p>
    <w:p w14:paraId="60D54602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jc w:val="left"/>
        <w:textAlignment w:val="auto"/>
        <w:rPr>
          <w:rFonts w:hint="default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（五）商品房销售面积。</w:t>
      </w:r>
      <w:r>
        <w:rPr>
          <w:rFonts w:ascii="仿宋_GB2312" w:hAnsi="仿宋_GB2312" w:eastAsia="仿宋_GB2312" w:cs="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 xml:space="preserve">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2"/>
          <w:sz w:val="31"/>
          <w:szCs w:val="31"/>
          <w:lang w:val="en-US" w:eastAsia="zh-CN" w:bidi="ar-SA"/>
        </w:rPr>
        <w:t>1-5月，全县完成销售面积7.71万平方米，同比增速4.11%（预计前三）。</w:t>
      </w:r>
    </w:p>
    <w:p w14:paraId="2A819A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（六）服务业营业收入增速（错月数据）。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1-4月份，信息传输技术行业营业收入同比增长39.2%，高于全市平均（9.3%）水平29.9个百分点；其他运输业营业收入同比增长23.8%，低于全市平均（101%）水平77.2个百分点；其他房地产业营业收入同比增长19.9%，低于全市平均（21.7%）水平1.8个百分点；租赁和商务服务业营业收入同比增长19.9%，低于全市平均（57.8%）水平37.9个百分点；科学研究和技术服务业营业收入同比增长8.8%，高于全市平均（-19.9%）水平28.7个百分点；居民服务、修理和其他服务业营业收入同比增长44.9%，高于全市平均（25%）水平19.9个百分点；文化体育和娱乐业营业收入同比增长49.8%，高于全市平均（12.7%）水平37.1个百分点；水利、环境和公共设施管理业营业收入为0，此行业我县空白，全市平均增速21.1%。</w:t>
      </w:r>
    </w:p>
    <w:p w14:paraId="24147F8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default" w:ascii="方正仿宋_GB2312" w:hAnsi="方正仿宋_GB2312" w:eastAsia="方正仿宋_GB2312" w:cs="方正仿宋_GB2312"/>
          <w:b w:val="0"/>
          <w:bCs/>
          <w:color w:val="auto"/>
          <w:kern w:val="2"/>
          <w:sz w:val="31"/>
          <w:szCs w:val="31"/>
          <w:highlight w:val="none"/>
          <w:lang w:val="en-US" w:eastAsia="zh-CN" w:bidi="ar-SA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（七）邮政业务总量。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1-5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月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邮政业务总量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增长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57.28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%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位居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全市第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一。</w:t>
      </w:r>
    </w:p>
    <w:p w14:paraId="4F1C43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left="0" w:firstLine="622" w:firstLineChars="200"/>
        <w:jc w:val="both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（八）公路客货运周转量。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1-5月份客货运综合周转量6.5万吨公里，增幅-0.37%，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位居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"/>
        </w:rPr>
        <w:t>全市第七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。</w:t>
      </w:r>
    </w:p>
    <w:p w14:paraId="43C4F18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left="0" w:firstLine="640" w:firstLineChars="200"/>
        <w:jc w:val="both"/>
        <w:textAlignment w:val="auto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二、</w:t>
      </w:r>
      <w:bookmarkStart w:id="0" w:name="_Toc1960098280"/>
      <w:r>
        <w:rPr>
          <w:rFonts w:hint="eastAsia" w:ascii="Times New Roman" w:hAnsi="Times New Roman" w:eastAsia="黑体" w:cs="黑体"/>
          <w:bCs/>
          <w:color w:val="auto"/>
          <w:kern w:val="2"/>
          <w:sz w:val="32"/>
          <w:szCs w:val="32"/>
          <w:lang w:val="en-US" w:eastAsia="zh-CN" w:bidi="ar-SA"/>
        </w:rPr>
        <w:t>入库纳统情况</w:t>
      </w:r>
      <w:bookmarkEnd w:id="0"/>
    </w:p>
    <w:p w14:paraId="69C510FD">
      <w:pPr>
        <w:pStyle w:val="11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after="0"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（一）“四上”企业入库情况</w:t>
      </w:r>
    </w:p>
    <w:p w14:paraId="2623AA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2025年1-6月，</w:t>
      </w:r>
      <w:r>
        <w:rPr>
          <w:rFonts w:hint="eastAsia" w:ascii="方正仿宋_GB2312" w:hAnsi="方正仿宋_GB2312" w:eastAsia="方正仿宋_GB2312" w:cs="方正仿宋_GB2312"/>
          <w:color w:val="auto"/>
          <w:kern w:val="0"/>
          <w:sz w:val="31"/>
          <w:szCs w:val="31"/>
        </w:rPr>
        <w:t>全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县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新增入库“四上”企业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50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/>
        </w:rPr>
        <w:t>分专业看，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工业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13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家、贸易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22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家、服务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业9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家、建筑业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4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</w:rPr>
        <w:t>家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eastAsia="zh-CN"/>
        </w:rPr>
        <w:t>、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1"/>
          <w:szCs w:val="31"/>
          <w:lang w:val="en-US" w:eastAsia="zh-CN"/>
        </w:rPr>
        <w:t>房地产2家。</w:t>
      </w:r>
    </w:p>
    <w:p w14:paraId="27F2A8C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50" w:lineRule="exact"/>
        <w:ind w:firstLine="622" w:firstLineChars="200"/>
        <w:textAlignment w:val="auto"/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</w:pPr>
      <w:r>
        <w:rPr>
          <w:rFonts w:hint="eastAsia" w:ascii="方正楷体_GB2312" w:hAnsi="方正楷体_GB2312" w:eastAsia="方正楷体_GB2312" w:cs="方正楷体_GB2312"/>
          <w:b/>
          <w:bCs/>
          <w:color w:val="auto"/>
          <w:kern w:val="0"/>
          <w:sz w:val="31"/>
          <w:szCs w:val="31"/>
          <w:lang w:val="en-US" w:eastAsia="zh-CN" w:bidi="ar"/>
        </w:rPr>
        <w:t>（二）投资项目纳统情况</w:t>
      </w:r>
    </w:p>
    <w:p w14:paraId="2F6C19DC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2025年1-6月全县34个省市重点项目，已入投资项目库30个，入库率88.2%。</w:t>
      </w:r>
    </w:p>
    <w:p w14:paraId="2381E265">
      <w:pPr>
        <w:pStyle w:val="7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ind w:firstLine="620" w:firstLineChars="200"/>
        <w:textAlignment w:val="auto"/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kern w:val="0"/>
          <w:sz w:val="31"/>
          <w:szCs w:val="31"/>
          <w:lang w:val="en-US" w:eastAsia="zh-CN" w:bidi="ar-SA"/>
        </w:rPr>
        <w:t>2025年1-6月全县4个第十五期“签约一批”项目，截止目前项目入库三个，入库率75%。8个第十五期开工一批项目，截止目前已全部入库。全县10个第十五期“开工一批”项目，已入投资项目库10个，入库率100%。</w:t>
      </w:r>
    </w:p>
    <w:p w14:paraId="3CF94092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both"/>
        <w:rPr>
          <w:rFonts w:hint="eastAsia" w:ascii="方正仿宋_GB2312" w:hAnsi="方正仿宋_GB2312" w:eastAsia="方正仿宋_GB2312" w:cs="方正仿宋_GB2312"/>
          <w:color w:val="auto"/>
          <w:spacing w:val="0"/>
          <w:w w:val="100"/>
          <w:sz w:val="31"/>
          <w:szCs w:val="31"/>
          <w:lang w:val="en-US" w:eastAsia="zh-CN"/>
        </w:rPr>
        <w:sectPr>
          <w:footerReference r:id="rId3" w:type="default"/>
          <w:pgSz w:w="11906" w:h="16838"/>
          <w:pgMar w:top="1134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</w:p>
    <w:p w14:paraId="199F950F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月度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全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</w:rPr>
        <w:t>主要经济指标</w:t>
      </w:r>
    </w:p>
    <w:p w14:paraId="1B6F51B4">
      <w:pPr>
        <w:keepNext w:val="0"/>
        <w:keepLines w:val="0"/>
        <w:pageBreakBefore w:val="0"/>
        <w:shd w:val="clear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jc w:val="center"/>
        <w:rPr>
          <w:rFonts w:hint="eastAsia" w:ascii="方正小标宋简体" w:hAnsi="方正小标宋简体" w:eastAsia="方正小标宋简体" w:cs="方正小标宋简体"/>
          <w:b/>
          <w:bCs/>
          <w:color w:val="auto"/>
          <w:spacing w:val="0"/>
          <w:w w:val="100"/>
          <w:sz w:val="44"/>
          <w:szCs w:val="44"/>
          <w:lang w:val="en-US" w:eastAsia="zh-CN"/>
        </w:rPr>
      </w:pPr>
    </w:p>
    <w:tbl>
      <w:tblPr>
        <w:tblStyle w:val="9"/>
        <w:tblpPr w:leftFromText="180" w:rightFromText="180" w:vertAnchor="text" w:horzAnchor="page" w:tblpX="1057" w:tblpY="487"/>
        <w:tblOverlap w:val="never"/>
        <w:tblW w:w="102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61"/>
        <w:gridCol w:w="1674"/>
        <w:gridCol w:w="950"/>
        <w:gridCol w:w="1600"/>
        <w:gridCol w:w="1310"/>
        <w:gridCol w:w="1524"/>
        <w:gridCol w:w="1949"/>
      </w:tblGrid>
      <w:tr w14:paraId="2B096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restart"/>
            <w:vAlign w:val="center"/>
          </w:tcPr>
          <w:p w14:paraId="1F73C7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财政局</w:t>
            </w:r>
          </w:p>
        </w:tc>
        <w:tc>
          <w:tcPr>
            <w:tcW w:w="2624" w:type="dxa"/>
            <w:gridSpan w:val="2"/>
            <w:vAlign w:val="center"/>
          </w:tcPr>
          <w:p w14:paraId="7344C5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一般公共预算收入增速</w:t>
            </w:r>
          </w:p>
        </w:tc>
        <w:tc>
          <w:tcPr>
            <w:tcW w:w="2910" w:type="dxa"/>
            <w:gridSpan w:val="2"/>
            <w:vAlign w:val="center"/>
          </w:tcPr>
          <w:p w14:paraId="6AD6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一般公共预算支出增速</w:t>
            </w:r>
          </w:p>
        </w:tc>
        <w:tc>
          <w:tcPr>
            <w:tcW w:w="3473" w:type="dxa"/>
            <w:gridSpan w:val="2"/>
            <w:vAlign w:val="center"/>
          </w:tcPr>
          <w:p w14:paraId="53E562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45DFE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atLeast"/>
        </w:trPr>
        <w:tc>
          <w:tcPr>
            <w:tcW w:w="1261" w:type="dxa"/>
            <w:vMerge w:val="continue"/>
            <w:vAlign w:val="center"/>
          </w:tcPr>
          <w:p w14:paraId="77348F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657C2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950" w:type="dxa"/>
            <w:vAlign w:val="center"/>
          </w:tcPr>
          <w:p w14:paraId="620121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00C3A3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1310" w:type="dxa"/>
            <w:vAlign w:val="center"/>
          </w:tcPr>
          <w:p w14:paraId="57433A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3473" w:type="dxa"/>
            <w:gridSpan w:val="2"/>
            <w:vAlign w:val="center"/>
          </w:tcPr>
          <w:p w14:paraId="71B31C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仿宋_GB2312" w:hAnsi="仿宋_GB2312" w:eastAsia="仿宋_GB2312" w:cs="仿宋_GB2312"/>
                <w:color w:val="auto"/>
                <w:spacing w:val="0"/>
                <w:w w:val="100"/>
                <w:sz w:val="22"/>
                <w:szCs w:val="22"/>
                <w:vertAlign w:val="baseline"/>
              </w:rPr>
            </w:pPr>
          </w:p>
        </w:tc>
      </w:tr>
      <w:tr w14:paraId="64B8D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1261" w:type="dxa"/>
            <w:vMerge w:val="continue"/>
            <w:vAlign w:val="center"/>
          </w:tcPr>
          <w:p w14:paraId="5C9EAF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F99933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6.2</w:t>
            </w:r>
          </w:p>
        </w:tc>
        <w:tc>
          <w:tcPr>
            <w:tcW w:w="950" w:type="dxa"/>
            <w:vAlign w:val="center"/>
          </w:tcPr>
          <w:p w14:paraId="4DEC74C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1600" w:type="dxa"/>
            <w:vAlign w:val="center"/>
          </w:tcPr>
          <w:p w14:paraId="1A5226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15.98（高于）</w:t>
            </w:r>
          </w:p>
        </w:tc>
        <w:tc>
          <w:tcPr>
            <w:tcW w:w="1310" w:type="dxa"/>
            <w:vAlign w:val="center"/>
          </w:tcPr>
          <w:p w14:paraId="41BBC9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3473" w:type="dxa"/>
            <w:gridSpan w:val="2"/>
            <w:vAlign w:val="center"/>
          </w:tcPr>
          <w:p w14:paraId="7D8815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小标宋简体" w:hAnsi="方正小标宋简体" w:eastAsia="方正小标宋简体" w:cs="方正小标宋简体"/>
                <w:color w:val="auto"/>
                <w:spacing w:val="0"/>
                <w:w w:val="100"/>
                <w:sz w:val="40"/>
                <w:szCs w:val="40"/>
                <w:vertAlign w:val="baseline"/>
              </w:rPr>
            </w:pPr>
          </w:p>
        </w:tc>
      </w:tr>
      <w:tr w14:paraId="1CB3F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261" w:type="dxa"/>
            <w:vMerge w:val="restart"/>
            <w:vAlign w:val="center"/>
          </w:tcPr>
          <w:p w14:paraId="3C21D61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交通局</w:t>
            </w:r>
          </w:p>
        </w:tc>
        <w:tc>
          <w:tcPr>
            <w:tcW w:w="4224" w:type="dxa"/>
            <w:gridSpan w:val="3"/>
            <w:vAlign w:val="center"/>
          </w:tcPr>
          <w:p w14:paraId="7D146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公路客货运周转量增速</w:t>
            </w:r>
          </w:p>
        </w:tc>
        <w:tc>
          <w:tcPr>
            <w:tcW w:w="1310" w:type="dxa"/>
            <w:vMerge w:val="restart"/>
            <w:vAlign w:val="center"/>
          </w:tcPr>
          <w:p w14:paraId="60ACA27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邮政局</w:t>
            </w:r>
          </w:p>
        </w:tc>
        <w:tc>
          <w:tcPr>
            <w:tcW w:w="3473" w:type="dxa"/>
            <w:gridSpan w:val="2"/>
            <w:vAlign w:val="center"/>
          </w:tcPr>
          <w:p w14:paraId="402B9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邮政业务总量增速</w:t>
            </w:r>
          </w:p>
        </w:tc>
      </w:tr>
      <w:tr w14:paraId="23AF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1261" w:type="dxa"/>
            <w:vMerge w:val="continue"/>
            <w:vAlign w:val="center"/>
          </w:tcPr>
          <w:p w14:paraId="5C2E354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3D2DB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2550" w:type="dxa"/>
            <w:gridSpan w:val="2"/>
            <w:vAlign w:val="center"/>
          </w:tcPr>
          <w:p w14:paraId="2C507C6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310" w:type="dxa"/>
            <w:vMerge w:val="continue"/>
            <w:vAlign w:val="center"/>
          </w:tcPr>
          <w:p w14:paraId="66673D2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3E45F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1949" w:type="dxa"/>
            <w:vAlign w:val="center"/>
          </w:tcPr>
          <w:p w14:paraId="504668C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43D4B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1261" w:type="dxa"/>
            <w:vMerge w:val="continue"/>
            <w:vAlign w:val="center"/>
          </w:tcPr>
          <w:p w14:paraId="6FA7B25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B3300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-0.37</w:t>
            </w:r>
          </w:p>
        </w:tc>
        <w:tc>
          <w:tcPr>
            <w:tcW w:w="2550" w:type="dxa"/>
            <w:gridSpan w:val="2"/>
            <w:vAlign w:val="center"/>
          </w:tcPr>
          <w:p w14:paraId="6DC820D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</w:t>
            </w:r>
            <w:bookmarkStart w:id="1" w:name="_GoBack"/>
            <w:bookmarkEnd w:id="1"/>
          </w:p>
        </w:tc>
        <w:tc>
          <w:tcPr>
            <w:tcW w:w="1310" w:type="dxa"/>
            <w:vMerge w:val="continue"/>
            <w:vAlign w:val="center"/>
          </w:tcPr>
          <w:p w14:paraId="4649DFD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524" w:type="dxa"/>
            <w:vAlign w:val="center"/>
          </w:tcPr>
          <w:p w14:paraId="560408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57.28（高于）</w:t>
            </w:r>
          </w:p>
        </w:tc>
        <w:tc>
          <w:tcPr>
            <w:tcW w:w="1949" w:type="dxa"/>
            <w:vAlign w:val="center"/>
          </w:tcPr>
          <w:p w14:paraId="5A1D568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</w:tr>
      <w:tr w14:paraId="131951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1261" w:type="dxa"/>
            <w:vMerge w:val="restart"/>
            <w:vAlign w:val="center"/>
          </w:tcPr>
          <w:p w14:paraId="171CA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both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电业局</w:t>
            </w:r>
          </w:p>
        </w:tc>
        <w:tc>
          <w:tcPr>
            <w:tcW w:w="2624" w:type="dxa"/>
            <w:gridSpan w:val="2"/>
            <w:vAlign w:val="center"/>
          </w:tcPr>
          <w:p w14:paraId="4E2B4E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全社会用电量增速</w:t>
            </w:r>
          </w:p>
        </w:tc>
        <w:tc>
          <w:tcPr>
            <w:tcW w:w="2910" w:type="dxa"/>
            <w:gridSpan w:val="2"/>
            <w:vAlign w:val="center"/>
          </w:tcPr>
          <w:p w14:paraId="4A8635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工业用电量增速</w:t>
            </w:r>
          </w:p>
        </w:tc>
        <w:tc>
          <w:tcPr>
            <w:tcW w:w="3473" w:type="dxa"/>
            <w:gridSpan w:val="2"/>
            <w:vAlign w:val="center"/>
          </w:tcPr>
          <w:p w14:paraId="30961A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建筑业用电量（万千瓦时）</w:t>
            </w:r>
          </w:p>
        </w:tc>
      </w:tr>
      <w:tr w14:paraId="0F925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1261" w:type="dxa"/>
            <w:vMerge w:val="continue"/>
            <w:vAlign w:val="center"/>
          </w:tcPr>
          <w:p w14:paraId="67CF1E1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8965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950" w:type="dxa"/>
            <w:vAlign w:val="center"/>
          </w:tcPr>
          <w:p w14:paraId="72C12C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219FA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1310" w:type="dxa"/>
            <w:vAlign w:val="center"/>
          </w:tcPr>
          <w:p w14:paraId="36C3E5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24FEC3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1949" w:type="dxa"/>
            <w:vAlign w:val="center"/>
          </w:tcPr>
          <w:p w14:paraId="21B067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247BA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261" w:type="dxa"/>
            <w:vMerge w:val="continue"/>
            <w:vAlign w:val="center"/>
          </w:tcPr>
          <w:p w14:paraId="20E2978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2B8AB3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4.41</w:t>
            </w:r>
          </w:p>
        </w:tc>
        <w:tc>
          <w:tcPr>
            <w:tcW w:w="950" w:type="dxa"/>
            <w:vAlign w:val="center"/>
          </w:tcPr>
          <w:p w14:paraId="3E6E7AC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6</w:t>
            </w:r>
          </w:p>
        </w:tc>
        <w:tc>
          <w:tcPr>
            <w:tcW w:w="1600" w:type="dxa"/>
            <w:vAlign w:val="center"/>
          </w:tcPr>
          <w:p w14:paraId="7394822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-1.56</w:t>
            </w:r>
          </w:p>
        </w:tc>
        <w:tc>
          <w:tcPr>
            <w:tcW w:w="1310" w:type="dxa"/>
            <w:vAlign w:val="center"/>
          </w:tcPr>
          <w:p w14:paraId="4A4A1D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</w:t>
            </w:r>
          </w:p>
        </w:tc>
        <w:tc>
          <w:tcPr>
            <w:tcW w:w="1524" w:type="dxa"/>
            <w:vAlign w:val="center"/>
          </w:tcPr>
          <w:p w14:paraId="5F82C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891.88</w:t>
            </w:r>
          </w:p>
        </w:tc>
        <w:tc>
          <w:tcPr>
            <w:tcW w:w="1949" w:type="dxa"/>
            <w:vAlign w:val="center"/>
          </w:tcPr>
          <w:p w14:paraId="56D1E6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</w:tr>
      <w:tr w14:paraId="760E4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4" w:hRule="atLeast"/>
        </w:trPr>
        <w:tc>
          <w:tcPr>
            <w:tcW w:w="1261" w:type="dxa"/>
            <w:vMerge w:val="restart"/>
            <w:vAlign w:val="center"/>
          </w:tcPr>
          <w:p w14:paraId="26495BB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方正楷体_GB2312" w:hAnsi="方正楷体_GB2312" w:eastAsia="方正楷体_GB2312" w:cs="方正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  <w:t>统计局</w:t>
            </w:r>
          </w:p>
        </w:tc>
        <w:tc>
          <w:tcPr>
            <w:tcW w:w="2624" w:type="dxa"/>
            <w:gridSpan w:val="2"/>
            <w:vAlign w:val="center"/>
          </w:tcPr>
          <w:p w14:paraId="0416425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default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规模以上工业增加值增速（工信局）</w:t>
            </w:r>
          </w:p>
        </w:tc>
        <w:tc>
          <w:tcPr>
            <w:tcW w:w="2910" w:type="dxa"/>
            <w:gridSpan w:val="2"/>
            <w:vAlign w:val="center"/>
          </w:tcPr>
          <w:p w14:paraId="2DD2F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固定资产投资</w:t>
            </w:r>
          </w:p>
          <w:p w14:paraId="4977D5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3473" w:type="dxa"/>
            <w:gridSpan w:val="2"/>
            <w:vAlign w:val="center"/>
          </w:tcPr>
          <w:p w14:paraId="071AEA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地区生产总值（季度数据）</w:t>
            </w:r>
          </w:p>
        </w:tc>
      </w:tr>
      <w:tr w14:paraId="0284C6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1261" w:type="dxa"/>
            <w:vMerge w:val="continue"/>
            <w:vAlign w:val="center"/>
          </w:tcPr>
          <w:p w14:paraId="3684AE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A92A18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950" w:type="dxa"/>
            <w:vAlign w:val="center"/>
          </w:tcPr>
          <w:p w14:paraId="4EE7A77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F89E0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1310" w:type="dxa"/>
            <w:vAlign w:val="center"/>
          </w:tcPr>
          <w:p w14:paraId="3D1F99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18ED96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二季度</w:t>
            </w:r>
          </w:p>
        </w:tc>
        <w:tc>
          <w:tcPr>
            <w:tcW w:w="1949" w:type="dxa"/>
            <w:vAlign w:val="center"/>
          </w:tcPr>
          <w:p w14:paraId="35E2F90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0279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1261" w:type="dxa"/>
            <w:vMerge w:val="continue"/>
            <w:vAlign w:val="center"/>
          </w:tcPr>
          <w:p w14:paraId="4B9DDB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610408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10.0（高于）</w:t>
            </w:r>
          </w:p>
        </w:tc>
        <w:tc>
          <w:tcPr>
            <w:tcW w:w="950" w:type="dxa"/>
            <w:vAlign w:val="center"/>
          </w:tcPr>
          <w:p w14:paraId="24C4F80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1600" w:type="dxa"/>
            <w:vAlign w:val="center"/>
          </w:tcPr>
          <w:p w14:paraId="05C6AE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7.4（高于）</w:t>
            </w:r>
          </w:p>
        </w:tc>
        <w:tc>
          <w:tcPr>
            <w:tcW w:w="1310" w:type="dxa"/>
            <w:vAlign w:val="center"/>
          </w:tcPr>
          <w:p w14:paraId="7F0B5E7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b/>
                <w:bCs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9</w:t>
            </w:r>
          </w:p>
        </w:tc>
        <w:tc>
          <w:tcPr>
            <w:tcW w:w="1524" w:type="dxa"/>
            <w:vAlign w:val="center"/>
          </w:tcPr>
          <w:p w14:paraId="1122E0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949" w:type="dxa"/>
            <w:vAlign w:val="center"/>
          </w:tcPr>
          <w:p w14:paraId="7D2E62C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-</w:t>
            </w:r>
          </w:p>
        </w:tc>
      </w:tr>
      <w:tr w14:paraId="25287E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261" w:type="dxa"/>
            <w:vMerge w:val="continue"/>
            <w:vAlign w:val="center"/>
          </w:tcPr>
          <w:p w14:paraId="564CBB6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437C59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社消零总额增速</w:t>
            </w:r>
          </w:p>
          <w:p w14:paraId="2F4533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（商务局）</w:t>
            </w:r>
          </w:p>
        </w:tc>
        <w:tc>
          <w:tcPr>
            <w:tcW w:w="2910" w:type="dxa"/>
            <w:gridSpan w:val="2"/>
            <w:vAlign w:val="center"/>
          </w:tcPr>
          <w:p w14:paraId="335E60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规模以下工业增加值增速（工信局）</w:t>
            </w:r>
          </w:p>
        </w:tc>
        <w:tc>
          <w:tcPr>
            <w:tcW w:w="3473" w:type="dxa"/>
            <w:gridSpan w:val="2"/>
            <w:vAlign w:val="center"/>
          </w:tcPr>
          <w:p w14:paraId="0C8BBF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建筑业总产值增速</w:t>
            </w:r>
          </w:p>
          <w:p w14:paraId="583D29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（季度数据、住建局）</w:t>
            </w:r>
          </w:p>
        </w:tc>
      </w:tr>
      <w:tr w14:paraId="60DECB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261" w:type="dxa"/>
            <w:vMerge w:val="continue"/>
            <w:vAlign w:val="center"/>
          </w:tcPr>
          <w:p w14:paraId="1598B6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4F9602A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950" w:type="dxa"/>
            <w:vAlign w:val="center"/>
          </w:tcPr>
          <w:p w14:paraId="67615B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3132DC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二季度</w:t>
            </w:r>
          </w:p>
        </w:tc>
        <w:tc>
          <w:tcPr>
            <w:tcW w:w="1310" w:type="dxa"/>
            <w:vAlign w:val="center"/>
          </w:tcPr>
          <w:p w14:paraId="089D9A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76E601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二季度</w:t>
            </w:r>
          </w:p>
        </w:tc>
        <w:tc>
          <w:tcPr>
            <w:tcW w:w="1949" w:type="dxa"/>
            <w:vAlign w:val="center"/>
          </w:tcPr>
          <w:p w14:paraId="3C6F5D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</w:tr>
      <w:tr w14:paraId="5E8B73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261" w:type="dxa"/>
            <w:vMerge w:val="continue"/>
            <w:vAlign w:val="center"/>
          </w:tcPr>
          <w:p w14:paraId="16AB903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01A7658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5.1</w:t>
            </w:r>
          </w:p>
        </w:tc>
        <w:tc>
          <w:tcPr>
            <w:tcW w:w="950" w:type="dxa"/>
            <w:vAlign w:val="center"/>
          </w:tcPr>
          <w:p w14:paraId="0CAFE2A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12</w:t>
            </w:r>
          </w:p>
        </w:tc>
        <w:tc>
          <w:tcPr>
            <w:tcW w:w="1600" w:type="dxa"/>
            <w:vAlign w:val="center"/>
          </w:tcPr>
          <w:p w14:paraId="189C83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310" w:type="dxa"/>
            <w:vAlign w:val="center"/>
          </w:tcPr>
          <w:p w14:paraId="4699D9A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524" w:type="dxa"/>
            <w:vAlign w:val="center"/>
          </w:tcPr>
          <w:p w14:paraId="5B7F2B1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949" w:type="dxa"/>
            <w:vAlign w:val="center"/>
          </w:tcPr>
          <w:p w14:paraId="687CED7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  <w:t>-</w:t>
            </w:r>
          </w:p>
        </w:tc>
      </w:tr>
      <w:tr w14:paraId="369F7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</w:trPr>
        <w:tc>
          <w:tcPr>
            <w:tcW w:w="1261" w:type="dxa"/>
            <w:vMerge w:val="continue"/>
            <w:vAlign w:val="center"/>
          </w:tcPr>
          <w:p w14:paraId="6725AF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624" w:type="dxa"/>
            <w:gridSpan w:val="2"/>
            <w:vAlign w:val="center"/>
          </w:tcPr>
          <w:p w14:paraId="5186A8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建安工程投资增速</w:t>
            </w:r>
          </w:p>
          <w:p w14:paraId="5EBDDD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（发改委）</w:t>
            </w:r>
          </w:p>
        </w:tc>
        <w:tc>
          <w:tcPr>
            <w:tcW w:w="2910" w:type="dxa"/>
            <w:gridSpan w:val="2"/>
            <w:vAlign w:val="center"/>
          </w:tcPr>
          <w:p w14:paraId="7C18D0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新建商品房销售面积</w:t>
            </w:r>
          </w:p>
          <w:p w14:paraId="754C36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  <w:t>增速（住建局）</w:t>
            </w:r>
          </w:p>
        </w:tc>
        <w:tc>
          <w:tcPr>
            <w:tcW w:w="3473" w:type="dxa"/>
            <w:gridSpan w:val="2"/>
            <w:vAlign w:val="center"/>
          </w:tcPr>
          <w:p w14:paraId="3E158D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textAlignment w:val="auto"/>
              <w:rPr>
                <w:rFonts w:hint="eastAsia" w:ascii="黑体" w:hAnsi="黑体" w:eastAsia="黑体" w:cs="黑体"/>
                <w:color w:val="auto"/>
                <w:spacing w:val="0"/>
                <w:w w:val="100"/>
                <w:sz w:val="22"/>
                <w:szCs w:val="22"/>
                <w:vertAlign w:val="baseline"/>
                <w:lang w:val="en-US" w:eastAsia="zh-CN"/>
              </w:rPr>
            </w:pPr>
          </w:p>
        </w:tc>
      </w:tr>
      <w:tr w14:paraId="39C43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61" w:type="dxa"/>
            <w:vMerge w:val="continue"/>
            <w:vAlign w:val="center"/>
          </w:tcPr>
          <w:p w14:paraId="2020447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13AFA4C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季度数据</w:t>
            </w:r>
          </w:p>
        </w:tc>
        <w:tc>
          <w:tcPr>
            <w:tcW w:w="950" w:type="dxa"/>
            <w:vAlign w:val="center"/>
          </w:tcPr>
          <w:p w14:paraId="0B2FC7D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600" w:type="dxa"/>
            <w:vAlign w:val="center"/>
          </w:tcPr>
          <w:p w14:paraId="0ED65C1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1-5月</w:t>
            </w:r>
          </w:p>
        </w:tc>
        <w:tc>
          <w:tcPr>
            <w:tcW w:w="1310" w:type="dxa"/>
            <w:vAlign w:val="center"/>
          </w:tcPr>
          <w:p w14:paraId="32D045E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排名</w:t>
            </w:r>
          </w:p>
        </w:tc>
        <w:tc>
          <w:tcPr>
            <w:tcW w:w="1524" w:type="dxa"/>
            <w:vAlign w:val="center"/>
          </w:tcPr>
          <w:p w14:paraId="0548049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  <w:tc>
          <w:tcPr>
            <w:tcW w:w="1949" w:type="dxa"/>
            <w:vAlign w:val="center"/>
          </w:tcPr>
          <w:p w14:paraId="00E764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both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  <w:tr w14:paraId="39757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261" w:type="dxa"/>
            <w:vMerge w:val="continue"/>
            <w:vAlign w:val="center"/>
          </w:tcPr>
          <w:p w14:paraId="7B299B3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楷体_GB2312" w:hAnsi="楷体_GB2312" w:eastAsia="楷体_GB2312" w:cs="楷体_GB2312"/>
                <w:b/>
                <w:bCs/>
                <w:color w:val="auto"/>
                <w:spacing w:val="0"/>
                <w:w w:val="10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74" w:type="dxa"/>
            <w:vAlign w:val="center"/>
          </w:tcPr>
          <w:p w14:paraId="5EDD1CF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950" w:type="dxa"/>
            <w:vAlign w:val="center"/>
          </w:tcPr>
          <w:p w14:paraId="6F81F6A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-</w:t>
            </w:r>
          </w:p>
        </w:tc>
        <w:tc>
          <w:tcPr>
            <w:tcW w:w="1600" w:type="dxa"/>
            <w:shd w:val="clear" w:color="auto" w:fill="auto"/>
            <w:vAlign w:val="center"/>
          </w:tcPr>
          <w:p w14:paraId="2DA340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4.11（高于）</w:t>
            </w:r>
          </w:p>
        </w:tc>
        <w:tc>
          <w:tcPr>
            <w:tcW w:w="1310" w:type="dxa"/>
            <w:shd w:val="clear" w:color="auto" w:fill="auto"/>
            <w:vAlign w:val="center"/>
          </w:tcPr>
          <w:p w14:paraId="549409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  <w:t>预计前三</w:t>
            </w:r>
          </w:p>
        </w:tc>
        <w:tc>
          <w:tcPr>
            <w:tcW w:w="1524" w:type="dxa"/>
            <w:vAlign w:val="center"/>
          </w:tcPr>
          <w:p w14:paraId="38E99F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default" w:ascii="方正仿宋_GB2312" w:hAnsi="方正仿宋_GB2312" w:eastAsia="方正仿宋_GB2312" w:cs="方正仿宋_GB2312"/>
                <w:color w:val="auto"/>
                <w:spacing w:val="0"/>
                <w:w w:val="100"/>
                <w:sz w:val="20"/>
                <w:szCs w:val="20"/>
                <w:vertAlign w:val="baseline"/>
                <w:lang w:val="en-US" w:eastAsia="zh-CN"/>
              </w:rPr>
            </w:pPr>
          </w:p>
        </w:tc>
        <w:tc>
          <w:tcPr>
            <w:tcW w:w="1949" w:type="dxa"/>
            <w:vAlign w:val="center"/>
          </w:tcPr>
          <w:p w14:paraId="7195B79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240" w:lineRule="auto"/>
              <w:ind w:firstLine="0" w:firstLineChars="0"/>
              <w:jc w:val="center"/>
              <w:rPr>
                <w:rFonts w:hint="eastAsia" w:ascii="方正仿宋_GB2312" w:hAnsi="方正仿宋_GB2312" w:eastAsia="方正仿宋_GB2312" w:cs="方正仿宋_GB2312"/>
                <w:color w:val="auto"/>
                <w:spacing w:val="0"/>
                <w:w w:val="100"/>
                <w:kern w:val="2"/>
                <w:sz w:val="20"/>
                <w:szCs w:val="20"/>
                <w:vertAlign w:val="baseline"/>
                <w:lang w:val="en-US" w:eastAsia="zh-CN" w:bidi="ar-SA"/>
              </w:rPr>
            </w:pPr>
          </w:p>
        </w:tc>
      </w:tr>
    </w:tbl>
    <w:p w14:paraId="393533E5">
      <w:pPr>
        <w:rPr>
          <w:rFonts w:hint="default" w:eastAsia="宋体"/>
          <w:color w:val="auto"/>
          <w:lang w:val="en-US" w:eastAsia="zh-CN"/>
        </w:rPr>
      </w:pPr>
      <w:r>
        <w:rPr>
          <w:rFonts w:hint="eastAsia"/>
          <w:color w:val="auto"/>
          <w:lang w:eastAsia="zh-CN"/>
        </w:rPr>
        <w:t>（</w:t>
      </w:r>
      <w:r>
        <w:rPr>
          <w:rFonts w:hint="eastAsia"/>
          <w:color w:val="auto"/>
          <w:lang w:val="en-US" w:eastAsia="zh-CN"/>
        </w:rPr>
        <w:t>高于</w:t>
      </w:r>
      <w:r>
        <w:rPr>
          <w:rFonts w:hint="eastAsia"/>
          <w:color w:val="auto"/>
          <w:lang w:eastAsia="zh-CN"/>
        </w:rPr>
        <w:t>）</w:t>
      </w:r>
      <w:r>
        <w:rPr>
          <w:rFonts w:hint="eastAsia"/>
          <w:color w:val="auto"/>
          <w:lang w:val="en-US" w:eastAsia="zh-CN"/>
        </w:rPr>
        <w:t>代表高于全市平均水平</w:t>
      </w:r>
    </w:p>
    <w:sectPr>
      <w:footerReference r:id="rId4" w:type="default"/>
      <w:pgSz w:w="11906" w:h="16838"/>
      <w:pgMar w:top="1134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E2141A1-5C24-4990-8BD0-89C2EC8DEC4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976FF8F5-FF98-4B0E-8E48-61FD5ED2C1C4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DF918EBD-88BF-4F5B-AE6E-5CF9EAB15FAB}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4" w:fontKey="{7277657A-CBE9-49D5-A19B-616F1D34192E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5" w:fontKey="{077CD113-E296-46C4-8E01-95B6FD6D5E33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6" w:fontKey="{4EAE2879-305E-486E-919E-8A9645BAF15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E4639D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5200244">
                          <w:pPr>
                            <w:pStyle w:val="5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5200244">
                    <w:pPr>
                      <w:pStyle w:val="5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6492C9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FmZWIzNDg2MmIzZjExOTIzMmViNTBmYTMwYTk0ZWYifQ=="/>
  </w:docVars>
  <w:rsids>
    <w:rsidRoot w:val="2B5C1C38"/>
    <w:rsid w:val="000B6D5A"/>
    <w:rsid w:val="00B150C6"/>
    <w:rsid w:val="016A5229"/>
    <w:rsid w:val="01AD6E83"/>
    <w:rsid w:val="01FA24EA"/>
    <w:rsid w:val="020379CE"/>
    <w:rsid w:val="0213766F"/>
    <w:rsid w:val="02922C89"/>
    <w:rsid w:val="02EA41B2"/>
    <w:rsid w:val="0422779B"/>
    <w:rsid w:val="04863C1B"/>
    <w:rsid w:val="048B25ED"/>
    <w:rsid w:val="06190FCC"/>
    <w:rsid w:val="06385FC4"/>
    <w:rsid w:val="065B3B61"/>
    <w:rsid w:val="07603356"/>
    <w:rsid w:val="07794418"/>
    <w:rsid w:val="07797E87"/>
    <w:rsid w:val="078737E4"/>
    <w:rsid w:val="07CC7DDD"/>
    <w:rsid w:val="07D33702"/>
    <w:rsid w:val="080C528C"/>
    <w:rsid w:val="085421BF"/>
    <w:rsid w:val="09803589"/>
    <w:rsid w:val="09F558AC"/>
    <w:rsid w:val="0A2A6843"/>
    <w:rsid w:val="0A3B1E0F"/>
    <w:rsid w:val="0A79028B"/>
    <w:rsid w:val="0A825391"/>
    <w:rsid w:val="0B2F6EAF"/>
    <w:rsid w:val="0B84338B"/>
    <w:rsid w:val="0BBF2615"/>
    <w:rsid w:val="0CA37841"/>
    <w:rsid w:val="0CD619C5"/>
    <w:rsid w:val="0CE95B9C"/>
    <w:rsid w:val="0D4E54D5"/>
    <w:rsid w:val="0D660F9A"/>
    <w:rsid w:val="0DA815B3"/>
    <w:rsid w:val="0DED5218"/>
    <w:rsid w:val="0E96765D"/>
    <w:rsid w:val="0EF12AE6"/>
    <w:rsid w:val="0F19203C"/>
    <w:rsid w:val="0F3026C4"/>
    <w:rsid w:val="0F84360C"/>
    <w:rsid w:val="0FEA40CE"/>
    <w:rsid w:val="10DA645D"/>
    <w:rsid w:val="10E41199"/>
    <w:rsid w:val="118D70CB"/>
    <w:rsid w:val="120E7E53"/>
    <w:rsid w:val="12BA3179"/>
    <w:rsid w:val="133E6515"/>
    <w:rsid w:val="134A310C"/>
    <w:rsid w:val="1351449B"/>
    <w:rsid w:val="1457163D"/>
    <w:rsid w:val="14611454"/>
    <w:rsid w:val="149A5040"/>
    <w:rsid w:val="15221E3A"/>
    <w:rsid w:val="15581B10"/>
    <w:rsid w:val="156C55BC"/>
    <w:rsid w:val="1573694A"/>
    <w:rsid w:val="15CA4DE4"/>
    <w:rsid w:val="15F335E7"/>
    <w:rsid w:val="15FE030B"/>
    <w:rsid w:val="160475A2"/>
    <w:rsid w:val="16380E1F"/>
    <w:rsid w:val="178A1D29"/>
    <w:rsid w:val="182C2DE0"/>
    <w:rsid w:val="18A84B5D"/>
    <w:rsid w:val="18B06FD7"/>
    <w:rsid w:val="18C43019"/>
    <w:rsid w:val="1951074E"/>
    <w:rsid w:val="19CA28B1"/>
    <w:rsid w:val="1A0A7151"/>
    <w:rsid w:val="1A4C776A"/>
    <w:rsid w:val="1A710F7F"/>
    <w:rsid w:val="1A8D50BE"/>
    <w:rsid w:val="1B296F56"/>
    <w:rsid w:val="1C041A09"/>
    <w:rsid w:val="1C142509"/>
    <w:rsid w:val="1CB6711D"/>
    <w:rsid w:val="1CEC6777"/>
    <w:rsid w:val="1D310127"/>
    <w:rsid w:val="1E0933F1"/>
    <w:rsid w:val="1E3D5D47"/>
    <w:rsid w:val="1E7E7C75"/>
    <w:rsid w:val="1EF94A0C"/>
    <w:rsid w:val="20F14BC7"/>
    <w:rsid w:val="210E4014"/>
    <w:rsid w:val="21C20E86"/>
    <w:rsid w:val="21D95D87"/>
    <w:rsid w:val="21E17A6E"/>
    <w:rsid w:val="2322550C"/>
    <w:rsid w:val="23971A56"/>
    <w:rsid w:val="23BF2B98"/>
    <w:rsid w:val="23F0560A"/>
    <w:rsid w:val="242464CC"/>
    <w:rsid w:val="242537B9"/>
    <w:rsid w:val="244A2F6C"/>
    <w:rsid w:val="25F75CDF"/>
    <w:rsid w:val="262A6E79"/>
    <w:rsid w:val="26D20FF7"/>
    <w:rsid w:val="273D2914"/>
    <w:rsid w:val="282A314C"/>
    <w:rsid w:val="285144E4"/>
    <w:rsid w:val="28E13773"/>
    <w:rsid w:val="28EB5676"/>
    <w:rsid w:val="294C5091"/>
    <w:rsid w:val="297F3B23"/>
    <w:rsid w:val="29C55347"/>
    <w:rsid w:val="29C94933"/>
    <w:rsid w:val="2A0D2590"/>
    <w:rsid w:val="2AB54598"/>
    <w:rsid w:val="2AF92FF6"/>
    <w:rsid w:val="2B5C1C38"/>
    <w:rsid w:val="2CA9155E"/>
    <w:rsid w:val="2D314CC9"/>
    <w:rsid w:val="2DBB27E5"/>
    <w:rsid w:val="2EAD1531"/>
    <w:rsid w:val="2EF91817"/>
    <w:rsid w:val="2F9F3E9B"/>
    <w:rsid w:val="30971621"/>
    <w:rsid w:val="30E738F1"/>
    <w:rsid w:val="311B6281"/>
    <w:rsid w:val="31490108"/>
    <w:rsid w:val="315419A0"/>
    <w:rsid w:val="317038E6"/>
    <w:rsid w:val="31BB2DB3"/>
    <w:rsid w:val="32C03301"/>
    <w:rsid w:val="32D06779"/>
    <w:rsid w:val="3344502A"/>
    <w:rsid w:val="33445D70"/>
    <w:rsid w:val="33F40CA7"/>
    <w:rsid w:val="346371B6"/>
    <w:rsid w:val="350C7C26"/>
    <w:rsid w:val="356674DA"/>
    <w:rsid w:val="363860C1"/>
    <w:rsid w:val="369A451D"/>
    <w:rsid w:val="388F02BB"/>
    <w:rsid w:val="38D27F89"/>
    <w:rsid w:val="392B2900"/>
    <w:rsid w:val="398F2FFF"/>
    <w:rsid w:val="39D53485"/>
    <w:rsid w:val="3A213355"/>
    <w:rsid w:val="3A255AA1"/>
    <w:rsid w:val="3AC32DCB"/>
    <w:rsid w:val="3AD82C28"/>
    <w:rsid w:val="3AF17846"/>
    <w:rsid w:val="3AFE1BEF"/>
    <w:rsid w:val="3B021A53"/>
    <w:rsid w:val="3BE26AE1"/>
    <w:rsid w:val="3BF46235"/>
    <w:rsid w:val="3C2123AD"/>
    <w:rsid w:val="3C4E6795"/>
    <w:rsid w:val="3C636521"/>
    <w:rsid w:val="3D775644"/>
    <w:rsid w:val="3E952BDE"/>
    <w:rsid w:val="40784565"/>
    <w:rsid w:val="41C01CC2"/>
    <w:rsid w:val="42612A7A"/>
    <w:rsid w:val="42C13FA2"/>
    <w:rsid w:val="42DC4A8D"/>
    <w:rsid w:val="43025564"/>
    <w:rsid w:val="44DF4BB3"/>
    <w:rsid w:val="44E4666D"/>
    <w:rsid w:val="45433394"/>
    <w:rsid w:val="45A656D1"/>
    <w:rsid w:val="46731A57"/>
    <w:rsid w:val="46DB0986"/>
    <w:rsid w:val="46F1348B"/>
    <w:rsid w:val="46FC1A4C"/>
    <w:rsid w:val="471D2703"/>
    <w:rsid w:val="48894BB5"/>
    <w:rsid w:val="48944DBC"/>
    <w:rsid w:val="48E11A0D"/>
    <w:rsid w:val="494D47E1"/>
    <w:rsid w:val="49E05655"/>
    <w:rsid w:val="49FE3D2D"/>
    <w:rsid w:val="4A82656C"/>
    <w:rsid w:val="4AC551B7"/>
    <w:rsid w:val="4B8D2674"/>
    <w:rsid w:val="4BEB4ADC"/>
    <w:rsid w:val="4CBB016C"/>
    <w:rsid w:val="4D1D3062"/>
    <w:rsid w:val="4E28459B"/>
    <w:rsid w:val="4EB8427F"/>
    <w:rsid w:val="4EFD45B3"/>
    <w:rsid w:val="4FB31116"/>
    <w:rsid w:val="4FB8497E"/>
    <w:rsid w:val="4FF764F0"/>
    <w:rsid w:val="503C55AF"/>
    <w:rsid w:val="5077187E"/>
    <w:rsid w:val="50B25738"/>
    <w:rsid w:val="512D0F30"/>
    <w:rsid w:val="530E39A3"/>
    <w:rsid w:val="544D723E"/>
    <w:rsid w:val="54640C31"/>
    <w:rsid w:val="552D3719"/>
    <w:rsid w:val="55546EF7"/>
    <w:rsid w:val="559D264C"/>
    <w:rsid w:val="55DD513F"/>
    <w:rsid w:val="569A4DDE"/>
    <w:rsid w:val="56CD51B3"/>
    <w:rsid w:val="57323268"/>
    <w:rsid w:val="57430FD1"/>
    <w:rsid w:val="575757B0"/>
    <w:rsid w:val="5890597E"/>
    <w:rsid w:val="58E3165F"/>
    <w:rsid w:val="58F92290"/>
    <w:rsid w:val="5AD97498"/>
    <w:rsid w:val="5AE40D1D"/>
    <w:rsid w:val="5B431A41"/>
    <w:rsid w:val="5B6C658C"/>
    <w:rsid w:val="5C3E620B"/>
    <w:rsid w:val="5C967DF5"/>
    <w:rsid w:val="5D1B550A"/>
    <w:rsid w:val="5D235B2D"/>
    <w:rsid w:val="5D5553E7"/>
    <w:rsid w:val="5E636240"/>
    <w:rsid w:val="5EA424AB"/>
    <w:rsid w:val="5EAC56AE"/>
    <w:rsid w:val="5FAE3F0B"/>
    <w:rsid w:val="5FEC48FC"/>
    <w:rsid w:val="5FF429E6"/>
    <w:rsid w:val="602A71D2"/>
    <w:rsid w:val="603C4F45"/>
    <w:rsid w:val="604C29C3"/>
    <w:rsid w:val="60A9459B"/>
    <w:rsid w:val="61357BDD"/>
    <w:rsid w:val="615A37FC"/>
    <w:rsid w:val="61954924"/>
    <w:rsid w:val="61E0223F"/>
    <w:rsid w:val="61F62C4B"/>
    <w:rsid w:val="623C143F"/>
    <w:rsid w:val="627806C9"/>
    <w:rsid w:val="62C76F5B"/>
    <w:rsid w:val="63B514A9"/>
    <w:rsid w:val="644115AE"/>
    <w:rsid w:val="647933E3"/>
    <w:rsid w:val="64DC0A3A"/>
    <w:rsid w:val="65896632"/>
    <w:rsid w:val="65DC4ACB"/>
    <w:rsid w:val="66E23B23"/>
    <w:rsid w:val="672C7CD4"/>
    <w:rsid w:val="67423223"/>
    <w:rsid w:val="68190258"/>
    <w:rsid w:val="681A5D7E"/>
    <w:rsid w:val="68E5013A"/>
    <w:rsid w:val="693B1F92"/>
    <w:rsid w:val="69CB37D4"/>
    <w:rsid w:val="69CE0BCF"/>
    <w:rsid w:val="6A254C33"/>
    <w:rsid w:val="6A2A7182"/>
    <w:rsid w:val="6AA135B5"/>
    <w:rsid w:val="6B293E71"/>
    <w:rsid w:val="6B9F7803"/>
    <w:rsid w:val="6BC70CEF"/>
    <w:rsid w:val="6D04610E"/>
    <w:rsid w:val="6E5A0AD8"/>
    <w:rsid w:val="6F0B4673"/>
    <w:rsid w:val="700026E9"/>
    <w:rsid w:val="70920CD8"/>
    <w:rsid w:val="72185137"/>
    <w:rsid w:val="723B2C85"/>
    <w:rsid w:val="72442376"/>
    <w:rsid w:val="726F6CC7"/>
    <w:rsid w:val="729E4723"/>
    <w:rsid w:val="73374C56"/>
    <w:rsid w:val="73A155A6"/>
    <w:rsid w:val="73C53042"/>
    <w:rsid w:val="74E2752E"/>
    <w:rsid w:val="75017721"/>
    <w:rsid w:val="76292989"/>
    <w:rsid w:val="76C03F95"/>
    <w:rsid w:val="76C53359"/>
    <w:rsid w:val="77AE5890"/>
    <w:rsid w:val="77D4763B"/>
    <w:rsid w:val="786F7A21"/>
    <w:rsid w:val="78CE1DD7"/>
    <w:rsid w:val="78DC304E"/>
    <w:rsid w:val="79960FDD"/>
    <w:rsid w:val="79E2650F"/>
    <w:rsid w:val="79F04194"/>
    <w:rsid w:val="7AC12F0E"/>
    <w:rsid w:val="7AD324E9"/>
    <w:rsid w:val="7AFD7566"/>
    <w:rsid w:val="7B416057"/>
    <w:rsid w:val="7B7D2726"/>
    <w:rsid w:val="7D4F7E21"/>
    <w:rsid w:val="7D954702"/>
    <w:rsid w:val="7DE762AB"/>
    <w:rsid w:val="7E015288"/>
    <w:rsid w:val="7E521976"/>
    <w:rsid w:val="7E8B2623"/>
    <w:rsid w:val="7E971A7F"/>
    <w:rsid w:val="7F4E25C4"/>
    <w:rsid w:val="7F58120E"/>
    <w:rsid w:val="7F822EBC"/>
    <w:rsid w:val="7FB03365"/>
    <w:rsid w:val="7FC47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Times New Roman"/>
      <w:b/>
      <w:kern w:val="0"/>
      <w:sz w:val="36"/>
      <w:szCs w:val="36"/>
    </w:rPr>
  </w:style>
  <w:style w:type="paragraph" w:styleId="3">
    <w:name w:val="heading 3"/>
    <w:basedOn w:val="1"/>
    <w:next w:val="1"/>
    <w:autoRedefine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"/>
    <w:basedOn w:val="4"/>
    <w:next w:val="1"/>
    <w:autoRedefine/>
    <w:qFormat/>
    <w:uiPriority w:val="0"/>
    <w:pPr>
      <w:spacing w:after="0" w:line="600" w:lineRule="exact"/>
      <w:ind w:firstLine="420"/>
    </w:pPr>
    <w:rPr>
      <w:rFonts w:ascii="Times New Roman" w:hAnsi="Times New Roman"/>
      <w:bCs/>
      <w:sz w:val="30"/>
    </w:rPr>
  </w:style>
  <w:style w:type="table" w:styleId="9">
    <w:name w:val="Table Grid"/>
    <w:basedOn w:val="8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正文文本首行缩进1"/>
    <w:basedOn w:val="4"/>
    <w:autoRedefine/>
    <w:qFormat/>
    <w:uiPriority w:val="0"/>
    <w:pPr>
      <w:spacing w:line="600" w:lineRule="exact"/>
      <w:ind w:firstLine="420"/>
    </w:pPr>
    <w:rPr>
      <w:bCs/>
      <w:sz w:val="30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1296</Words>
  <Characters>1576</Characters>
  <Lines>0</Lines>
  <Paragraphs>0</Paragraphs>
  <TotalTime>2</TotalTime>
  <ScaleCrop>false</ScaleCrop>
  <LinksUpToDate>false</LinksUpToDate>
  <CharactersWithSpaces>1577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2024-06-12T06:47:00Z</dcterms:created>
  <dc:creator>玉洁</dc:creator>
  <cp:lastModifiedBy>WPS_1219258675</cp:lastModifiedBy>
  <cp:lastPrinted>2024-10-23T00:58:00Z</cp:lastPrinted>
  <dcterms:modified xsi:type="dcterms:W3CDTF">2025-07-22T03:05:03Z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516DD63ADF60454FAC181A6C0EC9B279_13</vt:lpwstr>
  </property>
  <property fmtid="{D5CDD505-2E9C-101B-9397-08002B2CF9AE}" pid="4" name="KSOTemplateDocerSaveRecord">
    <vt:lpwstr>eyJoZGlkIjoiZWYxYmJkYTZmMjQ2NmEwNWQzMjEzNGM2YjA1Zjc0YTMiLCJ1c2VySWQiOiIxMjE5MjU4Njc1In0=</vt:lpwstr>
  </property>
</Properties>
</file>